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78.05pt;margin-top:1.25pt;width:356.9pt;height:343.1pt;z-index:2;mso-position-horizontal-relative:text;mso-position-vertical-relative:text;mso-width-relative:page;mso-height-relative:margin;mso-wrap-distance-left:0.0pt;mso-wrap-distance-right:0.0pt;visibility:visible;">
            <v:stroke joinstyle="miter" weight="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62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62"/>
                    </w:rPr>
                  </w:pPr>
                  <w:r>
                    <w:rPr>
                      <w:rFonts w:ascii="Times New Roman" w:hAnsi="Times New Roman"/>
                      <w:b/>
                      <w:sz w:val="62"/>
                    </w:rPr>
                    <w:t>TUBERCULOSIS.</w:t>
                  </w: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62"/>
                    </w:rPr>
                  </w:pPr>
                  <w:r>
                    <w:rPr>
                      <w:rFonts w:ascii="Times New Roman" w:hAnsi="Times New Roman"/>
                      <w:b/>
                      <w:sz w:val="62"/>
                    </w:rPr>
                    <w:t>By Evans Nyakundi.</w:t>
                  </w: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62"/>
                    </w:rPr>
                  </w:pPr>
                  <w:r>
                    <w:rPr>
                      <w:rFonts w:ascii="Times New Roman" w:hAnsi="Times New Roman"/>
                      <w:b/>
                      <w:sz w:val="62"/>
                    </w:rPr>
                    <w:t>KMTC KISII CAMPUS.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hAnsi="Times New Roman"/>
                      <w:b/>
                      <w:sz w:val="62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62"/>
                    </w:rPr>
                  </w:pPr>
                </w:p>
              </w:txbxContent>
            </v:textbox>
          </v:shape>
        </w:pic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This is an infection of the bone by Mycobacterium tuberculosis organism. It showed a decline in its prevalence in the twentieth century due to improved treatment, good nutrition and public health </w:t>
      </w:r>
      <w:r>
        <w:rPr>
          <w:rFonts w:ascii="Times New Roman" w:hAnsi="Times New Roman"/>
          <w:b/>
          <w:sz w:val="24"/>
          <w:szCs w:val="24"/>
        </w:rPr>
        <w:t>programmes. However</w:t>
      </w:r>
      <w:r>
        <w:rPr>
          <w:rFonts w:ascii="Times New Roman" w:hAnsi="Times New Roman"/>
          <w:b/>
          <w:sz w:val="24"/>
          <w:szCs w:val="24"/>
        </w:rPr>
        <w:t xml:space="preserve"> extra-pulmonary has risen again due to general increase in the proportion</w:t>
      </w:r>
      <w:r>
        <w:rPr>
          <w:rFonts w:ascii="Times New Roman" w:hAnsi="Times New Roman"/>
          <w:b/>
          <w:sz w:val="24"/>
          <w:szCs w:val="24"/>
        </w:rPr>
        <w:t xml:space="preserve"> of elderly people, changes in population movements, spread of intravenous drug abuse and emergence of AIDS.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skeletal manifestations of the disease are seen chiefly in the spine and the large joints.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Predisposing conditions include, chronic debilitating disorders like diabetes, drug abuse, prolonged corticosteroid medication, AIDS and other disorders resulting in reduced defense mechanism.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PATHOLOGY: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Mycobacterium tuberculosis (usually human, sometimes bovine) enters the body via the lung (droplet infection) or the gut (swallowing infected milk products) or rarely through the skin.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PRIMARY COMPLEX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A lesion in the lung, pharynx or gut with lymphatic spread to regional lymph nodes. Enlargement of glands in the neck or abdomen.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 be latent with body immunity.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SECONDARY SPREAD: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Via blood stream may occur giving rise to military tuberculosis, meningitis or multiple tuberculous lesions.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TERTIARY LESION: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Bones or joints are affected in about 5% of the patients with TB.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Affects vertebral bodies (POTTS DISEASE) and large synovial joints.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Formation of abscess with pus and fragments of necrotic bone.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Destruction of articular cartilage.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Bone erosion leading to osteoporosis.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Formation of cold abscess which burst and form tuberculous ulcer.</w:t>
      </w:r>
    </w:p>
    <w:p>
      <w:pPr>
        <w:pStyle w:val="style179"/>
        <w:numPr>
          <w:ilvl w:val="0"/>
          <w:numId w:val="1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 lead to joint destruction if untreated.</w:t>
      </w:r>
    </w:p>
    <w:p>
      <w:pPr>
        <w:pStyle w:val="style179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FEATURES: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History of previous infection or recent contact with TB.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Pain and joint swelling.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Fever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Night sweats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Loss of weight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Muscle spasm.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Muscle wasting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Enlarged lymph nodes.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Limited joint movements.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Stiffy joint and deformity.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Collapse of lumber region leading to kyphosis.</w:t>
      </w:r>
    </w:p>
    <w:p>
      <w:pPr>
        <w:pStyle w:val="style179"/>
        <w:numPr>
          <w:ilvl w:val="0"/>
          <w:numId w:val="6"/>
        </w:numPr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Weakness or instability of the lower limbs.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INVESTIGATIONS: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History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X-rays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Blood for full haemogram</w:t>
      </w:r>
      <w:r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z w:val="24"/>
          <w:szCs w:val="24"/>
        </w:rPr>
        <w:t>Raised ESR.White blood cells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Manteaux test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Acid fast bacilli(AFB).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Blood cultures 80% positive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Synovial Biopsy is more reliable.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DIFFERENTIAL DIAGNOSIS: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1.Transiet synovitis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2.Monoarticular Rheumatoid arthritis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3.Subacute arthritis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4.Haemorrhagic arthritis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5.Pyogenic arthritis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TREATMENT.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REST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Splintage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Chemotherapy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Combinations of drugs used, for 6 months.</w:t>
      </w:r>
    </w:p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Operation</w:t>
      </w:r>
      <w:r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z w:val="24"/>
          <w:szCs w:val="24"/>
        </w:rPr>
        <w:t>Drainage</w:t>
      </w:r>
      <w:r>
        <w:rPr>
          <w:rFonts w:ascii="Times New Roman" w:hAnsi="Times New Roman"/>
          <w:b/>
          <w:sz w:val="24"/>
          <w:szCs w:val="24"/>
        </w:rPr>
        <w:t xml:space="preserve"> of abscesses and joint replacement.</w:t>
      </w:r>
    </w:p>
    <w:p>
      <w:pPr>
        <w:pStyle w:val="style179"/>
        <w:tabs>
          <w:tab w:val="left" w:leader="none" w:pos="3215"/>
        </w:tabs>
        <w:spacing w:after="0" w:lineRule="auto" w:line="360"/>
        <w:ind w:left="1440"/>
        <w:rPr>
          <w:rFonts w:ascii="Times New Roman" w:hAnsi="Times New Roman"/>
          <w:b/>
          <w:sz w:val="24"/>
          <w:szCs w:val="24"/>
        </w:rPr>
      </w:pPr>
    </w:p>
    <w:bookmarkStart w:id="0" w:name="_GoBack"/>
    <w:bookmarkEnd w:id="0"/>
    <w:p>
      <w:pPr>
        <w:pStyle w:val="style0"/>
        <w:tabs>
          <w:tab w:val="left" w:leader="none" w:pos="3215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  <w:p>
    <w:pPr>
      <w:pStyle w:val="style32"/>
      <w:jc w:val="right"/>
      <w:rPr/>
    </w:pPr>
    <w:r>
      <w:t>Vivanet</w:t>
    </w:r>
    <w:r>
      <w:t xml:space="preserve"> Solutions – </w:t>
    </w:r>
    <w:r>
      <w:rPr>
        <w:rFonts w:ascii="Monotype Corsiva" w:hAnsi="Monotype Corsiva"/>
        <w:sz w:val="24"/>
        <w:szCs w:val="24"/>
      </w:rPr>
      <w:t>Course Development Template</w:t>
    </w:r>
    <w:r>
      <w:rPr>
        <w:rFonts w:ascii="Monotype Corsiva" w:hAnsi="Monotype Corsiva"/>
        <w:sz w:val="24"/>
        <w:szCs w:val="24"/>
      </w:rPr>
      <w:t xml:space="preserve">                                      </w:t>
    </w:r>
    <w:r>
      <w:t xml:space="preserve">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ind w:left="-540"/>
      <w:rPr/>
    </w:pPr>
    <w:r>
      <w:rPr>
        <w:noProof/>
      </w:rPr>
      <w:pict>
        <v:line id="3073" fillcolor="white" from="-21.9pt,36.5pt" to="503.95pt,37.45pt" style="position:absolute;z-index:2;mso-position-horizontal-relative:text;mso-position-vertical-relative:text;mso-width-relative:margin;mso-height-relative:page;mso-wrap-distance-left:0.0pt;mso-wrap-distance-right:0.0pt;visibility:visible;flip:y;">
          <v:stroke joinstyle="miter" color="#5b9bd5" weight="2.25pt"/>
          <v:fill/>
        </v:line>
      </w:pict>
    </w:r>
    <w:r>
      <w:rPr>
        <w:noProof/>
      </w:rPr>
      <w:drawing>
        <wp:inline distT="0" distB="0" distL="0" distR="0">
          <wp:extent cx="2681416" cy="539115"/>
          <wp:effectExtent l="0" t="0" r="5080" b="0"/>
          <wp:docPr id="3074" name="Image1" descr="logo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681416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false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FDA8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3C48704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after="240" w:lineRule="auto" w:line="240"/>
    </w:pPr>
    <w:rPr>
      <w:rFonts w:ascii="Tahoma" w:cs="Tahoma" w:eastAsia="Times New Roman" w:hAnsi="Tahoma"/>
      <w:sz w:val="24"/>
      <w:szCs w:val="24"/>
      <w:lang w:val="en-GB" w:eastAsia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Calibri" w:cs="Times New Roman" w:eastAsia="Calibri" w:hAnsi="Calibri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350</Words>
  <Characters>2139</Characters>
  <Application>Kingsoft Office Writer</Application>
  <DocSecurity>0</DocSecurity>
  <Paragraphs>87</Paragraphs>
  <ScaleCrop>false</ScaleCrop>
  <LinksUpToDate>false</LinksUpToDate>
  <CharactersWithSpaces>2490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2020-08-20T09:26:00Z</dcterms:created>
  <dc:creator>Windows User</dc:creator>
  <lastModifiedBy>Kingsoft Office</lastModifiedBy>
  <dcterms:modified xsi:type="dcterms:W3CDTF">2020-09-05T08:39:00Z</dcterms:modified>
  <revision>4</revision>
</coreProperties>
</file>