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9"/>
        <w:numPr>
          <w:ilvl w:val="0"/>
          <w:numId w:val="0"/>
        </w:numPr>
        <w:jc w:val="center"/>
        <w:rPr>
          <w:rFonts w:hint="default" w:ascii="Times New Roman" w:hAnsi="Times New Roman" w:cs="Times New Roman"/>
          <w:b/>
          <w:bCs/>
          <w:sz w:val="24"/>
          <w:szCs w:val="24"/>
          <w:u w:val="none"/>
          <w:lang w:val="en-GB"/>
        </w:rPr>
      </w:pPr>
      <w:r>
        <w:rPr>
          <w:rFonts w:hint="default" w:ascii="Times New Roman" w:hAnsi="Times New Roman" w:cs="Times New Roman"/>
          <w:b/>
          <w:bCs/>
          <w:sz w:val="24"/>
          <w:szCs w:val="24"/>
          <w:u w:val="none"/>
          <w:lang w:val="en-GB"/>
        </w:rPr>
        <w:t>KENYA SCHOOL OF LAW</w:t>
      </w:r>
    </w:p>
    <w:p>
      <w:pPr>
        <w:pStyle w:val="249"/>
        <w:numPr>
          <w:ilvl w:val="0"/>
          <w:numId w:val="0"/>
        </w:numPr>
        <w:jc w:val="center"/>
        <w:rPr>
          <w:rFonts w:hint="default" w:ascii="Times New Roman" w:hAnsi="Times New Roman" w:cs="Times New Roman"/>
          <w:b/>
          <w:bCs/>
          <w:sz w:val="24"/>
          <w:szCs w:val="24"/>
          <w:u w:val="single"/>
          <w:lang w:val="en-GB"/>
        </w:rPr>
      </w:pPr>
      <w:r>
        <w:drawing>
          <wp:inline distT="0" distB="0" distL="114300" distR="114300">
            <wp:extent cx="3057525" cy="2990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057525" cy="2990850"/>
                    </a:xfrm>
                    <a:prstGeom prst="rect">
                      <a:avLst/>
                    </a:prstGeom>
                    <a:noFill/>
                    <a:ln>
                      <a:noFill/>
                    </a:ln>
                  </pic:spPr>
                </pic:pic>
              </a:graphicData>
            </a:graphic>
          </wp:inline>
        </w:drawing>
      </w: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keepNext w:val="0"/>
        <w:keepLines w:val="0"/>
        <w:widowControl/>
        <w:suppressLineNumbers w:val="0"/>
        <w:spacing w:line="480" w:lineRule="auto"/>
        <w:jc w:val="center"/>
        <w:rPr>
          <w:rFonts w:hint="default" w:ascii="Times New Roman" w:hAnsi="Times New Roman" w:cs="Times New Roman"/>
          <w:b/>
          <w:bCs/>
          <w:lang w:val="en-GB"/>
        </w:rPr>
      </w:pPr>
      <w:r>
        <w:rPr>
          <w:rFonts w:hint="default" w:ascii="Times New Roman" w:hAnsi="Times New Roman" w:eastAsia="TimesNewRomanPS-BoldMT" w:cs="Times New Roman"/>
          <w:b/>
          <w:bCs/>
          <w:color w:val="000000"/>
          <w:kern w:val="0"/>
          <w:sz w:val="24"/>
          <w:szCs w:val="24"/>
          <w:lang w:val="en-US" w:eastAsia="zh-CN" w:bidi="ar"/>
        </w:rPr>
        <w:t>ADVOCATES TRAINING PROGRAM – 202</w:t>
      </w:r>
      <w:r>
        <w:rPr>
          <w:rFonts w:hint="default" w:ascii="Times New Roman" w:hAnsi="Times New Roman" w:eastAsia="TimesNewRomanPS-BoldMT" w:cs="Times New Roman"/>
          <w:b/>
          <w:bCs/>
          <w:color w:val="000000"/>
          <w:kern w:val="0"/>
          <w:sz w:val="24"/>
          <w:szCs w:val="24"/>
          <w:lang w:val="en-GB" w:eastAsia="zh-CN" w:bidi="ar"/>
        </w:rPr>
        <w:t>3</w:t>
      </w:r>
      <w:r>
        <w:rPr>
          <w:rFonts w:hint="default" w:ascii="Times New Roman" w:hAnsi="Times New Roman" w:eastAsia="TimesNewRomanPS-BoldMT" w:cs="Times New Roman"/>
          <w:b/>
          <w:bCs/>
          <w:color w:val="000000"/>
          <w:kern w:val="0"/>
          <w:sz w:val="24"/>
          <w:szCs w:val="24"/>
          <w:lang w:val="en-US" w:eastAsia="zh-CN" w:bidi="ar"/>
        </w:rPr>
        <w:t>/202</w:t>
      </w:r>
      <w:r>
        <w:rPr>
          <w:rFonts w:hint="default" w:ascii="Times New Roman" w:hAnsi="Times New Roman" w:eastAsia="TimesNewRomanPS-BoldMT" w:cs="Times New Roman"/>
          <w:b/>
          <w:bCs/>
          <w:color w:val="000000"/>
          <w:kern w:val="0"/>
          <w:sz w:val="24"/>
          <w:szCs w:val="24"/>
          <w:lang w:val="en-GB" w:eastAsia="zh-CN" w:bidi="ar"/>
        </w:rPr>
        <w:t>4</w:t>
      </w:r>
    </w:p>
    <w:p>
      <w:pPr>
        <w:keepNext w:val="0"/>
        <w:keepLines w:val="0"/>
        <w:widowControl/>
        <w:suppressLineNumbers w:val="0"/>
        <w:spacing w:line="480" w:lineRule="auto"/>
        <w:jc w:val="center"/>
        <w:rPr>
          <w:rFonts w:hint="default" w:ascii="Times New Roman" w:hAnsi="Times New Roman" w:cs="Times New Roman"/>
          <w:b/>
          <w:bCs/>
        </w:rPr>
      </w:pPr>
      <w:r>
        <w:rPr>
          <w:rFonts w:hint="default" w:ascii="Times New Roman" w:hAnsi="Times New Roman" w:eastAsia="TimesNewRomanPS-BoldMT" w:cs="Times New Roman"/>
          <w:b/>
          <w:bCs/>
          <w:color w:val="000000"/>
          <w:kern w:val="0"/>
          <w:sz w:val="24"/>
          <w:szCs w:val="24"/>
          <w:lang w:val="en-US" w:eastAsia="zh-CN" w:bidi="ar"/>
        </w:rPr>
        <w:t>ATP 100: CIVIL LITIGATION</w:t>
      </w:r>
    </w:p>
    <w:p>
      <w:pPr>
        <w:keepNext w:val="0"/>
        <w:keepLines w:val="0"/>
        <w:widowControl/>
        <w:suppressLineNumbers w:val="0"/>
        <w:spacing w:line="480" w:lineRule="auto"/>
        <w:jc w:val="center"/>
        <w:rPr>
          <w:rFonts w:hint="default" w:ascii="Times New Roman" w:hAnsi="Times New Roman" w:cs="Times New Roman"/>
          <w:b/>
          <w:bCs/>
          <w:lang w:val="en-GB"/>
        </w:rPr>
      </w:pPr>
      <w:r>
        <w:rPr>
          <w:rFonts w:hint="default" w:ascii="Times New Roman" w:hAnsi="Times New Roman" w:eastAsia="TimesNewRomanPS-BoldMT" w:cs="Times New Roman"/>
          <w:b/>
          <w:bCs/>
          <w:color w:val="000000"/>
          <w:kern w:val="0"/>
          <w:sz w:val="24"/>
          <w:szCs w:val="24"/>
          <w:lang w:val="en-US" w:eastAsia="zh-CN" w:bidi="ar"/>
        </w:rPr>
        <w:t>PRESENTED BY: FIRM 3</w:t>
      </w:r>
      <w:r>
        <w:rPr>
          <w:rFonts w:hint="default" w:ascii="Times New Roman" w:hAnsi="Times New Roman" w:eastAsia="TimesNewRomanPS-BoldMT" w:cs="Times New Roman"/>
          <w:b/>
          <w:bCs/>
          <w:color w:val="000000"/>
          <w:kern w:val="0"/>
          <w:sz w:val="24"/>
          <w:szCs w:val="24"/>
          <w:lang w:val="en-GB" w:eastAsia="zh-CN" w:bidi="ar"/>
        </w:rPr>
        <w:t>3</w:t>
      </w:r>
      <w:r>
        <w:rPr>
          <w:rFonts w:hint="default" w:ascii="Times New Roman" w:hAnsi="Times New Roman" w:eastAsia="TimesNewRomanPS-BoldMT" w:cs="Times New Roman"/>
          <w:b/>
          <w:bCs/>
          <w:color w:val="000000"/>
          <w:kern w:val="0"/>
          <w:sz w:val="24"/>
          <w:szCs w:val="24"/>
          <w:lang w:val="en-US" w:eastAsia="zh-CN" w:bidi="ar"/>
        </w:rPr>
        <w:t xml:space="preserve"> CLASS </w:t>
      </w:r>
      <w:r>
        <w:rPr>
          <w:rFonts w:hint="default" w:ascii="Times New Roman" w:hAnsi="Times New Roman" w:eastAsia="TimesNewRomanPS-BoldMT" w:cs="Times New Roman"/>
          <w:b/>
          <w:bCs/>
          <w:color w:val="000000"/>
          <w:kern w:val="0"/>
          <w:sz w:val="24"/>
          <w:szCs w:val="24"/>
          <w:lang w:val="en-GB" w:eastAsia="zh-CN" w:bidi="ar"/>
        </w:rPr>
        <w:t>B</w:t>
      </w:r>
    </w:p>
    <w:p>
      <w:pPr>
        <w:keepNext w:val="0"/>
        <w:keepLines w:val="0"/>
        <w:widowControl/>
        <w:suppressLineNumbers w:val="0"/>
        <w:spacing w:line="480" w:lineRule="auto"/>
        <w:jc w:val="center"/>
        <w:rPr>
          <w:rFonts w:hint="default" w:ascii="Times New Roman" w:hAnsi="Times New Roman" w:cs="Times New Roman"/>
          <w:b/>
          <w:bCs/>
          <w:lang w:val="en-GB"/>
        </w:rPr>
      </w:pPr>
      <w:r>
        <w:rPr>
          <w:rFonts w:hint="default" w:ascii="Times New Roman" w:hAnsi="Times New Roman" w:eastAsia="TimesNewRomanPS-BoldMT" w:cs="Times New Roman"/>
          <w:b/>
          <w:bCs/>
          <w:color w:val="000000"/>
          <w:kern w:val="0"/>
          <w:sz w:val="24"/>
          <w:szCs w:val="24"/>
          <w:lang w:val="en-US" w:eastAsia="zh-CN" w:bidi="ar"/>
        </w:rPr>
        <w:t xml:space="preserve">COURSE INSTRUCTOR: MR. </w:t>
      </w:r>
      <w:r>
        <w:rPr>
          <w:rFonts w:hint="default" w:ascii="Times New Roman" w:hAnsi="Times New Roman" w:eastAsia="TimesNewRomanPS-BoldMT" w:cs="Times New Roman"/>
          <w:b/>
          <w:bCs/>
          <w:color w:val="000000"/>
          <w:kern w:val="0"/>
          <w:sz w:val="24"/>
          <w:szCs w:val="24"/>
          <w:lang w:val="en-GB" w:eastAsia="zh-CN" w:bidi="ar"/>
        </w:rPr>
        <w:t>GAD GATHU</w:t>
      </w:r>
    </w:p>
    <w:p>
      <w:pPr>
        <w:keepNext w:val="0"/>
        <w:keepLines w:val="0"/>
        <w:widowControl/>
        <w:suppressLineNumbers w:val="0"/>
        <w:spacing w:line="480" w:lineRule="auto"/>
        <w:jc w:val="center"/>
        <w:rPr>
          <w:rFonts w:hint="default" w:ascii="Times New Roman" w:hAnsi="Times New Roman" w:cs="Times New Roman"/>
          <w:b/>
          <w:bCs/>
          <w:lang w:val="en-GB"/>
        </w:rPr>
      </w:pPr>
      <w:r>
        <w:rPr>
          <w:rFonts w:hint="default" w:ascii="Times New Roman" w:hAnsi="Times New Roman" w:eastAsia="TimesNewRomanPS-BoldMT" w:cs="Times New Roman"/>
          <w:b/>
          <w:bCs/>
          <w:color w:val="000000"/>
          <w:kern w:val="0"/>
          <w:sz w:val="24"/>
          <w:szCs w:val="24"/>
          <w:lang w:val="en-US" w:eastAsia="zh-CN" w:bidi="ar"/>
        </w:rPr>
        <w:t xml:space="preserve">DATE OF SUBMISSION: </w:t>
      </w:r>
      <w:r>
        <w:rPr>
          <w:rFonts w:hint="default" w:ascii="Times New Roman" w:hAnsi="Times New Roman" w:eastAsia="TimesNewRomanPS-BoldMT" w:cs="Times New Roman"/>
          <w:b/>
          <w:bCs/>
          <w:color w:val="000000"/>
          <w:kern w:val="0"/>
          <w:sz w:val="24"/>
          <w:szCs w:val="24"/>
          <w:lang w:val="en-GB" w:eastAsia="zh-CN" w:bidi="ar"/>
        </w:rPr>
        <w:t>26</w:t>
      </w:r>
      <w:r>
        <w:rPr>
          <w:rFonts w:hint="default" w:ascii="Times New Roman" w:hAnsi="Times New Roman" w:eastAsia="TimesNewRomanPS-BoldMT" w:cs="Times New Roman"/>
          <w:b/>
          <w:bCs/>
          <w:color w:val="000000"/>
          <w:kern w:val="0"/>
          <w:sz w:val="24"/>
          <w:szCs w:val="24"/>
          <w:lang w:val="en-US" w:eastAsia="zh-CN" w:bidi="ar"/>
        </w:rPr>
        <w:t>/0</w:t>
      </w:r>
      <w:r>
        <w:rPr>
          <w:rFonts w:hint="default" w:ascii="Times New Roman" w:hAnsi="Times New Roman" w:eastAsia="TimesNewRomanPS-BoldMT" w:cs="Times New Roman"/>
          <w:b/>
          <w:bCs/>
          <w:color w:val="000000"/>
          <w:kern w:val="0"/>
          <w:sz w:val="24"/>
          <w:szCs w:val="24"/>
          <w:lang w:val="en-GB" w:eastAsia="zh-CN" w:bidi="ar"/>
        </w:rPr>
        <w:t>2</w:t>
      </w:r>
      <w:r>
        <w:rPr>
          <w:rFonts w:hint="default" w:ascii="Times New Roman" w:hAnsi="Times New Roman" w:eastAsia="TimesNewRomanPS-BoldMT" w:cs="Times New Roman"/>
          <w:b/>
          <w:bCs/>
          <w:color w:val="000000"/>
          <w:kern w:val="0"/>
          <w:sz w:val="24"/>
          <w:szCs w:val="24"/>
          <w:lang w:val="en-US" w:eastAsia="zh-CN" w:bidi="ar"/>
        </w:rPr>
        <w:t>/202</w:t>
      </w:r>
      <w:r>
        <w:rPr>
          <w:rFonts w:hint="default" w:ascii="Times New Roman" w:hAnsi="Times New Roman" w:eastAsia="TimesNewRomanPS-BoldMT" w:cs="Times New Roman"/>
          <w:b/>
          <w:bCs/>
          <w:color w:val="000000"/>
          <w:kern w:val="0"/>
          <w:sz w:val="24"/>
          <w:szCs w:val="24"/>
          <w:lang w:val="en-GB" w:eastAsia="zh-CN" w:bidi="ar"/>
        </w:rPr>
        <w:t>3</w:t>
      </w:r>
    </w:p>
    <w:p>
      <w:pPr>
        <w:pStyle w:val="249"/>
        <w:numPr>
          <w:ilvl w:val="0"/>
          <w:numId w:val="0"/>
        </w:numPr>
        <w:spacing w:line="480" w:lineRule="auto"/>
        <w:jc w:val="center"/>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ind w:firstLine="361" w:firstLineChars="150"/>
        <w:jc w:val="both"/>
        <w:rPr>
          <w:rFonts w:ascii="Times New Roman" w:hAnsi="Times New Roman" w:cs="Times New Roman"/>
          <w:b/>
          <w:bCs/>
          <w:sz w:val="24"/>
          <w:szCs w:val="24"/>
          <w:u w:val="single"/>
          <w:lang w:val="en-GB"/>
        </w:rPr>
      </w:pPr>
      <w:r>
        <w:rPr>
          <w:rFonts w:ascii="Times New Roman" w:hAnsi="Times New Roman" w:cs="Times New Roman"/>
          <w:b/>
          <w:bCs/>
          <w:sz w:val="24"/>
          <w:szCs w:val="24"/>
          <w:u w:val="single"/>
          <w:lang w:val="en-GB"/>
        </w:rPr>
        <w:t>FIRM 33 MEMBERS</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DERRICK MIKA OKUMU THUMA</w:t>
      </w:r>
      <w:r>
        <w:rPr>
          <w:rFonts w:ascii="Times New Roman" w:hAnsi="Times New Roman" w:cs="Times New Roman"/>
          <w:b/>
          <w:bCs/>
          <w:sz w:val="24"/>
          <w:szCs w:val="24"/>
          <w:lang w:val="en-GB"/>
        </w:rPr>
        <w:tab/>
      </w: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20230514</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GWEDEYA WINFRED SIFA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20230624</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BRIAN CHERES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20231339</w:t>
      </w:r>
      <w:bookmarkStart w:id="0" w:name="_GoBack"/>
      <w:bookmarkEnd w:id="0"/>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WAIREGI KENETH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20230183</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GICHANGI BRENDAH NJERI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20231287</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ANGELINA MUTIO NDETO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20230145</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LEILA CHEBET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20231446</w:t>
      </w:r>
    </w:p>
    <w:p>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BRENDA KOECH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20230137</w:t>
      </w: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val="0"/>
          <w:bCs w:val="0"/>
          <w:sz w:val="24"/>
          <w:szCs w:val="24"/>
          <w:u w:val="none"/>
          <w:lang w:val="en-GB"/>
        </w:rPr>
      </w:pPr>
      <w:r>
        <w:rPr>
          <w:rFonts w:hint="default" w:ascii="Times New Roman" w:hAnsi="Times New Roman" w:cs="Times New Roman"/>
          <w:b/>
          <w:bCs/>
          <w:sz w:val="24"/>
          <w:szCs w:val="24"/>
          <w:u w:val="single"/>
          <w:lang w:val="en-GB"/>
        </w:rPr>
        <w:t>QUESTION 1</w:t>
      </w:r>
    </w:p>
    <w:p>
      <w:pPr>
        <w:pStyle w:val="249"/>
        <w:numPr>
          <w:ilvl w:val="0"/>
          <w:numId w:val="0"/>
        </w:numPr>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While a court may be clothed with jurisdiction, the extent of that jurisdiction may be limited in various ways. Discuss.  </w:t>
      </w:r>
    </w:p>
    <w:p>
      <w:pPr>
        <w:spacing w:line="360" w:lineRule="auto"/>
        <w:rPr>
          <w:rFonts w:hint="default" w:ascii="Times New Roman" w:hAnsi="Times New Roman" w:cs="Times New Roman"/>
          <w:b/>
          <w:bCs/>
          <w:i/>
          <w:iCs/>
          <w:color w:val="auto"/>
          <w:sz w:val="24"/>
          <w:szCs w:val="24"/>
          <w:u w:val="single"/>
          <w:lang w:val="en-GB"/>
        </w:rPr>
      </w:pPr>
    </w:p>
    <w:p>
      <w:pPr>
        <w:spacing w:line="360" w:lineRule="auto"/>
        <w:rPr>
          <w:rFonts w:hint="default" w:ascii="Times New Roman" w:hAnsi="Times New Roman" w:cs="Times New Roman"/>
          <w:b/>
          <w:bCs/>
          <w:i w:val="0"/>
          <w:iCs w:val="0"/>
          <w:color w:val="auto"/>
          <w:sz w:val="24"/>
          <w:szCs w:val="24"/>
          <w:u w:val="single"/>
          <w:lang w:val="en-GB"/>
        </w:rPr>
      </w:pPr>
      <w:r>
        <w:rPr>
          <w:rFonts w:hint="default" w:ascii="Times New Roman" w:hAnsi="Times New Roman" w:cs="Times New Roman"/>
          <w:b/>
          <w:bCs/>
          <w:i w:val="0"/>
          <w:iCs w:val="0"/>
          <w:color w:val="auto"/>
          <w:sz w:val="24"/>
          <w:szCs w:val="24"/>
          <w:u w:val="single"/>
          <w:lang w:val="en-GB"/>
        </w:rPr>
        <w:t>INTRODUCTION</w:t>
      </w:r>
    </w:p>
    <w:p>
      <w:pPr>
        <w:pStyle w:val="85"/>
        <w:keepNext w:val="0"/>
        <w:keepLines w:val="0"/>
        <w:widowControl/>
        <w:suppressLineNumbers w:val="0"/>
        <w:shd w:val="clear" w:fill="FFFFFF"/>
        <w:spacing w:before="0" w:beforeAutospacing="0" w:after="150" w:afterAutospacing="0" w:line="324" w:lineRule="atLeast"/>
        <w:ind w:left="0" w:right="0" w:firstLine="0"/>
        <w:jc w:val="both"/>
        <w:rPr>
          <w:rFonts w:ascii="sans-serif" w:hAnsi="sans-serif" w:eastAsia="sans-serif" w:cs="sans-serif"/>
          <w:i w:val="0"/>
          <w:iCs w:val="0"/>
          <w:caps w:val="0"/>
          <w:color w:val="000000" w:themeColor="text1"/>
          <w:spacing w:val="0"/>
          <w:sz w:val="24"/>
          <w:szCs w:val="24"/>
          <w14:textFill>
            <w14:solidFill>
              <w14:schemeClr w14:val="tx1"/>
            </w14:solidFill>
          </w14:textFill>
        </w:rPr>
      </w:pPr>
      <w:r>
        <w:rPr>
          <w:rStyle w:val="31"/>
          <w:rFonts w:ascii="Times New Roman" w:hAnsi="Times New Roman" w:eastAsia="SimSun" w:cs="Times New Roman"/>
          <w:i/>
          <w:iCs/>
          <w:caps w:val="0"/>
          <w:color w:val="000000" w:themeColor="text1"/>
          <w:spacing w:val="0"/>
          <w:sz w:val="24"/>
          <w:szCs w:val="24"/>
          <w:shd w:val="clear" w:fill="FFFFFF"/>
          <w14:textFill>
            <w14:solidFill>
              <w14:schemeClr w14:val="tx1"/>
            </w14:solidFill>
          </w14:textFill>
        </w:rPr>
        <w:t>Jurisdiction</w:t>
      </w:r>
      <w:r>
        <w:rPr>
          <w:rStyle w:val="31"/>
          <w:rFonts w:hint="default" w:ascii="Times New Roman" w:hAnsi="Times New Roman" w:eastAsia="SimSun" w:cs="Times New Roman"/>
          <w:i/>
          <w:iCs/>
          <w:caps w:val="0"/>
          <w:color w:val="000000" w:themeColor="text1"/>
          <w:spacing w:val="0"/>
          <w:sz w:val="24"/>
          <w:szCs w:val="24"/>
          <w:shd w:val="clear" w:fill="FFFFFF"/>
          <w14:textFill>
            <w14:solidFill>
              <w14:schemeClr w14:val="tx1"/>
            </w14:solidFill>
          </w14:textFill>
        </w:rPr>
        <w:t> </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is defined in </w:t>
      </w:r>
      <w:r>
        <w:rPr>
          <w:rStyle w:val="92"/>
          <w:rFonts w:hint="default" w:ascii="Times New Roman" w:hAnsi="Times New Roman" w:eastAsia="SimSun" w:cs="Times New Roman"/>
          <w:b/>
          <w:bCs/>
          <w:i/>
          <w:iCs/>
          <w:caps w:val="0"/>
          <w:color w:val="000000" w:themeColor="text1"/>
          <w:spacing w:val="0"/>
          <w:sz w:val="24"/>
          <w:szCs w:val="24"/>
          <w:shd w:val="clear" w:fill="FFFFFF"/>
          <w14:textFill>
            <w14:solidFill>
              <w14:schemeClr w14:val="tx1"/>
            </w14:solidFill>
          </w14:textFill>
        </w:rPr>
        <w:t>Halsbury’s</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 </w:t>
      </w:r>
      <w:r>
        <w:rPr>
          <w:rStyle w:val="92"/>
          <w:rFonts w:hint="default" w:ascii="Times New Roman" w:hAnsi="Times New Roman" w:eastAsia="SimSun" w:cs="Times New Roman"/>
          <w:b/>
          <w:bCs/>
          <w:i/>
          <w:iCs/>
          <w:caps w:val="0"/>
          <w:color w:val="000000" w:themeColor="text1"/>
          <w:spacing w:val="0"/>
          <w:sz w:val="24"/>
          <w:szCs w:val="24"/>
          <w:shd w:val="clear" w:fill="FFFFFF"/>
          <w14:textFill>
            <w14:solidFill>
              <w14:schemeClr w14:val="tx1"/>
            </w14:solidFill>
          </w14:textFill>
        </w:rPr>
        <w:t>Laws of England</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 xml:space="preserve"> as “…</w:t>
      </w:r>
      <w:r>
        <w:rPr>
          <w:rStyle w:val="31"/>
          <w:rFonts w:hint="default" w:ascii="Times New Roman" w:hAnsi="Times New Roman" w:eastAsia="SimSun" w:cs="Times New Roman"/>
          <w:i/>
          <w:iCs/>
          <w:caps w:val="0"/>
          <w:color w:val="000000" w:themeColor="text1"/>
          <w:spacing w:val="0"/>
          <w:sz w:val="24"/>
          <w:szCs w:val="24"/>
          <w:shd w:val="clear" w:fill="FFFFFF"/>
          <w14:textFill>
            <w14:solidFill>
              <w14:schemeClr w14:val="tx1"/>
            </w14:solidFill>
          </w14:textFill>
        </w:rPr>
        <w:t>the authority which a Court has to decide matters that are litigated before it or to take cognizance of matters presented in a formal way for decision.”. </w:t>
      </w:r>
      <w:r>
        <w:rPr>
          <w:rStyle w:val="92"/>
          <w:rFonts w:hint="default" w:ascii="Times New Roman" w:hAnsi="Times New Roman" w:eastAsia="SimSun" w:cs="Times New Roman"/>
          <w:b/>
          <w:bCs/>
          <w:i/>
          <w:iCs/>
          <w:caps w:val="0"/>
          <w:color w:val="000000" w:themeColor="text1"/>
          <w:spacing w:val="0"/>
          <w:sz w:val="24"/>
          <w:szCs w:val="24"/>
          <w:shd w:val="clear" w:fill="FFFFFF"/>
          <w14:textFill>
            <w14:solidFill>
              <w14:schemeClr w14:val="tx1"/>
            </w14:solidFill>
          </w14:textFill>
        </w:rPr>
        <w:t>Black’s Law Dictionary</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 defines </w:t>
      </w:r>
      <w:r>
        <w:rPr>
          <w:rStyle w:val="31"/>
          <w:rFonts w:hint="default" w:ascii="Times New Roman" w:hAnsi="Times New Roman" w:eastAsia="SimSun" w:cs="Times New Roman"/>
          <w:i/>
          <w:iCs/>
          <w:caps w:val="0"/>
          <w:color w:val="000000" w:themeColor="text1"/>
          <w:spacing w:val="0"/>
          <w:sz w:val="24"/>
          <w:szCs w:val="24"/>
          <w:shd w:val="clear" w:fill="FFFFFF"/>
          <w14:textFill>
            <w14:solidFill>
              <w14:schemeClr w14:val="tx1"/>
            </w14:solidFill>
          </w14:textFill>
        </w:rPr>
        <w:t>jurisdiction</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 as the Court’s power to entertain, hear and determine a dispute before it</w:t>
      </w:r>
      <w:r>
        <w:rPr>
          <w:rFonts w:hint="default" w:cs="Times New Roman"/>
          <w:i w:val="0"/>
          <w:iCs w:val="0"/>
          <w:caps w:val="0"/>
          <w:color w:val="000000" w:themeColor="text1"/>
          <w:spacing w:val="0"/>
          <w:sz w:val="24"/>
          <w:szCs w:val="24"/>
          <w:shd w:val="clear" w:fill="FFFFFF"/>
          <w:lang w:val="en-GB"/>
          <w14:textFill>
            <w14:solidFill>
              <w14:schemeClr w14:val="tx1"/>
            </w14:solidFill>
          </w14:textFill>
        </w:rPr>
        <w:t>.</w:t>
      </w:r>
      <w:r>
        <w:rPr>
          <w:rStyle w:val="38"/>
          <w:rFonts w:hint="default" w:cs="Times New Roman"/>
          <w:i w:val="0"/>
          <w:iCs w:val="0"/>
          <w:caps w:val="0"/>
          <w:color w:val="000000" w:themeColor="text1"/>
          <w:spacing w:val="0"/>
          <w:sz w:val="24"/>
          <w:szCs w:val="24"/>
          <w:shd w:val="clear" w:fill="FFFFFF"/>
          <w:lang w:val="en-GB"/>
          <w14:textFill>
            <w14:solidFill>
              <w14:schemeClr w14:val="tx1"/>
            </w14:solidFill>
          </w14:textFill>
        </w:rPr>
        <w:footnoteReference w:id="0"/>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John Beecroft Saunders defines </w:t>
      </w:r>
      <w:r>
        <w:rPr>
          <w:rStyle w:val="31"/>
          <w:rFonts w:hint="default" w:ascii="Times New Roman" w:hAnsi="Times New Roman" w:eastAsia="sans-serif" w:cs="Times New Roman"/>
          <w:i/>
          <w:iCs/>
          <w:caps w:val="0"/>
          <w:color w:val="000000" w:themeColor="text1"/>
          <w:spacing w:val="0"/>
          <w:sz w:val="24"/>
          <w:szCs w:val="24"/>
          <w:shd w:val="clear" w:fill="FFFFFF"/>
          <w14:textFill>
            <w14:solidFill>
              <w14:schemeClr w14:val="tx1"/>
            </w14:solidFill>
          </w14:textFill>
        </w:rPr>
        <w:t>jurisdiction</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as follows:</w:t>
      </w:r>
    </w:p>
    <w:p>
      <w:pPr>
        <w:pStyle w:val="85"/>
        <w:keepNext w:val="0"/>
        <w:keepLines w:val="0"/>
        <w:widowControl/>
        <w:suppressLineNumbers w:val="0"/>
        <w:shd w:val="clear" w:fill="FFFFFF"/>
        <w:spacing w:before="0" w:beforeAutospacing="0" w:after="150" w:afterAutospacing="0" w:line="324" w:lineRule="atLeast"/>
        <w:ind w:left="600" w:right="0" w:firstLine="0"/>
        <w:jc w:val="both"/>
        <w:rPr>
          <w:rFonts w:hint="default" w:ascii="sans-serif" w:hAnsi="sans-serif" w:eastAsia="sans-serif" w:cs="sans-serif"/>
          <w:i w:val="0"/>
          <w:iCs w:val="0"/>
          <w:caps w:val="0"/>
          <w:color w:val="000000" w:themeColor="text1"/>
          <w:spacing w:val="0"/>
          <w:sz w:val="24"/>
          <w:szCs w:val="24"/>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By jurisdiction is meant the authority which a Court has to decide matters that are litigated before it or to take cognisance of matters presented in a formal way for its decision. The limits of this authority are imposed by the statute, charter or commission under which the Court is constituted, and may be extended or restricted by like means. If no restriction or limit is imposed, the jurisdiction is said to be unlimited. A limitation may be either as to the kind and nature of the actions and matters of which the particular Court has cognisance or as to the area over which the jurisdiction shall extend, or it may partake both these characteristics…. Where a Court takes upon itself to exercise a jurisdiction which it does not possess, its decision amounts to nothing. Jurisdiction must be acquired before judgment is given.</w:t>
      </w:r>
      <w:r>
        <w:rPr>
          <w:rStyle w:val="38"/>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footnoteReference w:id="1"/>
      </w:r>
    </w:p>
    <w:p>
      <w:pPr>
        <w:pStyle w:val="85"/>
        <w:keepNext w:val="0"/>
        <w:keepLines w:val="0"/>
        <w:widowControl/>
        <w:suppressLineNumbers w:val="0"/>
        <w:shd w:val="clear" w:fill="FFFFFF"/>
        <w:spacing w:before="0" w:beforeAutospacing="0" w:after="150" w:afterAutospacing="0" w:line="324" w:lineRule="atLeast"/>
        <w:ind w:left="0" w:right="0" w:firstLine="0"/>
        <w:jc w:val="both"/>
        <w:rPr>
          <w:rFonts w:hint="default" w:ascii="sans-serif" w:hAnsi="sans-serif" w:eastAsia="sans-serif" w:cs="sans-serif"/>
          <w:i w:val="0"/>
          <w:iCs w:val="0"/>
          <w:caps w:val="0"/>
          <w:color w:val="000000" w:themeColor="text1"/>
          <w:spacing w:val="0"/>
          <w:sz w:val="24"/>
          <w:szCs w:val="24"/>
          <w14:textFill>
            <w14:solidFill>
              <w14:schemeClr w14:val="tx1"/>
            </w14:solidFill>
          </w14:textFill>
        </w:rPr>
      </w:pPr>
      <w:r>
        <w:rPr>
          <w:rFonts w:hint="default" w:eastAsia="sans-serif" w:cs="Times New Roman"/>
          <w:i w:val="0"/>
          <w:iCs w:val="0"/>
          <w:caps w:val="0"/>
          <w:color w:val="000000" w:themeColor="text1"/>
          <w:spacing w:val="0"/>
          <w:sz w:val="24"/>
          <w:szCs w:val="24"/>
          <w:shd w:val="clear" w:fill="FFFFFF"/>
          <w:lang w:val="en-GB"/>
          <w14:textFill>
            <w14:solidFill>
              <w14:schemeClr w14:val="tx1"/>
            </w14:solidFill>
          </w14:textFill>
        </w:rPr>
        <w:t>J</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urisdiction is so central in judicial proceedings</w:t>
      </w:r>
      <w:r>
        <w:rPr>
          <w:rFonts w:hint="default" w:eastAsia="sans-serif" w:cs="Times New Roman"/>
          <w:i w:val="0"/>
          <w:iCs w:val="0"/>
          <w:caps w:val="0"/>
          <w:color w:val="000000" w:themeColor="text1"/>
          <w:spacing w:val="0"/>
          <w:sz w:val="24"/>
          <w:szCs w:val="24"/>
          <w:shd w:val="clear" w:fill="FFFFFF"/>
          <w:lang w:val="en-GB"/>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A Court acting without jurisdiction is acting in vain. All it engages in is nullity. </w:t>
      </w:r>
      <w:r>
        <w:rPr>
          <w:rStyle w:val="31"/>
          <w:rFonts w:hint="default" w:ascii="Times New Roman" w:hAnsi="Times New Roman" w:eastAsia="sans-serif" w:cs="Times New Roman"/>
          <w:i/>
          <w:iCs/>
          <w:caps w:val="0"/>
          <w:color w:val="000000" w:themeColor="text1"/>
          <w:spacing w:val="0"/>
          <w:sz w:val="24"/>
          <w:szCs w:val="24"/>
          <w:shd w:val="clear" w:fill="FFFFFF"/>
          <w14:textFill>
            <w14:solidFill>
              <w14:schemeClr w14:val="tx1"/>
            </w14:solidFill>
          </w14:textFill>
        </w:rPr>
        <w:t>Nyarangi, JA,</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in </w:t>
      </w:r>
      <w:r>
        <w:rPr>
          <w:rStyle w:val="92"/>
          <w:rFonts w:hint="default" w:ascii="Times New Roman" w:hAnsi="Times New Roman" w:eastAsia="sans-serif" w:cs="Times New Roman"/>
          <w:b/>
          <w:bCs/>
          <w:i/>
          <w:iCs/>
          <w:caps w:val="0"/>
          <w:color w:val="000000" w:themeColor="text1"/>
          <w:spacing w:val="0"/>
          <w:sz w:val="24"/>
          <w:szCs w:val="24"/>
          <w:shd w:val="clear" w:fill="FFFFFF"/>
          <w14:textFill>
            <w14:solidFill>
              <w14:schemeClr w14:val="tx1"/>
            </w14:solidFill>
          </w14:textFill>
        </w:rPr>
        <w:t>Owners of</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w:t>
      </w:r>
      <w:r>
        <w:rPr>
          <w:rStyle w:val="31"/>
          <w:rFonts w:hint="default" w:ascii="Times New Roman" w:hAnsi="Times New Roman" w:eastAsia="sans-serif" w:cs="Times New Roman"/>
          <w:b/>
          <w:bCs/>
          <w:i/>
          <w:iCs/>
          <w:caps w:val="0"/>
          <w:color w:val="000000" w:themeColor="text1"/>
          <w:spacing w:val="0"/>
          <w:sz w:val="24"/>
          <w:szCs w:val="24"/>
          <w:shd w:val="clear" w:fill="FFFFFF"/>
          <w14:textFill>
            <w14:solidFill>
              <w14:schemeClr w14:val="tx1"/>
            </w14:solidFill>
          </w14:textFill>
        </w:rPr>
        <w:t>Motor Vessel ‘Lillian S’ v Caltex Oil (Kenya) Limited</w:t>
      </w:r>
      <w:r>
        <w:rPr>
          <w:rStyle w:val="38"/>
          <w:rFonts w:hint="default" w:ascii="Times New Roman" w:hAnsi="Times New Roman" w:eastAsia="sans-serif" w:cs="Times New Roman"/>
          <w:b/>
          <w:bCs/>
          <w:i/>
          <w:iCs/>
          <w:caps w:val="0"/>
          <w:color w:val="000000" w:themeColor="text1"/>
          <w:spacing w:val="0"/>
          <w:sz w:val="24"/>
          <w:szCs w:val="24"/>
          <w:shd w:val="clear" w:fill="FFFFFF"/>
          <w14:textFill>
            <w14:solidFill>
              <w14:schemeClr w14:val="tx1"/>
            </w14:solidFill>
          </w14:textFill>
        </w:rPr>
        <w:footnoteReference w:id="2"/>
      </w:r>
      <w:r>
        <w:rPr>
          <w:rStyle w:val="31"/>
          <w:rFonts w:hint="default" w:eastAsia="sans-serif" w:cs="Times New Roman"/>
          <w:b/>
          <w:bCs/>
          <w:i/>
          <w:iCs/>
          <w:caps w:val="0"/>
          <w:color w:val="000000" w:themeColor="text1"/>
          <w:spacing w:val="0"/>
          <w:sz w:val="24"/>
          <w:szCs w:val="24"/>
          <w:shd w:val="clear" w:fill="FFFFFF"/>
          <w:lang w:val="en-GB"/>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expressed himself as follows on the issue of jurisdiction: -</w:t>
      </w:r>
    </w:p>
    <w:p>
      <w:pPr>
        <w:pStyle w:val="85"/>
        <w:keepNext w:val="0"/>
        <w:keepLines w:val="0"/>
        <w:widowControl/>
        <w:suppressLineNumbers w:val="0"/>
        <w:shd w:val="clear" w:fill="FFFFFF"/>
        <w:spacing w:before="0" w:beforeAutospacing="0" w:after="150" w:afterAutospacing="0" w:line="324" w:lineRule="atLeast"/>
        <w:ind w:left="600" w:right="0" w:firstLine="0"/>
        <w:jc w:val="both"/>
        <w:rPr>
          <w:rFonts w:hint="default" w:ascii="sans-serif" w:hAnsi="sans-serif" w:eastAsia="sans-serif" w:cs="sans-serif"/>
          <w:i w:val="0"/>
          <w:iCs w:val="0"/>
          <w:caps w:val="0"/>
          <w:color w:val="000000" w:themeColor="text1"/>
          <w:spacing w:val="0"/>
          <w:sz w:val="24"/>
          <w:szCs w:val="24"/>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Jurisdiction is everything. Without it, a court has no power to make one more step. Where a court has no jurisdiction, there would be no basis for a continuation of proceedings…</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Kenya, the jurisdiction of a court may be limited in various ways, including: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Subject matter jurisdiction: A court can only hear cases within its subject matter jurisdiction. For example, the High Court has jurisdiction over cases involving constitutional law, criminal law, and civil disputes exceeding a certain monetary threshold. Magistrates' Courts, on the other hand, have jurisdiction over less serious criminal and civil cases.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Territorial jurisdiction: A court's jurisdiction may be limited to a specific geographic area. For example, a Magistrate's Court may only have jurisdiction over cases that arise within its territorial jurisdiction.</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Hierarchical jurisdiction: The jurisdiction of a court may also be limited by its position within the hierarchy of courts. For example, a Magistrate's Court can only hear cases that fall within its jurisdictional limits, while the High Court has appellate jurisdiction over decisions made by the Magistrate's Court.</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limitations: Some courts may have jurisdiction over cases only within a specific timeframe. For example, the Employment and Labour Relations Court has jurisdiction over cases involving labour disputes that arise within six months of the cause of action.</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Personal jurisdiction: The jurisdiction of a court may be limited by the identity or status of the parties involved. For example, a court may not have jurisdiction over a foreign national who is not present within the country.</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conclusion, while a court may have jurisdiction over certain cases, the extent of that jurisdiction may be limited in various ways. It is important for litigants to understand these limitations to ensure that they file their cases in the appropriate court.</w:t>
      </w:r>
    </w:p>
    <w:p>
      <w:pPr>
        <w:spacing w:line="360" w:lineRule="auto"/>
        <w:rPr>
          <w:rFonts w:hint="default" w:ascii="Times New Roman" w:hAnsi="Times New Roman" w:cs="Times New Roman"/>
          <w:sz w:val="24"/>
          <w:szCs w:val="24"/>
          <w:lang w:val="en-GB"/>
        </w:rPr>
      </w:pPr>
    </w:p>
    <w:p>
      <w:pPr>
        <w:spacing w:line="360" w:lineRule="auto"/>
        <w:rPr>
          <w:rFonts w:hint="default" w:ascii="Times New Roman" w:hAnsi="Times New Roman" w:cs="Times New Roman"/>
          <w:sz w:val="24"/>
          <w:szCs w:val="24"/>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r>
        <w:rPr>
          <w:rFonts w:hint="default" w:ascii="Times New Roman" w:hAnsi="Times New Roman" w:cs="Times New Roman"/>
          <w:b/>
          <w:bCs/>
          <w:color w:val="auto"/>
          <w:sz w:val="24"/>
          <w:szCs w:val="24"/>
          <w:u w:val="single"/>
          <w:lang w:val="en-GB"/>
        </w:rPr>
        <w:t>QUESTION 2</w:t>
      </w:r>
    </w:p>
    <w:p>
      <w:pPr>
        <w:pStyle w:val="249"/>
        <w:numPr>
          <w:ilvl w:val="0"/>
          <w:numId w:val="0"/>
        </w:num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Pr>
        <w:t>Mpenda Kesi has had a long running dispute with a bank. The dispute dates way back to the year 2000 when he took a loan which was secured by a charge over his property. Mpenda Kesi defaulted on the loan and the bank eventually sold the property. The sale resulted in the court dispute. On 11</w:t>
      </w:r>
      <w:r>
        <w:rPr>
          <w:rFonts w:hint="default" w:ascii="Times New Roman" w:hAnsi="Times New Roman" w:cs="Times New Roman"/>
          <w:i/>
          <w:iCs/>
          <w:sz w:val="24"/>
          <w:szCs w:val="24"/>
          <w:vertAlign w:val="superscript"/>
        </w:rPr>
        <w:t>th</w:t>
      </w:r>
      <w:r>
        <w:rPr>
          <w:rFonts w:hint="default" w:ascii="Times New Roman" w:hAnsi="Times New Roman" w:cs="Times New Roman"/>
          <w:i/>
          <w:iCs/>
          <w:sz w:val="24"/>
          <w:szCs w:val="24"/>
        </w:rPr>
        <w:t xml:space="preserve"> October 2022, the Court of appeal delivered a verdict on an appeal that had been filed by Mpenda Kesi challenging a High Court decision that upheld the sale by the Bank. During the hearing of the Appeal at the Court of Appeal, the Court only gave Mpenda Kesi three minutes to submit which he feels was not enough. When he lost the appeal, he sought leave to appeal to the Supreme Court from both the Court of Appeal and the Supreme Court. Both Courts denied him the leave. </w:t>
      </w:r>
    </w:p>
    <w:p>
      <w:pPr>
        <w:pStyle w:val="249"/>
        <w:spacing w:line="360" w:lineRule="auto"/>
        <w:rPr>
          <w:rFonts w:hint="default" w:ascii="Times New Roman" w:hAnsi="Times New Roman" w:cs="Times New Roman"/>
          <w:i/>
          <w:iCs/>
          <w:sz w:val="24"/>
          <w:szCs w:val="24"/>
        </w:rPr>
      </w:pPr>
    </w:p>
    <w:p>
      <w:pPr>
        <w:pStyle w:val="249"/>
        <w:numPr>
          <w:ilvl w:val="0"/>
          <w:numId w:val="0"/>
        </w:num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Pr>
        <w:t>Mpenda Kesi now feels that the Court of Appeal infringed on his right to fair administrative action by not allowing him enough time to ventilate his appeal. He strongly feels that he should file a Judicial Review application before the High Court on the said ground. He is however open to advice and he has approached you for advice. Advice him</w:t>
      </w:r>
      <w:r>
        <w:rPr>
          <w:rFonts w:hint="default" w:ascii="Times New Roman" w:hAnsi="Times New Roman" w:cs="Times New Roman"/>
          <w:i/>
          <w:iCs/>
          <w:sz w:val="24"/>
          <w:szCs w:val="24"/>
          <w:lang w:val="en-GB"/>
        </w:rPr>
        <w:t xml:space="preserve"> </w:t>
      </w:r>
      <w:r>
        <w:rPr>
          <w:rFonts w:hint="default" w:ascii="Times New Roman" w:hAnsi="Times New Roman" w:cs="Times New Roman"/>
          <w:i/>
          <w:iCs/>
          <w:sz w:val="24"/>
          <w:szCs w:val="24"/>
        </w:rPr>
        <w:t>Mpenda Kesi has had a long running dispute with a bank. The dispute dates way back to the year 2000 when he took a loan which was secured by a charge over his property. Mpenda Kesi defaulted on the loan and the bank eventually sold the property. The sale resulted in the court dispute. On 11</w:t>
      </w:r>
      <w:r>
        <w:rPr>
          <w:rFonts w:hint="default" w:ascii="Times New Roman" w:hAnsi="Times New Roman" w:cs="Times New Roman"/>
          <w:i/>
          <w:iCs/>
          <w:sz w:val="24"/>
          <w:szCs w:val="24"/>
          <w:vertAlign w:val="superscript"/>
        </w:rPr>
        <w:t>th</w:t>
      </w:r>
      <w:r>
        <w:rPr>
          <w:rFonts w:hint="default" w:ascii="Times New Roman" w:hAnsi="Times New Roman" w:cs="Times New Roman"/>
          <w:i/>
          <w:iCs/>
          <w:sz w:val="24"/>
          <w:szCs w:val="24"/>
        </w:rPr>
        <w:t xml:space="preserve"> October 2022, the Court of appeal delivered a verdict on an appeal that had been filed by Mpenda Kesi challenging a High Court decision that upheld the sale by the Bank. During the hearing of the Appeal at the Court of Appeal, the Court only gave Mpenda Kesi three minutes to submit which he feels was not enough. When he lost the appeal, he sought leave to appeal to the Supreme Court from both the Court of Appeal and the Supreme Court. Both Courts denied him the leave. </w:t>
      </w:r>
    </w:p>
    <w:p>
      <w:pPr>
        <w:pStyle w:val="249"/>
        <w:spacing w:line="360" w:lineRule="auto"/>
        <w:rPr>
          <w:rFonts w:hint="default" w:ascii="Times New Roman" w:hAnsi="Times New Roman" w:cs="Times New Roman"/>
          <w:i/>
          <w:iCs/>
          <w:sz w:val="24"/>
          <w:szCs w:val="24"/>
        </w:rPr>
      </w:pPr>
    </w:p>
    <w:p>
      <w:pPr>
        <w:pStyle w:val="249"/>
        <w:spacing w:line="360" w:lineRule="auto"/>
        <w:ind w:left="0" w:leftChars="0" w:firstLine="0" w:firstLineChars="0"/>
        <w:jc w:val="both"/>
      </w:pPr>
      <w:r>
        <w:rPr>
          <w:rFonts w:hint="default" w:ascii="Times New Roman" w:hAnsi="Times New Roman" w:cs="Times New Roman"/>
          <w:i/>
          <w:iCs/>
          <w:sz w:val="24"/>
          <w:szCs w:val="24"/>
        </w:rPr>
        <w:t>Mpenda Kesi now feels that the Court of Appeal infringed on his right to fair administrative action by not allowing him enough time to ventilate his appeal. He strongly feels that he should file a Judicial Review application before the High Court on the said ground. He is however open to advice and he has approached you for advice. Advice him</w:t>
      </w:r>
      <w:r>
        <w:t xml:space="preserve">. </w:t>
      </w:r>
    </w:p>
    <w:p>
      <w:pPr>
        <w:spacing w:line="360" w:lineRule="auto"/>
        <w:rPr>
          <w:rFonts w:hint="default" w:ascii="Times New Roman" w:hAnsi="Times New Roman" w:cs="Times New Roman"/>
          <w:color w:val="auto"/>
          <w:sz w:val="24"/>
          <w:szCs w:val="24"/>
          <w:lang w:val="en-GB"/>
        </w:rPr>
      </w:pPr>
    </w:p>
    <w:p>
      <w:pPr>
        <w:spacing w:line="360" w:lineRule="auto"/>
        <w:rPr>
          <w:rFonts w:hint="default" w:ascii="Times New Roman" w:hAnsi="Times New Roman" w:cs="Times New Roman"/>
          <w:b/>
          <w:bCs/>
          <w:color w:val="auto"/>
          <w:sz w:val="24"/>
          <w:szCs w:val="24"/>
          <w:u w:val="single"/>
          <w:lang w:val="en-GB"/>
        </w:rPr>
      </w:pPr>
    </w:p>
    <w:p>
      <w:pPr>
        <w:spacing w:line="360" w:lineRule="auto"/>
        <w:rPr>
          <w:rFonts w:hint="default" w:ascii="Times New Roman" w:hAnsi="Times New Roman" w:cs="Times New Roman"/>
          <w:b/>
          <w:bCs/>
          <w:color w:val="auto"/>
          <w:sz w:val="24"/>
          <w:szCs w:val="24"/>
          <w:u w:val="single"/>
          <w:lang w:val="en-GB"/>
        </w:rPr>
      </w:pPr>
      <w:r>
        <w:rPr>
          <w:rFonts w:hint="default" w:ascii="Times New Roman" w:hAnsi="Times New Roman" w:cs="Times New Roman"/>
          <w:b/>
          <w:bCs/>
          <w:color w:val="auto"/>
          <w:sz w:val="24"/>
          <w:szCs w:val="24"/>
          <w:u w:val="single"/>
          <w:lang w:val="en-GB"/>
        </w:rPr>
        <w:t>INTRODUCTION</w:t>
      </w:r>
    </w:p>
    <w:p>
      <w:pPr>
        <w:spacing w:line="360" w:lineRule="auto"/>
        <w:rPr>
          <w:rFonts w:hint="default" w:ascii="Times New Roman" w:hAnsi="Times New Roman" w:cs="Times New Roman"/>
          <w:b w:val="0"/>
          <w:bCs w:val="0"/>
          <w:color w:val="auto"/>
          <w:sz w:val="24"/>
          <w:szCs w:val="24"/>
          <w:u w:val="none"/>
          <w:lang w:val="en-GB"/>
        </w:rPr>
      </w:pPr>
      <w:r>
        <w:rPr>
          <w:rFonts w:hint="default" w:ascii="Times New Roman" w:hAnsi="Times New Roman" w:cs="Times New Roman"/>
          <w:b w:val="0"/>
          <w:bCs w:val="0"/>
          <w:color w:val="auto"/>
          <w:sz w:val="24"/>
          <w:szCs w:val="24"/>
          <w:u w:val="none"/>
          <w:lang w:val="en-GB"/>
        </w:rPr>
        <w:t>The issues arising from the above scenario include;</w:t>
      </w:r>
    </w:p>
    <w:p>
      <w:pPr>
        <w:numPr>
          <w:ilvl w:val="0"/>
          <w:numId w:val="11"/>
        </w:numPr>
        <w:spacing w:line="360" w:lineRule="auto"/>
        <w:ind w:left="425" w:leftChars="0" w:hanging="425" w:firstLineChars="0"/>
        <w:rPr>
          <w:rFonts w:hint="default" w:ascii="Times New Roman" w:hAnsi="Times New Roman" w:cs="Times New Roman"/>
          <w:b w:val="0"/>
          <w:bCs w:val="0"/>
          <w:color w:val="auto"/>
          <w:sz w:val="24"/>
          <w:szCs w:val="24"/>
          <w:u w:val="none"/>
          <w:lang w:val="en-GB"/>
        </w:rPr>
      </w:pPr>
      <w:r>
        <w:rPr>
          <w:rFonts w:hint="default" w:ascii="Times New Roman" w:hAnsi="Times New Roman" w:cs="Times New Roman"/>
          <w:b w:val="0"/>
          <w:bCs w:val="0"/>
          <w:color w:val="auto"/>
          <w:sz w:val="24"/>
          <w:szCs w:val="24"/>
          <w:u w:val="none"/>
          <w:lang w:val="en-GB"/>
        </w:rPr>
        <w:t>Whether the chargee has a statutory power of sale upon default by a borrower</w:t>
      </w:r>
    </w:p>
    <w:p>
      <w:pPr>
        <w:numPr>
          <w:ilvl w:val="0"/>
          <w:numId w:val="11"/>
        </w:numPr>
        <w:spacing w:line="360" w:lineRule="auto"/>
        <w:ind w:left="425" w:leftChars="0" w:hanging="425" w:firstLineChars="0"/>
        <w:rPr>
          <w:rFonts w:hint="default" w:ascii="Times New Roman" w:hAnsi="Times New Roman" w:cs="Times New Roman"/>
          <w:b w:val="0"/>
          <w:bCs w:val="0"/>
          <w:color w:val="auto"/>
          <w:sz w:val="24"/>
          <w:szCs w:val="24"/>
          <w:u w:val="none"/>
          <w:lang w:val="en-GB"/>
        </w:rPr>
      </w:pPr>
      <w:r>
        <w:rPr>
          <w:rFonts w:hint="default" w:ascii="Times New Roman" w:hAnsi="Times New Roman" w:cs="Times New Roman"/>
          <w:b w:val="0"/>
          <w:bCs w:val="0"/>
          <w:color w:val="auto"/>
          <w:sz w:val="24"/>
          <w:szCs w:val="24"/>
          <w:u w:val="none"/>
          <w:lang w:val="en-GB"/>
        </w:rPr>
        <w:t>Whether Mpenda Kesi has a right to appeal</w:t>
      </w:r>
    </w:p>
    <w:p>
      <w:pPr>
        <w:numPr>
          <w:ilvl w:val="0"/>
          <w:numId w:val="11"/>
        </w:numPr>
        <w:spacing w:line="360" w:lineRule="auto"/>
        <w:ind w:left="425" w:leftChars="0" w:hanging="425" w:firstLineChars="0"/>
        <w:rPr>
          <w:rFonts w:hint="default" w:ascii="Times New Roman" w:hAnsi="Times New Roman" w:cs="Times New Roman"/>
          <w:b w:val="0"/>
          <w:bCs w:val="0"/>
          <w:color w:val="auto"/>
          <w:sz w:val="24"/>
          <w:szCs w:val="24"/>
          <w:u w:val="none"/>
          <w:lang w:val="en-GB"/>
        </w:rPr>
      </w:pPr>
      <w:r>
        <w:rPr>
          <w:rFonts w:hint="default" w:ascii="Times New Roman" w:hAnsi="Times New Roman" w:cs="Times New Roman"/>
          <w:b w:val="0"/>
          <w:bCs w:val="0"/>
          <w:color w:val="auto"/>
          <w:sz w:val="24"/>
          <w:szCs w:val="24"/>
          <w:u w:val="none"/>
          <w:lang w:val="en-GB"/>
        </w:rPr>
        <w:t>Whether there is a legal basis for judicial review</w:t>
      </w:r>
    </w:p>
    <w:p>
      <w:pPr>
        <w:spacing w:line="360" w:lineRule="auto"/>
        <w:rPr>
          <w:rFonts w:hint="default" w:ascii="Times New Roman" w:hAnsi="Times New Roman" w:cs="Times New Roman"/>
          <w:color w:val="auto"/>
          <w:sz w:val="24"/>
          <w:szCs w:val="24"/>
          <w:lang w:val="en-GB"/>
        </w:rPr>
      </w:pPr>
    </w:p>
    <w:p>
      <w:pPr>
        <w:spacing w:line="360" w:lineRule="auto"/>
        <w:rPr>
          <w:rFonts w:hint="default" w:ascii="Times New Roman" w:hAnsi="Times New Roman" w:cs="Times New Roman"/>
          <w:b/>
          <w:bCs/>
          <w:i/>
          <w:iCs/>
          <w:color w:val="auto"/>
          <w:sz w:val="24"/>
          <w:szCs w:val="24"/>
          <w:lang w:val="en-GB"/>
        </w:rPr>
      </w:pPr>
      <w:r>
        <w:rPr>
          <w:rFonts w:hint="default" w:ascii="Times New Roman" w:hAnsi="Times New Roman" w:cs="Times New Roman"/>
          <w:b/>
          <w:bCs/>
          <w:i/>
          <w:iCs/>
          <w:color w:val="auto"/>
          <w:sz w:val="24"/>
          <w:szCs w:val="24"/>
          <w:lang w:val="en-GB"/>
        </w:rPr>
        <w:t>Mpenda Kesi took a loan from a bank which was secured by a charge over his property.He defaulted on the loan and the bank eventually sold the property hence the issue of whether the chargee has a statutory power of sale upon default by a borrower.</w:t>
      </w:r>
    </w:p>
    <w:p>
      <w:pPr>
        <w:spacing w:line="360" w:lineRule="auto"/>
        <w:rPr>
          <w:rFonts w:hint="default" w:ascii="Times New Roman" w:hAnsi="Times New Roman" w:cs="Times New Roman"/>
          <w:b/>
          <w:bCs/>
          <w:color w:val="auto"/>
          <w:sz w:val="24"/>
          <w:szCs w:val="24"/>
          <w:lang w:val="en-GB"/>
        </w:rPr>
      </w:pPr>
    </w:p>
    <w:p>
      <w:pPr>
        <w:spacing w:line="360" w:lineRule="auto"/>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 charge is a form of security for the payment of a debt or performance of an obligation.It is an interest in land securing the payment of money or money’s worth or the fulfillment of any condition.The definition includes the instrument creating a charge,an informal charge and a customary charge.A charge permits the lender to be in a privileged position of being a secured creditor of the borrower.The lender thus enjoys priority over the borrower’s unsecured creditors in the event that the borrower becomes insolvent.</w:t>
      </w:r>
    </w:p>
    <w:p>
      <w:pPr>
        <w:spacing w:line="360" w:lineRule="auto"/>
        <w:rPr>
          <w:rFonts w:hint="default" w:ascii="Times New Roman" w:hAnsi="Times New Roman" w:cs="Times New Roman"/>
          <w:color w:val="auto"/>
          <w:sz w:val="24"/>
          <w:szCs w:val="24"/>
          <w:lang w:val="en-GB"/>
        </w:rPr>
      </w:pPr>
    </w:p>
    <w:p>
      <w:pPr>
        <w:spacing w:line="360" w:lineRule="auto"/>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In terms of recovery of the loan,a Chargee therefore enjoys personal right based on the loan contract as well as proprietary right potentially enforceable against third parties.Mortgages vested the property in the Chargee while a charge merely gives certain rights such as the right to possess or sell.Mortagages have been phased out under the new land laws.Section 2 of the Land Act defines a charge as an interest in land securing the payment of money or money's worth or the fulfillment of any condition and includes a sub charge and the interest creating the charge,including  an informal charge and a a Customary charge.Upon payment of the loan,the property is discharged.</w:t>
      </w:r>
    </w:p>
    <w:p>
      <w:pPr>
        <w:spacing w:line="360" w:lineRule="auto"/>
        <w:rPr>
          <w:rFonts w:hint="default" w:ascii="Times New Roman" w:hAnsi="Times New Roman" w:cs="Times New Roman"/>
          <w:color w:val="auto"/>
          <w:sz w:val="24"/>
          <w:szCs w:val="24"/>
          <w:lang w:val="en-GB"/>
        </w:rPr>
      </w:pPr>
    </w:p>
    <w:p>
      <w:pPr>
        <w:spacing w:line="360" w:lineRule="auto"/>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The remedies of a chargee as set out under Section 90 of the Land Act include</w:t>
      </w:r>
      <w:r>
        <w:rPr>
          <w:rStyle w:val="38"/>
          <w:rFonts w:hint="default" w:ascii="Times New Roman" w:hAnsi="Times New Roman" w:cs="Times New Roman"/>
          <w:color w:val="auto"/>
          <w:sz w:val="24"/>
          <w:szCs w:val="24"/>
          <w:lang w:val="en-GB"/>
        </w:rPr>
        <w:footnoteReference w:id="3"/>
      </w:r>
      <w:r>
        <w:rPr>
          <w:rFonts w:hint="default" w:ascii="Times New Roman" w:hAnsi="Times New Roman" w:cs="Times New Roman"/>
          <w:color w:val="auto"/>
          <w:sz w:val="24"/>
          <w:szCs w:val="24"/>
          <w:lang w:val="en-GB"/>
        </w:rPr>
        <w:t>;</w:t>
      </w:r>
    </w:p>
    <w:p>
      <w:pPr>
        <w:numPr>
          <w:ilvl w:val="0"/>
          <w:numId w:val="12"/>
        </w:numPr>
        <w:spacing w:line="360" w:lineRule="auto"/>
        <w:ind w:left="425" w:leftChars="0" w:hanging="425" w:firstLineChars="0"/>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Sue for the repayment of loan but this could take long an sometimes even after judgement it is hard to enforce</w:t>
      </w:r>
    </w:p>
    <w:p>
      <w:pPr>
        <w:numPr>
          <w:ilvl w:val="0"/>
          <w:numId w:val="12"/>
        </w:numPr>
        <w:spacing w:line="360" w:lineRule="auto"/>
        <w:ind w:left="425" w:leftChars="0" w:hanging="425" w:firstLineChars="0"/>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Appoint a receiver of the income of the charged property</w:t>
      </w:r>
    </w:p>
    <w:p>
      <w:pPr>
        <w:numPr>
          <w:ilvl w:val="0"/>
          <w:numId w:val="12"/>
        </w:numPr>
        <w:spacing w:line="360" w:lineRule="auto"/>
        <w:ind w:left="425" w:leftChars="0" w:hanging="425" w:firstLineChars="0"/>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Lease the charged property or if the is of a lease,sublease the land</w:t>
      </w:r>
    </w:p>
    <w:p>
      <w:pPr>
        <w:numPr>
          <w:ilvl w:val="0"/>
          <w:numId w:val="12"/>
        </w:numPr>
        <w:spacing w:line="360" w:lineRule="auto"/>
        <w:ind w:left="425" w:leftChars="0" w:hanging="425" w:firstLineChars="0"/>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Enter into possession of the charged land</w:t>
      </w:r>
    </w:p>
    <w:p>
      <w:pPr>
        <w:numPr>
          <w:ilvl w:val="0"/>
          <w:numId w:val="12"/>
        </w:numPr>
        <w:spacing w:line="360" w:lineRule="auto"/>
        <w:ind w:left="425" w:leftChars="0" w:hanging="425" w:firstLineChars="0"/>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Sell the charged land</w:t>
      </w:r>
    </w:p>
    <w:p>
      <w:pPr>
        <w:numPr>
          <w:ilvl w:val="0"/>
          <w:numId w:val="0"/>
        </w:numPr>
        <w:spacing w:line="360" w:lineRule="auto"/>
        <w:rPr>
          <w:rFonts w:hint="default" w:ascii="Times New Roman" w:hAnsi="Times New Roman" w:cs="Times New Roman"/>
          <w:color w:val="auto"/>
          <w:sz w:val="24"/>
          <w:szCs w:val="24"/>
          <w:lang w:val="en-GB"/>
        </w:rPr>
      </w:pPr>
    </w:p>
    <w:p>
      <w:pPr>
        <w:numPr>
          <w:ilvl w:val="0"/>
          <w:numId w:val="0"/>
        </w:numPr>
        <w:spacing w:line="360" w:lineRule="auto"/>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Other remedies include,the equity of redemption.</w:t>
      </w:r>
    </w:p>
    <w:p>
      <w:pPr>
        <w:numPr>
          <w:ilvl w:val="0"/>
          <w:numId w:val="0"/>
        </w:numPr>
        <w:spacing w:line="360" w:lineRule="auto"/>
        <w:rPr>
          <w:rFonts w:hint="default" w:ascii="Times New Roman" w:hAnsi="Times New Roman" w:eastAsia="LiberationSerif_23_2" w:cs="Times New Roman"/>
          <w:i w:val="0"/>
          <w:iCs w:val="0"/>
          <w:caps w:val="0"/>
          <w:color w:val="auto"/>
          <w:spacing w:val="0"/>
          <w:sz w:val="24"/>
          <w:szCs w:val="24"/>
          <w:shd w:val="clear" w:fill="FFFFFF"/>
          <w:vertAlign w:val="baseline"/>
          <w:lang w:val="en-GB"/>
        </w:rPr>
      </w:pPr>
      <w:r>
        <w:rPr>
          <w:rFonts w:hint="default" w:ascii="Times New Roman" w:hAnsi="Times New Roman" w:eastAsia="LiberationSerif_23_2" w:cs="Times New Roman"/>
          <w:i w:val="0"/>
          <w:iCs w:val="0"/>
          <w:caps w:val="0"/>
          <w:color w:val="auto"/>
          <w:spacing w:val="0"/>
          <w:sz w:val="24"/>
          <w:szCs w:val="24"/>
          <w:shd w:val="clear" w:fill="FFFFFF"/>
          <w:vertAlign w:val="baseline"/>
        </w:rPr>
        <w:t>The equity of redemption is an equitable doctrine which states that the chargee’s equity of</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redemption should not be fettered or clogged.</w:t>
      </w:r>
      <w:r>
        <w:rPr>
          <w:rFonts w:hint="default" w:ascii="Times New Roman" w:hAnsi="Times New Roman" w:eastAsia="LiberationSerif_23_2" w:cs="Times New Roman"/>
          <w:i w:val="0"/>
          <w:iCs w:val="0"/>
          <w:caps w:val="0"/>
          <w:color w:val="auto"/>
          <w:spacing w:val="-2"/>
          <w:sz w:val="24"/>
          <w:szCs w:val="24"/>
          <w:shd w:val="clear" w:fill="FFFFFF"/>
          <w:vertAlign w:val="baseline"/>
        </w:rPr>
        <w:t>A defaulting chargor should prevent foreclosure</w:t>
      </w:r>
      <w:r>
        <w:rPr>
          <w:rFonts w:hint="default" w:ascii="Times New Roman" w:hAnsi="Times New Roman" w:eastAsia="LiberationSerif_23_2" w:cs="Times New Roman"/>
          <w:i w:val="0"/>
          <w:iCs w:val="0"/>
          <w:caps w:val="0"/>
          <w:color w:val="auto"/>
          <w:spacing w:val="-2"/>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proceedings on the property and redeem the charged property by discharging the debt secured by</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the charge within a reasonable amount of time (thereby curing the default).Any provision in the</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charge which purports to limit, postpone or exclude the chargor’s equity of redemption is</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prohibited. The right to redeem is therefore absolute. It is guaranteed under s</w:t>
      </w:r>
      <w:r>
        <w:rPr>
          <w:rFonts w:hint="default" w:ascii="Times New Roman" w:hAnsi="Times New Roman" w:eastAsia="LiberationSerif-Bold_28_2" w:cs="Times New Roman"/>
          <w:i w:val="0"/>
          <w:iCs w:val="0"/>
          <w:caps w:val="0"/>
          <w:color w:val="auto"/>
          <w:spacing w:val="0"/>
          <w:sz w:val="24"/>
          <w:szCs w:val="24"/>
          <w:shd w:val="clear" w:fill="FFFFFF"/>
          <w:vertAlign w:val="baseline"/>
        </w:rPr>
        <w:t>ection 89 of the</w:t>
      </w:r>
      <w:r>
        <w:rPr>
          <w:rFonts w:hint="default" w:ascii="Times New Roman" w:hAnsi="Times New Roman" w:eastAsia="LiberationSerif-Bold_28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Bold_28_2" w:cs="Times New Roman"/>
          <w:i w:val="0"/>
          <w:iCs w:val="0"/>
          <w:caps w:val="0"/>
          <w:color w:val="auto"/>
          <w:spacing w:val="0"/>
          <w:sz w:val="24"/>
          <w:szCs w:val="24"/>
          <w:shd w:val="clear" w:fill="FFFFFF"/>
          <w:vertAlign w:val="baseline"/>
        </w:rPr>
        <w:t>Land Act 2012</w:t>
      </w:r>
      <w:r>
        <w:rPr>
          <w:rStyle w:val="38"/>
          <w:rFonts w:hint="default" w:ascii="Times New Roman" w:hAnsi="Times New Roman" w:eastAsia="LiberationSerif-Bold_28_2" w:cs="Times New Roman"/>
          <w:i w:val="0"/>
          <w:iCs w:val="0"/>
          <w:caps w:val="0"/>
          <w:color w:val="auto"/>
          <w:spacing w:val="0"/>
          <w:sz w:val="24"/>
          <w:szCs w:val="24"/>
          <w:shd w:val="clear" w:fill="FFFFFF"/>
        </w:rPr>
        <w:footnoteReference w:id="4"/>
      </w:r>
      <w:r>
        <w:rPr>
          <w:rFonts w:hint="default" w:ascii="Times New Roman" w:hAnsi="Times New Roman" w:eastAsia="LiberationSerif-Bold_28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which provides that:Any rule of law written or unwritten, entitling a chargee to foreclose (prevent) the equity of</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redemption in a charged land is prohibited.</w:t>
      </w:r>
      <w:r>
        <w:rPr>
          <w:rFonts w:hint="default" w:ascii="Times New Roman" w:hAnsi="Times New Roman" w:eastAsia="LiberationSerif_23_2" w:cs="Times New Roman"/>
          <w:i w:val="0"/>
          <w:iCs w:val="0"/>
          <w:caps w:val="0"/>
          <w:color w:val="auto"/>
          <w:spacing w:val="-2"/>
          <w:sz w:val="24"/>
          <w:szCs w:val="24"/>
          <w:shd w:val="clear" w:fill="FFFFFF"/>
          <w:vertAlign w:val="baseline"/>
        </w:rPr>
        <w:t>A chargee is not entitled to enter in possession of the charged land or a charged lease or to</w:t>
      </w:r>
      <w:r>
        <w:rPr>
          <w:rFonts w:hint="default" w:ascii="Times New Roman" w:hAnsi="Times New Roman" w:eastAsia="LiberationSerif_23_2" w:cs="Times New Roman"/>
          <w:i w:val="0"/>
          <w:iCs w:val="0"/>
          <w:caps w:val="0"/>
          <w:color w:val="auto"/>
          <w:spacing w:val="-2"/>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receive the rents and profits of that land or lease by reason only that default has been made in the</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payment of the principal sum or any interest that accrues in the periodic payment.</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In</w:t>
      </w:r>
      <w:r>
        <w:rPr>
          <w:rFonts w:hint="default" w:ascii="Times New Roman" w:hAnsi="Times New Roman" w:eastAsia="LiberationSerif_23_2" w:cs="Times New Roman"/>
          <w:i/>
          <w:iCs/>
          <w:caps w:val="0"/>
          <w:color w:val="auto"/>
          <w:spacing w:val="0"/>
          <w:sz w:val="24"/>
          <w:szCs w:val="24"/>
          <w:shd w:val="clear" w:fill="FFFFFF"/>
          <w:vertAlign w:val="baseline"/>
          <w:lang w:val="en-GB"/>
        </w:rPr>
        <w:t xml:space="preserve"> </w:t>
      </w:r>
      <w:r>
        <w:rPr>
          <w:rFonts w:hint="default" w:ascii="Times New Roman" w:hAnsi="Times New Roman" w:eastAsia="LiberationSerif-BoldItalic_2d_2" w:cs="Times New Roman"/>
          <w:i/>
          <w:iCs/>
          <w:caps w:val="0"/>
          <w:color w:val="auto"/>
          <w:spacing w:val="0"/>
          <w:sz w:val="24"/>
          <w:szCs w:val="24"/>
          <w:shd w:val="clear" w:fill="FFFFFF"/>
          <w:vertAlign w:val="baseline"/>
        </w:rPr>
        <w:t>Industrial and Commercial Development Company v Kariuki &amp; Another</w:t>
      </w:r>
      <w:r>
        <w:rPr>
          <w:rFonts w:hint="default" w:ascii="Times New Roman" w:hAnsi="Times New Roman" w:eastAsia="LiberationSerif_23_2" w:cs="Times New Roman"/>
          <w:i w:val="0"/>
          <w:iCs w:val="0"/>
          <w:caps w:val="0"/>
          <w:color w:val="auto"/>
          <w:spacing w:val="0"/>
          <w:sz w:val="24"/>
          <w:szCs w:val="24"/>
          <w:shd w:val="clear" w:fill="FFFFFF"/>
          <w:vertAlign w:val="baseline"/>
        </w:rPr>
        <w:t>, the Court stated</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that the</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Bold_28_2" w:cs="Times New Roman"/>
          <w:i w:val="0"/>
          <w:iCs w:val="0"/>
          <w:caps w:val="0"/>
          <w:color w:val="auto"/>
          <w:spacing w:val="-2"/>
          <w:sz w:val="24"/>
          <w:szCs w:val="24"/>
          <w:shd w:val="clear" w:fill="FFFFFF"/>
          <w:vertAlign w:val="baseline"/>
        </w:rPr>
        <w:t>right of redemption subsists until the transfer is</w:t>
      </w:r>
      <w:r>
        <w:rPr>
          <w:rFonts w:hint="default" w:ascii="Times New Roman" w:hAnsi="Times New Roman" w:eastAsia="LiberationSerif-Bold_28_2" w:cs="Times New Roman"/>
          <w:i w:val="0"/>
          <w:iCs w:val="0"/>
          <w:caps w:val="0"/>
          <w:color w:val="auto"/>
          <w:spacing w:val="-2"/>
          <w:sz w:val="24"/>
          <w:szCs w:val="24"/>
          <w:shd w:val="clear" w:fill="FFFFFF"/>
          <w:vertAlign w:val="baseline"/>
          <w:lang w:val="en-GB"/>
        </w:rPr>
        <w:t xml:space="preserve"> registered.</w:t>
      </w:r>
    </w:p>
    <w:p>
      <w:pPr>
        <w:numPr>
          <w:ilvl w:val="0"/>
          <w:numId w:val="0"/>
        </w:numPr>
        <w:spacing w:line="360" w:lineRule="auto"/>
        <w:rPr>
          <w:rFonts w:hint="default" w:ascii="Times New Roman" w:hAnsi="Times New Roman" w:eastAsia="LiberationSerif_23_2" w:cs="Times New Roman"/>
          <w:i w:val="0"/>
          <w:iCs w:val="0"/>
          <w:caps w:val="0"/>
          <w:color w:val="auto"/>
          <w:spacing w:val="0"/>
          <w:sz w:val="24"/>
          <w:szCs w:val="24"/>
          <w:shd w:val="clear" w:fill="FFFFFF"/>
          <w:vertAlign w:val="baseline"/>
        </w:rPr>
      </w:pPr>
    </w:p>
    <w:p>
      <w:pPr>
        <w:numPr>
          <w:ilvl w:val="0"/>
          <w:numId w:val="0"/>
        </w:numPr>
        <w:spacing w:line="360" w:lineRule="auto"/>
        <w:rPr>
          <w:rFonts w:hint="default" w:ascii="Times New Roman" w:hAnsi="Times New Roman" w:eastAsia="LiberationSerif_23_2" w:cs="Times New Roman"/>
          <w:i w:val="0"/>
          <w:iCs w:val="0"/>
          <w:caps w:val="0"/>
          <w:color w:val="auto"/>
          <w:spacing w:val="0"/>
          <w:sz w:val="24"/>
          <w:szCs w:val="24"/>
          <w:shd w:val="clear" w:fill="FFFFFF"/>
          <w:vertAlign w:val="baseline"/>
          <w:lang w:val="en-GB"/>
        </w:rPr>
      </w:pP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In the case </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of </w:t>
      </w:r>
      <w:r>
        <w:rPr>
          <w:rFonts w:hint="default" w:ascii="Times New Roman" w:hAnsi="Times New Roman" w:eastAsia="LiberationSerif_23_2" w:cs="Times New Roman"/>
          <w:i/>
          <w:iCs/>
          <w:caps w:val="0"/>
          <w:color w:val="auto"/>
          <w:spacing w:val="0"/>
          <w:sz w:val="24"/>
          <w:szCs w:val="24"/>
          <w:shd w:val="clear" w:fill="FFFFFF"/>
          <w:vertAlign w:val="baseline"/>
          <w:lang w:val="en-GB"/>
        </w:rPr>
        <w:t>Albert</w:t>
      </w:r>
      <w:r>
        <w:rPr>
          <w:rFonts w:hint="default" w:ascii="Times New Roman" w:hAnsi="Times New Roman" w:eastAsia="LiberationSerif-BoldItalic_2d_2" w:cs="Times New Roman"/>
          <w:i/>
          <w:iCs/>
          <w:caps w:val="0"/>
          <w:color w:val="auto"/>
          <w:spacing w:val="0"/>
          <w:sz w:val="24"/>
          <w:szCs w:val="24"/>
          <w:shd w:val="clear" w:fill="FFFFFF"/>
          <w:vertAlign w:val="baseline"/>
        </w:rPr>
        <w:t xml:space="preserve"> Mario Cordeiro &amp; another v Vishram Shamji [2015] eKLR</w:t>
      </w:r>
      <w:r>
        <w:rPr>
          <w:rFonts w:hint="default" w:ascii="Times New Roman" w:hAnsi="Times New Roman" w:eastAsia="LiberationSerif-BoldItalic_2d_2" w:cs="Times New Roman"/>
          <w:i w:val="0"/>
          <w:iCs w:val="0"/>
          <w:caps w:val="0"/>
          <w:color w:val="auto"/>
          <w:spacing w:val="0"/>
          <w:sz w:val="24"/>
          <w:szCs w:val="24"/>
          <w:shd w:val="clear" w:fill="FFFFFF"/>
          <w:vertAlign w:val="baseline"/>
        </w:rPr>
        <w:t>,</w:t>
      </w:r>
      <w:r>
        <w:rPr>
          <w:rFonts w:hint="default" w:ascii="Times New Roman" w:hAnsi="Times New Roman" w:eastAsia="LiberationSerif_23_2" w:cs="Times New Roman"/>
          <w:i w:val="0"/>
          <w:iCs w:val="0"/>
          <w:caps w:val="0"/>
          <w:color w:val="auto"/>
          <w:spacing w:val="0"/>
          <w:sz w:val="24"/>
          <w:szCs w:val="24"/>
          <w:shd w:val="clear" w:fill="FFFFFF"/>
          <w:vertAlign w:val="baseline"/>
        </w:rPr>
        <w:t>the Court</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stated </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that until</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 the enactment of the Land Law, 2012, equity of redemption had been left to</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 xml:space="preserve"> </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judicial interpretation and case law. But later it had gained statutory expression in section 89 </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of the</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 Land Act which provided expressly that equity of redemption would not be </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extinguished except</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 in accordance with the provisions of the said Act. Therefore,</w:t>
      </w:r>
      <w:r>
        <w:rPr>
          <w:rFonts w:hint="default" w:ascii="Times New Roman" w:hAnsi="Times New Roman" w:eastAsia="LiberationSerif-Bold_28_2" w:cs="Times New Roman"/>
          <w:i w:val="0"/>
          <w:iCs w:val="0"/>
          <w:caps w:val="0"/>
          <w:color w:val="auto"/>
          <w:spacing w:val="-2"/>
          <w:sz w:val="24"/>
          <w:szCs w:val="24"/>
          <w:shd w:val="clear" w:fill="FFFFFF"/>
          <w:vertAlign w:val="baseline"/>
        </w:rPr>
        <w:t>exercise of Chargee’s</w:t>
      </w:r>
      <w:r>
        <w:rPr>
          <w:rFonts w:hint="default" w:ascii="Times New Roman" w:hAnsi="Times New Roman" w:eastAsia="LiberationSerif-Bold_28_2" w:cs="Times New Roman"/>
          <w:i w:val="0"/>
          <w:iCs w:val="0"/>
          <w:caps w:val="0"/>
          <w:color w:val="auto"/>
          <w:spacing w:val="-2"/>
          <w:sz w:val="24"/>
          <w:szCs w:val="24"/>
          <w:shd w:val="clear" w:fill="FFFFFF"/>
          <w:vertAlign w:val="baseline"/>
          <w:lang w:val="en-GB"/>
        </w:rPr>
        <w:t xml:space="preserve"> </w:t>
      </w:r>
      <w:r>
        <w:rPr>
          <w:rFonts w:hint="default" w:ascii="Times New Roman" w:hAnsi="Times New Roman" w:eastAsia="LiberationSerif-Bold_28_2" w:cs="Times New Roman"/>
          <w:i w:val="0"/>
          <w:iCs w:val="0"/>
          <w:caps w:val="0"/>
          <w:color w:val="auto"/>
          <w:spacing w:val="0"/>
          <w:sz w:val="24"/>
          <w:szCs w:val="24"/>
          <w:shd w:val="clear" w:fill="FFFFFF"/>
          <w:vertAlign w:val="baseline"/>
        </w:rPr>
        <w:t xml:space="preserve">Statutory Power of Sale would only extinguish the Chargor’s Equity of Redemption if </w:t>
      </w:r>
      <w:r>
        <w:rPr>
          <w:rFonts w:hint="default" w:ascii="Times New Roman" w:hAnsi="Times New Roman" w:eastAsia="LiberationSerif-Bold_28_2" w:cs="Times New Roman"/>
          <w:i w:val="0"/>
          <w:iCs w:val="0"/>
          <w:caps w:val="0"/>
          <w:color w:val="auto"/>
          <w:spacing w:val="0"/>
          <w:sz w:val="24"/>
          <w:szCs w:val="24"/>
          <w:shd w:val="clear" w:fill="FFFFFF"/>
          <w:vertAlign w:val="baseline"/>
          <w:lang w:val="en-GB"/>
        </w:rPr>
        <w:t>it was</w:t>
      </w:r>
      <w:r>
        <w:rPr>
          <w:rFonts w:hint="default" w:ascii="Times New Roman" w:hAnsi="Times New Roman" w:eastAsia="LiberationSerif-Bold_28_2" w:cs="Times New Roman"/>
          <w:i w:val="0"/>
          <w:iCs w:val="0"/>
          <w:caps w:val="0"/>
          <w:color w:val="auto"/>
          <w:spacing w:val="0"/>
          <w:sz w:val="24"/>
          <w:szCs w:val="24"/>
          <w:shd w:val="clear" w:fill="FFFFFF"/>
          <w:vertAlign w:val="baseline"/>
        </w:rPr>
        <w:t xml:space="preserve"> strictly exercised in accordance with the Land Act.</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Section 96(2) of the Land Act </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was one</w:t>
      </w:r>
      <w:r>
        <w:rPr>
          <w:rFonts w:hint="default" w:ascii="Times New Roman" w:hAnsi="Times New Roman" w:eastAsia="LiberationSerif_23_2" w:cs="Times New Roman"/>
          <w:i w:val="0"/>
          <w:iCs w:val="0"/>
          <w:caps w:val="0"/>
          <w:color w:val="auto"/>
          <w:spacing w:val="0"/>
          <w:sz w:val="24"/>
          <w:szCs w:val="24"/>
          <w:shd w:val="clear" w:fill="FFFFFF"/>
          <w:vertAlign w:val="baseline"/>
        </w:rPr>
        <w:t xml:space="preserve"> of the provisions of the Land Act which reinforced the Chargor’s Equity of Redemption</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w:t>
      </w:r>
    </w:p>
    <w:p>
      <w:pPr>
        <w:numPr>
          <w:ilvl w:val="0"/>
          <w:numId w:val="0"/>
        </w:numPr>
        <w:spacing w:line="360" w:lineRule="auto"/>
        <w:rPr>
          <w:rFonts w:hint="default" w:ascii="Times New Roman" w:hAnsi="Times New Roman" w:eastAsia="LiberationSerif_23_2" w:cs="Times New Roman"/>
          <w:b/>
          <w:bCs/>
          <w:i/>
          <w:iCs/>
          <w:caps w:val="0"/>
          <w:color w:val="auto"/>
          <w:spacing w:val="0"/>
          <w:sz w:val="24"/>
          <w:szCs w:val="24"/>
          <w:shd w:val="clear" w:fill="FFFFFF"/>
          <w:vertAlign w:val="baseline"/>
          <w:lang w:val="en-GB"/>
        </w:rPr>
      </w:pPr>
      <w:r>
        <w:rPr>
          <w:rFonts w:hint="default" w:ascii="Times New Roman" w:hAnsi="Times New Roman" w:eastAsia="LiberationSerif_23_2" w:cs="Times New Roman"/>
          <w:b/>
          <w:bCs/>
          <w:i/>
          <w:iCs/>
          <w:color w:val="auto"/>
          <w:spacing w:val="0"/>
          <w:sz w:val="24"/>
          <w:szCs w:val="24"/>
          <w:shd w:val="clear" w:fill="FFFFFF"/>
          <w:vertAlign w:val="baseline"/>
          <w:lang w:val="en-GB"/>
        </w:rPr>
        <w:t>T</w:t>
      </w:r>
      <w:r>
        <w:rPr>
          <w:rFonts w:hint="default" w:ascii="Times New Roman" w:hAnsi="Times New Roman" w:eastAsia="LiberationSerif_23_2" w:cs="Times New Roman"/>
          <w:b/>
          <w:bCs/>
          <w:i/>
          <w:iCs/>
          <w:caps w:val="0"/>
          <w:color w:val="auto"/>
          <w:spacing w:val="0"/>
          <w:sz w:val="24"/>
          <w:szCs w:val="24"/>
          <w:shd w:val="clear" w:fill="FFFFFF"/>
          <w:vertAlign w:val="baseline"/>
          <w:lang w:val="en-GB"/>
        </w:rPr>
        <w:t>he sale of Mpenda Kesi’s property resulted in a court dispute and on losing the appeal he sought leave to appeal to appeal to the supreme court.Both the court of appeal and the supreme court denied him leave hence the issue of whether he has a right to appeal.</w:t>
      </w:r>
    </w:p>
    <w:p>
      <w:pPr>
        <w:spacing w:line="360" w:lineRule="auto"/>
        <w:rPr>
          <w:rFonts w:hint="default" w:ascii="Times New Roman" w:hAnsi="Times New Roman" w:cs="Times New Roman"/>
          <w:color w:val="auto"/>
          <w:sz w:val="24"/>
          <w:szCs w:val="24"/>
        </w:rPr>
      </w:pPr>
    </w:p>
    <w:p>
      <w:pPr>
        <w:spacing w:line="360" w:lineRule="auto"/>
        <w:rPr>
          <w:rFonts w:hint="default" w:ascii="Times New Roman" w:hAnsi="Times New Roman" w:eastAsia="LiberationSerif_23_2" w:cs="Times New Roman"/>
          <w:i w:val="0"/>
          <w:iCs w:val="0"/>
          <w:caps w:val="0"/>
          <w:color w:val="auto"/>
          <w:spacing w:val="0"/>
          <w:sz w:val="24"/>
          <w:szCs w:val="24"/>
          <w:shd w:val="clear" w:fill="FFFFFF"/>
          <w:vertAlign w:val="baseline"/>
          <w:lang w:val="en-GB"/>
        </w:rPr>
      </w:pPr>
      <w:r>
        <w:rPr>
          <w:rFonts w:hint="default" w:ascii="Times New Roman" w:hAnsi="Times New Roman" w:cs="Times New Roman"/>
          <w:color w:val="auto"/>
          <w:sz w:val="24"/>
          <w:szCs w:val="24"/>
        </w:rPr>
        <w:t xml:space="preserve">Appeals are of right and everyone aggrieved by a lower court decision is allowed to appeal. A court of appeal can uphold the lower court's judgement if it shows that there's nothing in it. </w:t>
      </w:r>
      <w:r>
        <w:rPr>
          <w:rFonts w:hint="default" w:ascii="Times New Roman" w:hAnsi="Times New Roman" w:eastAsia="LiberationSerif_23_2" w:cs="Times New Roman"/>
          <w:i w:val="0"/>
          <w:iCs w:val="0"/>
          <w:caps w:val="0"/>
          <w:color w:val="auto"/>
          <w:spacing w:val="0"/>
          <w:sz w:val="24"/>
          <w:szCs w:val="24"/>
          <w:shd w:val="clear" w:fill="FFFFFF"/>
          <w:vertAlign w:val="baseline"/>
          <w:lang w:val="en-GB"/>
        </w:rPr>
        <w:t>Every decree may be appealed from unless barred by the law.However,an appeal does not lie against every order.Order 43 Rule 1  gives a list of orders from which appeal lies from as of right.If you want to appeal on an order that is not on the list you must seek leave of court. Pursuant to Section 79B of the Civil Procedure Act,the court has power to summarily reject an appeal.The court has the opportunity in the first instance to peruse the record of appeal and if there are no sufficient grounds,the court may reject the appeal.</w:t>
      </w:r>
    </w:p>
    <w:p>
      <w:pPr>
        <w:numPr>
          <w:ilvl w:val="0"/>
          <w:numId w:val="0"/>
        </w:numPr>
        <w:spacing w:line="360" w:lineRule="auto"/>
        <w:rPr>
          <w:rFonts w:hint="default" w:ascii="Times New Roman" w:hAnsi="Times New Roman" w:eastAsia="LiberationSerif_23_2" w:cs="Times New Roman"/>
          <w:i w:val="0"/>
          <w:iCs w:val="0"/>
          <w:caps w:val="0"/>
          <w:color w:val="auto"/>
          <w:spacing w:val="0"/>
          <w:sz w:val="24"/>
          <w:szCs w:val="24"/>
          <w:shd w:val="clear" w:fill="FFFFFF"/>
          <w:vertAlign w:val="baseline"/>
          <w:lang w:val="en-GB"/>
        </w:rPr>
      </w:pPr>
    </w:p>
    <w:p>
      <w:pPr>
        <w:numPr>
          <w:ilvl w:val="0"/>
          <w:numId w:val="0"/>
        </w:numPr>
        <w:spacing w:line="360" w:lineRule="auto"/>
        <w:rPr>
          <w:rFonts w:hint="default" w:ascii="Times New Roman" w:hAnsi="Times New Roman" w:eastAsia="LiberationSerif_23_2" w:cs="Times New Roman"/>
          <w:i w:val="0"/>
          <w:iCs w:val="0"/>
          <w:caps w:val="0"/>
          <w:color w:val="auto"/>
          <w:spacing w:val="0"/>
          <w:sz w:val="24"/>
          <w:szCs w:val="24"/>
          <w:shd w:val="clear" w:fill="FFFFFF"/>
          <w:vertAlign w:val="baseline"/>
          <w:lang w:val="en-GB"/>
        </w:rPr>
      </w:pPr>
    </w:p>
    <w:p>
      <w:pPr>
        <w:numPr>
          <w:ilvl w:val="0"/>
          <w:numId w:val="0"/>
        </w:numPr>
        <w:spacing w:line="360" w:lineRule="auto"/>
        <w:rPr>
          <w:rFonts w:hint="default" w:ascii="Times New Roman" w:hAnsi="Times New Roman" w:eastAsia="LiberationSerif_23_2" w:cs="Times New Roman"/>
          <w:b/>
          <w:bCs/>
          <w:i/>
          <w:iCs/>
          <w:caps w:val="0"/>
          <w:color w:val="auto"/>
          <w:spacing w:val="0"/>
          <w:sz w:val="24"/>
          <w:szCs w:val="24"/>
          <w:shd w:val="clear" w:fill="FFFFFF"/>
          <w:vertAlign w:val="baseline"/>
          <w:lang w:val="en-GB"/>
        </w:rPr>
      </w:pPr>
      <w:r>
        <w:rPr>
          <w:rFonts w:hint="default" w:ascii="Times New Roman" w:hAnsi="Times New Roman" w:eastAsia="LiberationSerif_23_2" w:cs="Times New Roman"/>
          <w:b/>
          <w:bCs/>
          <w:i/>
          <w:iCs/>
          <w:color w:val="auto"/>
          <w:spacing w:val="0"/>
          <w:sz w:val="24"/>
          <w:szCs w:val="24"/>
          <w:shd w:val="clear" w:fill="FFFFFF"/>
          <w:vertAlign w:val="baseline"/>
          <w:lang w:val="en-GB"/>
        </w:rPr>
        <w:t>Finally,M</w:t>
      </w:r>
      <w:r>
        <w:rPr>
          <w:rFonts w:hint="default" w:ascii="Times New Roman" w:hAnsi="Times New Roman" w:eastAsia="LiberationSerif_23_2" w:cs="Times New Roman"/>
          <w:b/>
          <w:bCs/>
          <w:i/>
          <w:iCs/>
          <w:caps w:val="0"/>
          <w:color w:val="auto"/>
          <w:spacing w:val="0"/>
          <w:sz w:val="24"/>
          <w:szCs w:val="24"/>
          <w:shd w:val="clear" w:fill="FFFFFF"/>
          <w:vertAlign w:val="baseline"/>
          <w:lang w:val="en-GB"/>
        </w:rPr>
        <w:t>penda Kesi feels that he should file a judicial review application before the High court thus the issue of whether there’s a legal basis for judicial review.</w:t>
      </w:r>
    </w:p>
    <w:p>
      <w:pPr>
        <w:spacing w:line="360" w:lineRule="auto"/>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Essentially,judicial review is the power of the courts to countermand the decisions of the elected branches of the government.Judicial Review</w:t>
      </w:r>
      <w:r>
        <w:rPr>
          <w:rFonts w:hint="default" w:ascii="Times New Roman" w:hAnsi="Times New Roman" w:cs="Times New Roman"/>
          <w:color w:val="auto"/>
          <w:sz w:val="24"/>
          <w:szCs w:val="24"/>
        </w:rPr>
        <w:t xml:space="preserve"> is sui generis</w:t>
      </w:r>
      <w:r>
        <w:rPr>
          <w:rFonts w:hint="default" w:ascii="Times New Roman" w:hAnsi="Times New Roman" w:cs="Times New Roman"/>
          <w:color w:val="auto"/>
          <w:sz w:val="24"/>
          <w:szCs w:val="24"/>
          <w:lang w:val="en-GB"/>
        </w:rPr>
        <w:t xml:space="preserve"> m</w:t>
      </w:r>
      <w:r>
        <w:rPr>
          <w:rFonts w:hint="default" w:ascii="Times New Roman" w:hAnsi="Times New Roman" w:cs="Times New Roman"/>
          <w:color w:val="auto"/>
          <w:sz w:val="24"/>
          <w:szCs w:val="24"/>
        </w:rPr>
        <w:t>eaning it's neither criminal nor Civil.</w:t>
      </w:r>
      <w:r>
        <w:rPr>
          <w:rFonts w:hint="default" w:ascii="Times New Roman" w:hAnsi="Times New Roman" w:cs="Times New Roman"/>
          <w:color w:val="auto"/>
          <w:sz w:val="24"/>
          <w:szCs w:val="24"/>
          <w:lang w:val="en-GB"/>
        </w:rPr>
        <w:t>I</w:t>
      </w:r>
      <w:r>
        <w:rPr>
          <w:rFonts w:hint="default" w:ascii="Times New Roman" w:hAnsi="Times New Roman" w:cs="Times New Roman"/>
          <w:color w:val="auto"/>
          <w:sz w:val="24"/>
          <w:szCs w:val="24"/>
        </w:rPr>
        <w:t>t's provisions are under Order 53 of the C</w:t>
      </w:r>
      <w:r>
        <w:rPr>
          <w:rFonts w:hint="default" w:ascii="Times New Roman" w:hAnsi="Times New Roman" w:cs="Times New Roman"/>
          <w:color w:val="auto"/>
          <w:sz w:val="24"/>
          <w:szCs w:val="24"/>
          <w:lang w:val="en-GB"/>
        </w:rPr>
        <w:t xml:space="preserve">ivil </w:t>
      </w:r>
      <w:r>
        <w:rPr>
          <w:rFonts w:hint="default" w:ascii="Times New Roman" w:hAnsi="Times New Roman" w:cs="Times New Roman"/>
          <w:color w:val="auto"/>
          <w:sz w:val="24"/>
          <w:szCs w:val="24"/>
        </w:rPr>
        <w:t>P</w:t>
      </w:r>
      <w:r>
        <w:rPr>
          <w:rFonts w:hint="default" w:ascii="Times New Roman" w:hAnsi="Times New Roman" w:cs="Times New Roman"/>
          <w:color w:val="auto"/>
          <w:sz w:val="24"/>
          <w:szCs w:val="24"/>
          <w:lang w:val="en-GB"/>
        </w:rPr>
        <w:t xml:space="preserve">rocedure </w:t>
      </w:r>
      <w:r>
        <w:rPr>
          <w:rFonts w:hint="default" w:ascii="Times New Roman" w:hAnsi="Times New Roman" w:cs="Times New Roman"/>
          <w:color w:val="auto"/>
          <w:sz w:val="24"/>
          <w:szCs w:val="24"/>
        </w:rPr>
        <w:t>R</w:t>
      </w:r>
      <w:r>
        <w:rPr>
          <w:rFonts w:hint="default" w:ascii="Times New Roman" w:hAnsi="Times New Roman" w:cs="Times New Roman"/>
          <w:color w:val="auto"/>
          <w:sz w:val="24"/>
          <w:szCs w:val="24"/>
          <w:lang w:val="en-GB"/>
        </w:rPr>
        <w:t>ules</w:t>
      </w:r>
      <w:r>
        <w:rPr>
          <w:rFonts w:hint="default" w:ascii="Times New Roman" w:hAnsi="Times New Roman" w:cs="Times New Roman"/>
          <w:color w:val="auto"/>
          <w:sz w:val="24"/>
          <w:szCs w:val="24"/>
        </w:rPr>
        <w:t xml:space="preserve"> 2010. In making an application for J</w:t>
      </w:r>
      <w:r>
        <w:rPr>
          <w:rFonts w:hint="default" w:ascii="Times New Roman" w:hAnsi="Times New Roman" w:cs="Times New Roman"/>
          <w:color w:val="auto"/>
          <w:sz w:val="24"/>
          <w:szCs w:val="24"/>
          <w:lang w:val="en-GB"/>
        </w:rPr>
        <w:t xml:space="preserve">udicial </w:t>
      </w:r>
      <w:r>
        <w:rPr>
          <w:rFonts w:hint="default" w:ascii="Times New Roman" w:hAnsi="Times New Roman" w:cs="Times New Roman"/>
          <w:color w:val="auto"/>
          <w:sz w:val="24"/>
          <w:szCs w:val="24"/>
        </w:rPr>
        <w:t>R</w:t>
      </w:r>
      <w:r>
        <w:rPr>
          <w:rFonts w:hint="default" w:ascii="Times New Roman" w:hAnsi="Times New Roman" w:cs="Times New Roman"/>
          <w:color w:val="auto"/>
          <w:sz w:val="24"/>
          <w:szCs w:val="24"/>
          <w:lang w:val="en-GB"/>
        </w:rPr>
        <w:t>eview</w:t>
      </w:r>
      <w:r>
        <w:rPr>
          <w:rFonts w:hint="default" w:ascii="Times New Roman" w:hAnsi="Times New Roman" w:cs="Times New Roman"/>
          <w:color w:val="auto"/>
          <w:sz w:val="24"/>
          <w:szCs w:val="24"/>
        </w:rPr>
        <w:t>, the aim is to get either of the following orders</w:t>
      </w:r>
      <w:r>
        <w:rPr>
          <w:rFonts w:hint="default" w:ascii="Times New Roman" w:hAnsi="Times New Roman" w:cs="Times New Roman"/>
          <w:color w:val="auto"/>
          <w:sz w:val="24"/>
          <w:szCs w:val="24"/>
          <w:lang w:val="en-GB"/>
        </w:rPr>
        <w:t>;</w:t>
      </w:r>
    </w:p>
    <w:p>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Mandamus</w:t>
      </w:r>
    </w:p>
    <w:p>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Certiorari</w:t>
      </w:r>
    </w:p>
    <w:p>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 Prohibition</w:t>
      </w:r>
    </w:p>
    <w:p>
      <w:pPr>
        <w:spacing w:line="360" w:lineRule="auto"/>
        <w:rPr>
          <w:rFonts w:hint="default" w:ascii="Times New Roman" w:hAnsi="Times New Roman" w:cs="Times New Roman"/>
          <w:color w:val="auto"/>
          <w:sz w:val="24"/>
          <w:szCs w:val="24"/>
        </w:rPr>
      </w:pPr>
    </w:p>
    <w:p>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However, these wouldn't be applicable because judicial review under order 53 is strictly meant to govern decisions that have exceeded their authority. Majorly government bodies.However for review under order 45, can be applied for the Court to relook at it's decision, review under order 45 of the CPR allows someone who is aggrieved by a courts decision to have it relooked at where he has no further option for appeal or the appeal will fail in the circumstances.</w:t>
      </w:r>
    </w:p>
    <w:p>
      <w:pPr>
        <w:spacing w:line="360" w:lineRule="auto"/>
        <w:rPr>
          <w:rFonts w:hint="default" w:ascii="Times New Roman" w:hAnsi="Times New Roman" w:cs="Times New Roman"/>
          <w:sz w:val="24"/>
          <w:szCs w:val="24"/>
          <w:lang w:val="en-GB"/>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GB"/>
        </w:rPr>
        <w:t>I</w:t>
      </w:r>
      <w:r>
        <w:rPr>
          <w:rFonts w:hint="default" w:ascii="Times New Roman" w:hAnsi="Times New Roman" w:cs="Times New Roman"/>
          <w:sz w:val="24"/>
          <w:szCs w:val="24"/>
        </w:rPr>
        <w:t>f Mpenda Kesi intends to file a judicial review application, he should be aware that judicial review is a remedy available to challenge the legality, rationality, or procedural fairness of administrative actions taken by public bodies. The Court of Appeal is a public body, and Mpenda Kesi may argue that the court's decision to limit his time to present his appeal violated his right to procedural fairness.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to succeed in a judicial review application, Mpenda Kesi will need to show that the Court of Appeal acted unlawfully, irrationally, or unfairly in limiting his time to present his appeal. He will also need to show that the court's decision had a material impact on the outcome of his case.It's worth noting that judicial review is not an appeal, and the court will not re-examine the evidence presented in the case. Instead, the court will review the legality, rationality, or procedural fairness of the administrative action in question.</w:t>
      </w:r>
    </w:p>
    <w:p>
      <w:pPr>
        <w:spacing w:line="360" w:lineRule="auto"/>
        <w:rPr>
          <w:rFonts w:hint="default" w:ascii="Times New Roman" w:hAnsi="Times New Roman" w:cs="Times New Roman"/>
          <w:color w:val="auto"/>
          <w:sz w:val="24"/>
          <w:szCs w:val="24"/>
        </w:rPr>
      </w:pPr>
    </w:p>
    <w:p>
      <w:pPr>
        <w:spacing w:line="360" w:lineRule="auto"/>
        <w:rPr>
          <w:rFonts w:hint="default" w:ascii="Times New Roman" w:hAnsi="Times New Roman" w:cs="Times New Roman"/>
          <w:color w:val="auto"/>
          <w:sz w:val="24"/>
          <w:szCs w:val="24"/>
        </w:rPr>
      </w:pPr>
    </w:p>
    <w:p>
      <w:pPr>
        <w:spacing w:line="360" w:lineRule="auto"/>
        <w:rPr>
          <w:rFonts w:hint="default" w:ascii="Times New Roman" w:hAnsi="Times New Roman" w:cs="Times New Roman"/>
          <w:color w:val="auto"/>
          <w:sz w:val="24"/>
          <w:szCs w:val="24"/>
        </w:rPr>
      </w:pPr>
    </w:p>
    <w:p>
      <w:pPr>
        <w:spacing w:line="360" w:lineRule="auto"/>
        <w:rPr>
          <w:rFonts w:hint="default" w:ascii="Times New Roman" w:hAnsi="Times New Roman" w:cs="Times New Roman"/>
          <w:color w:val="auto"/>
          <w:sz w:val="24"/>
          <w:szCs w:val="24"/>
        </w:rPr>
      </w:pPr>
    </w:p>
    <w:p>
      <w:pPr>
        <w:jc w:val="center"/>
        <w:rPr>
          <w:rFonts w:hint="default"/>
          <w:b/>
          <w:bCs/>
          <w:sz w:val="24"/>
          <w:szCs w:val="24"/>
          <w:u w:val="single"/>
          <w:lang w:val="en-GB"/>
        </w:rPr>
      </w:pPr>
    </w:p>
    <w:p>
      <w:pPr>
        <w:jc w:val="center"/>
        <w:rPr>
          <w:rFonts w:hint="default"/>
          <w:b/>
          <w:bCs/>
          <w:sz w:val="24"/>
          <w:szCs w:val="24"/>
          <w:u w:val="single"/>
          <w:lang w:val="en-GB"/>
        </w:rPr>
      </w:pPr>
    </w:p>
    <w:p>
      <w:pPr>
        <w:jc w:val="center"/>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b/>
          <w:bCs/>
          <w:sz w:val="24"/>
          <w:szCs w:val="24"/>
          <w:u w:val="single"/>
          <w:lang w:val="en-GB"/>
        </w:rPr>
      </w:pPr>
    </w:p>
    <w:p>
      <w:pPr>
        <w:jc w:val="both"/>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QUESTION 3</w:t>
      </w:r>
    </w:p>
    <w:p>
      <w:pPr>
        <w:pStyle w:val="249"/>
        <w:numPr>
          <w:ilvl w:val="0"/>
          <w:numId w:val="0"/>
        </w:num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Pr>
        <w:t>A client has approached your firm. She claims that she was forced to work long hours without pay and eventually terminated without any due process. However two days before her employment was terminated, she was kept in a dark room without food and water for forty eight hours on accusations of having stolen some money. She was then released and informed that her employment had been terminated. She is a paralegal and is very clear in her mind that her various constitutional rights were infringed upon. She is however not sure where to file the case. With the aid or decided cases and relevant laws, advice her on the court that is clothed with jurisdiction where she can file the case.</w:t>
      </w:r>
    </w:p>
    <w:p>
      <w:pPr>
        <w:rPr>
          <w:rFonts w:hint="default"/>
          <w:lang w:val="en-GB"/>
        </w:rPr>
      </w:pPr>
      <w:r>
        <w:rPr>
          <w:rFonts w:hint="default"/>
          <w:lang w:val="en-GB"/>
        </w:rPr>
        <w:t xml:space="preserve"> </w:t>
      </w:r>
    </w:p>
    <w:p>
      <w:pPr>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INTRODUCTION</w:t>
      </w:r>
    </w:p>
    <w:p>
      <w:pPr>
        <w:spacing w:line="360" w:lineRule="auto"/>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rPr>
        <w:t xml:space="preserve">The question of jurisdiction is a subject of great controversy and in most court cases the court has been called to make a determination on whether it has jurisdiction at the preliminary stage of proceedings. Though it is reasonably plain that the jurisdictional question ought to be raised at the earliest opportunity there is no bar to the question being raised at any stage in the proceedings . Such is the importance of the jurisdictional question that a court properly directing itself is obliged to decide the issue based on the material placed before it right away without any hesitation. Once the court in its opinion finds that it has no jurisdiction without any ado, it is expected to discontinue any proceedings before it. These were the sentiments that were expressed in the celebrated case of </w:t>
      </w:r>
      <w:r>
        <w:rPr>
          <w:rFonts w:hint="default" w:ascii="Times New Roman" w:hAnsi="Times New Roman" w:eastAsia="SimSun" w:cs="Times New Roman"/>
          <w:b/>
          <w:bCs/>
          <w:i/>
          <w:iCs/>
          <w:sz w:val="24"/>
          <w:szCs w:val="24"/>
        </w:rPr>
        <w:t>The Owners of Motor Vessel “Lillian S” -vs- Caltex Oil Kenya Ltd</w:t>
      </w:r>
      <w:r>
        <w:rPr>
          <w:rFonts w:hint="default" w:ascii="Times New Roman" w:hAnsi="Times New Roman" w:eastAsia="SimSun" w:cs="Times New Roman"/>
          <w:sz w:val="24"/>
          <w:szCs w:val="24"/>
        </w:rPr>
        <w:t>.</w:t>
      </w:r>
      <w:r>
        <w:rPr>
          <w:rStyle w:val="38"/>
          <w:rFonts w:hint="default" w:ascii="Times New Roman" w:hAnsi="Times New Roman" w:eastAsia="SimSun" w:cs="Times New Roman"/>
          <w:sz w:val="24"/>
          <w:szCs w:val="24"/>
        </w:rPr>
        <w:footnoteReference w:id="5"/>
      </w:r>
      <w:r>
        <w:rPr>
          <w:rFonts w:hint="default" w:ascii="Times New Roman" w:hAnsi="Times New Roman" w:eastAsia="SimSun" w:cs="Times New Roman"/>
          <w:sz w:val="24"/>
          <w:szCs w:val="24"/>
        </w:rPr>
        <w:t xml:space="preserve"> Simply </w:t>
      </w:r>
      <w:r>
        <w:rPr>
          <w:rFonts w:hint="default" w:ascii="Times New Roman" w:hAnsi="Times New Roman" w:eastAsia="SimSun" w:cs="Times New Roman"/>
          <w:sz w:val="24"/>
          <w:szCs w:val="24"/>
          <w:lang w:val="en-GB"/>
        </w:rPr>
        <w:t>put,</w:t>
      </w:r>
      <w:r>
        <w:rPr>
          <w:rFonts w:hint="default" w:ascii="Times New Roman" w:hAnsi="Times New Roman" w:eastAsia="SimSun" w:cs="Times New Roman"/>
          <w:sz w:val="24"/>
          <w:szCs w:val="24"/>
        </w:rPr>
        <w:t>jurisdiction is the power of a court to hear a case</w:t>
      </w:r>
      <w:r>
        <w:rPr>
          <w:rFonts w:hint="default" w:ascii="Times New Roman" w:hAnsi="Times New Roman" w:eastAsia="SimSun" w:cs="Times New Roman"/>
          <w:sz w:val="24"/>
          <w:szCs w:val="24"/>
          <w:lang w:val="en-GB"/>
        </w:rPr>
        <w:t>.</w:t>
      </w:r>
    </w:p>
    <w:p>
      <w:pPr>
        <w:spacing w:line="360" w:lineRule="auto"/>
        <w:rPr>
          <w:rFonts w:hint="default" w:ascii="Times New Roman" w:hAnsi="Times New Roman" w:eastAsia="SimSun" w:cs="Times New Roman"/>
          <w:sz w:val="24"/>
          <w:szCs w:val="24"/>
        </w:rPr>
      </w:pPr>
    </w:p>
    <w:p>
      <w:pPr>
        <w:spacing w:line="360" w:lineRule="auto"/>
        <w:rPr>
          <w:rFonts w:ascii="SimSun" w:hAnsi="SimSun" w:eastAsia="SimSun" w:cs="SimSun"/>
          <w:sz w:val="24"/>
          <w:szCs w:val="24"/>
        </w:rPr>
      </w:pPr>
      <w:r>
        <w:rPr>
          <w:rFonts w:hint="default" w:ascii="Times New Roman" w:hAnsi="Times New Roman" w:eastAsia="SimSun" w:cs="Times New Roman"/>
          <w:sz w:val="24"/>
          <w:szCs w:val="24"/>
        </w:rPr>
        <w:t>This jurisdictional question is best understood by first laying a basis on the Constitutional and legislative mandates of each of the courts. Article 162 (2) of the Constitution</w:t>
      </w:r>
      <w:r>
        <w:rPr>
          <w:rStyle w:val="38"/>
          <w:rFonts w:hint="default" w:ascii="Times New Roman" w:hAnsi="Times New Roman" w:eastAsia="SimSun" w:cs="Times New Roman"/>
          <w:sz w:val="24"/>
          <w:szCs w:val="24"/>
        </w:rPr>
        <w:footnoteReference w:id="6"/>
      </w:r>
      <w:r>
        <w:rPr>
          <w:rFonts w:hint="default" w:ascii="Times New Roman" w:hAnsi="Times New Roman" w:eastAsia="SimSun" w:cs="Times New Roman"/>
          <w:sz w:val="24"/>
          <w:szCs w:val="24"/>
        </w:rPr>
        <w:t xml:space="preserve"> enjoins Parliament  to establish courts with the status of the High Court to hear and determine disputes relating to the environment and the use and occupation of, and title to, land. In this regard under Section 4 of the Land and environment Act, Cap 12A the Land and Environment Court</w:t>
      </w:r>
      <w:r>
        <w:rPr>
          <w:rFonts w:hint="default" w:ascii="Times New Roman" w:hAnsi="Times New Roman" w:eastAsia="SimSun" w:cs="Times New Roman"/>
          <w:sz w:val="24"/>
          <w:szCs w:val="24"/>
          <w:lang w:val="en-GB"/>
        </w:rPr>
        <w:t xml:space="preserve"> Act</w:t>
      </w:r>
      <w:r>
        <w:rPr>
          <w:rFonts w:hint="default" w:ascii="Times New Roman" w:hAnsi="Times New Roman" w:eastAsia="SimSun" w:cs="Times New Roman"/>
          <w:sz w:val="24"/>
          <w:szCs w:val="24"/>
        </w:rPr>
        <w:t xml:space="preserve"> is established. Section 13 of the Act on the other hand empowers the court in exercise of its jurisdiction under Article 162 (2) of the Constitution to hear and determine disputes relating to land and the environment. The gist of Article 162 (2) of the Constitution of Kenya is that it establishes specialized courts </w:t>
      </w:r>
      <w:r>
        <w:rPr>
          <w:rFonts w:hint="default" w:ascii="Times New Roman" w:hAnsi="Times New Roman" w:eastAsia="SimSun" w:cs="Times New Roman"/>
          <w:color w:val="000000" w:themeColor="text1"/>
          <w:sz w:val="24"/>
          <w:szCs w:val="24"/>
          <w:highlight w:val="none"/>
          <w:u w:val="none"/>
          <w14:textFill>
            <w14:solidFill>
              <w14:schemeClr w14:val="tx1"/>
            </w14:solidFill>
          </w14:textFill>
        </w:rPr>
        <w:t>o</w:t>
      </w:r>
      <w:r>
        <w:rPr>
          <w:rFonts w:hint="default" w:ascii="Times New Roman" w:hAnsi="Times New Roman" w:eastAsia="SimSun" w:cs="Times New Roman"/>
          <w:color w:val="000000" w:themeColor="text1"/>
          <w:sz w:val="24"/>
          <w:szCs w:val="24"/>
          <w:highlight w:val="none"/>
          <w:u w:val="none"/>
          <w:lang w:val="en-GB"/>
          <w14:textFill>
            <w14:solidFill>
              <w14:schemeClr w14:val="tx1"/>
            </w14:solidFill>
          </w14:textFill>
        </w:rPr>
        <w:t>perationalised</w:t>
      </w:r>
      <w:r>
        <w:rPr>
          <w:rFonts w:hint="default" w:ascii="Times New Roman" w:hAnsi="Times New Roman" w:eastAsia="SimSun" w:cs="Times New Roman"/>
          <w:color w:val="000000" w:themeColor="text1"/>
          <w:sz w:val="24"/>
          <w:szCs w:val="24"/>
          <w:highlight w:val="none"/>
          <w:u w:val="none"/>
          <w14:textFill>
            <w14:solidFill>
              <w14:schemeClr w14:val="tx1"/>
            </w14:solidFill>
          </w14:textFill>
        </w:rPr>
        <w:t xml:space="preserve"> t</w:t>
      </w:r>
      <w:r>
        <w:rPr>
          <w:rFonts w:hint="default" w:ascii="Times New Roman" w:hAnsi="Times New Roman" w:eastAsia="SimSun" w:cs="Times New Roman"/>
          <w:sz w:val="24"/>
          <w:szCs w:val="24"/>
        </w:rPr>
        <w:t>hrough legislation and in the instance of the Environment and Land Court, the Environment and Land Court Act that set up Environment and Land Court to specifically deal with disputes relating to the environment and the use and occupation of and title to land. This means that the Environment and Land Court is exclusively clothed with with the requisite jurisdiction to deal with the issue issues or disputes to do with title to lan</w:t>
      </w:r>
      <w:r>
        <w:rPr>
          <w:rFonts w:ascii="SimSun" w:hAnsi="SimSun" w:eastAsia="SimSun" w:cs="SimSun"/>
          <w:sz w:val="24"/>
          <w:szCs w:val="24"/>
        </w:rPr>
        <w:t>d.</w:t>
      </w:r>
    </w:p>
    <w:p>
      <w:pPr>
        <w:spacing w:line="360" w:lineRule="auto"/>
        <w:rPr>
          <w:rFonts w:ascii="SimSun" w:hAnsi="SimSun" w:eastAsia="SimSun" w:cs="SimSu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Based on the facts presented, </w:t>
      </w:r>
      <w:r>
        <w:rPr>
          <w:rFonts w:hint="default" w:ascii="Times New Roman" w:hAnsi="Times New Roman" w:cs="Times New Roman"/>
          <w:sz w:val="24"/>
          <w:szCs w:val="24"/>
          <w:lang w:val="en-GB"/>
        </w:rPr>
        <w:t>the</w:t>
      </w:r>
      <w:r>
        <w:rPr>
          <w:rFonts w:hint="default" w:ascii="Times New Roman" w:hAnsi="Times New Roman" w:cs="Times New Roman"/>
          <w:sz w:val="24"/>
          <w:szCs w:val="24"/>
        </w:rPr>
        <w:t xml:space="preserve"> client may have grounds to file a case against her former employer for violation of her constitutional rights, as well as for unfair labor practices and wrongful termination. The appropriate court to file this case in Kenya would be the Employment and Labor Relations Court.The Employment and Labor Relations Court has jurisdiction over all employment and labor disputes, including those involving wrongful termination, unfair labor practices, and violation of constitutional rights in the workplace. The court was established under the Employment Act, and its jurisdiction is outlined in Section 6 of the Act.</w:t>
      </w: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p>
    <w:p>
      <w:pPr>
        <w:pStyle w:val="249"/>
        <w:numPr>
          <w:ilvl w:val="0"/>
          <w:numId w:val="0"/>
        </w:numPr>
        <w:jc w:val="both"/>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QUESTION 4</w:t>
      </w:r>
    </w:p>
    <w:p>
      <w:pPr>
        <w:pStyle w:val="249"/>
        <w:numPr>
          <w:ilvl w:val="0"/>
          <w:numId w:val="0"/>
        </w:numPr>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The doctrine of exhaustion may be a complete bar to the jurisdiction of a Court if the exceptions thereto do not apply. Discuss. </w:t>
      </w:r>
    </w:p>
    <w:p>
      <w:pPr>
        <w:spacing w:line="360" w:lineRule="auto"/>
        <w:jc w:val="both"/>
        <w:rPr>
          <w:rFonts w:hint="default" w:ascii="Times New Roman" w:hAnsi="Times New Roman" w:eastAsia="SimSun" w:cs="Times New Roman"/>
          <w:b/>
          <w:bCs/>
          <w:i/>
          <w:iCs/>
          <w:sz w:val="24"/>
          <w:szCs w:val="24"/>
          <w:u w:val="single"/>
          <w:lang w:val="en-GB"/>
        </w:rPr>
      </w:pPr>
    </w:p>
    <w:p>
      <w:pPr>
        <w:pStyle w:val="85"/>
        <w:keepNext w:val="0"/>
        <w:keepLines w:val="0"/>
        <w:widowControl/>
        <w:suppressLineNumbers w:val="0"/>
        <w:shd w:val="clear" w:fill="FFFFFF"/>
        <w:spacing w:line="360" w:lineRule="auto"/>
        <w:ind w:left="0" w:firstLine="0"/>
        <w:rPr>
          <w:rFonts w:hint="default" w:ascii="Times New Roman" w:hAnsi="Times New Roman" w:eastAsia="Segoe UI" w:cs="Times New Roman"/>
          <w:b/>
          <w:bCs/>
          <w:i w:val="0"/>
          <w:iCs w:val="0"/>
          <w:caps w:val="0"/>
          <w:color w:val="000000" w:themeColor="text1"/>
          <w:spacing w:val="0"/>
          <w:sz w:val="24"/>
          <w:szCs w:val="24"/>
          <w:u w:val="single"/>
          <w:shd w:val="clear" w:fill="FFFFFF"/>
          <w:lang w:val="en-GB"/>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GB"/>
          <w14:textFill>
            <w14:solidFill>
              <w14:schemeClr w14:val="tx1"/>
            </w14:solidFill>
          </w14:textFill>
        </w:rPr>
        <w:t>INTRODUCTION</w:t>
      </w:r>
    </w:p>
    <w:p>
      <w:pPr>
        <w:pStyle w:val="85"/>
        <w:keepNext w:val="0"/>
        <w:keepLines w:val="0"/>
        <w:widowControl/>
        <w:suppressLineNumbers w:val="0"/>
        <w:shd w:val="clear" w:fill="FFFFFF"/>
        <w:spacing w:line="360" w:lineRule="auto"/>
        <w:ind w:left="0" w:firstLine="0"/>
        <w:rPr>
          <w:rFonts w:hint="default" w:ascii="Times New Roman" w:hAnsi="Times New Roman" w:eastAsia="Segoe UI" w:cs="Times New Roman"/>
          <w:i w:val="0"/>
          <w:iCs w:val="0"/>
          <w:caps w:val="0"/>
          <w:spacing w:val="0"/>
          <w:sz w:val="24"/>
          <w:szCs w:val="24"/>
          <w:shd w:val="clear" w:fill="FFFFFF"/>
        </w:rPr>
      </w:pP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The</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question of exhaustion of administrative remedies arises when a litigant, aggrieved by an agency's action, seeks redress from a Court of law on an action without pursuing available remedies before the agency itself. The exhaustion doctrine serves the purpose of ensuring that there is a postponement of judicial consideration of matters to ensure that a party is, first of all, diligent in the protection of his own interest within the mechanisms in place for resolution outside the Courts. This encourages alternative dispute resolution mechanisms in line with </w:t>
      </w:r>
      <w:r>
        <w:rPr>
          <w:rStyle w:val="92"/>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t>Article 159</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of the Constitution and was aptly elucidated by the High Court in </w:t>
      </w:r>
      <w:r>
        <w:rPr>
          <w:rStyle w:val="92"/>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t>R vs. Independent Electoral and Boundaries Commission (I.E.B.C) Ex Parte National Super Alliance (NASA) Kenya and 6 others</w:t>
      </w:r>
      <w:r>
        <w:rPr>
          <w:rStyle w:val="38"/>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footnoteReference w:id="7"/>
      </w:r>
      <w:r>
        <w:rPr>
          <w:rStyle w:val="92"/>
          <w:rFonts w:hint="default" w:ascii="Times New Roman" w:hAnsi="Times New Roman" w:eastAsia="sans-serif" w:cs="Times New Roman"/>
          <w:b/>
          <w:bCs/>
          <w:i w:val="0"/>
          <w:iCs w:val="0"/>
          <w:caps w:val="0"/>
          <w:color w:val="000000" w:themeColor="text1"/>
          <w:spacing w:val="0"/>
          <w:sz w:val="24"/>
          <w:szCs w:val="24"/>
          <w:u w:val="single"/>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where the Court opined </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that 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his doctrine is of esteemed juridical lineage in Kenya.</w:t>
      </w:r>
    </w:p>
    <w:p>
      <w:pPr>
        <w:pStyle w:val="85"/>
        <w:keepNext w:val="0"/>
        <w:keepLines w:val="0"/>
        <w:widowControl/>
        <w:suppressLineNumbers w:val="0"/>
        <w:shd w:val="clear" w:fill="FFFFFF"/>
        <w:spacing w:line="360" w:lineRule="auto"/>
        <w:ind w:left="0" w:firstLine="0"/>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shd w:val="clear" w:fill="FFFFFF"/>
        </w:rPr>
        <w:t>In the case of</w:t>
      </w:r>
      <w:r>
        <w:rPr>
          <w:rStyle w:val="92"/>
          <w:rFonts w:hint="default" w:ascii="Times New Roman" w:hAnsi="Times New Roman" w:eastAsia="Segoe UI" w:cs="Times New Roman"/>
          <w:i w:val="0"/>
          <w:iCs w:val="0"/>
          <w:caps w:val="0"/>
          <w:spacing w:val="0"/>
          <w:sz w:val="24"/>
          <w:szCs w:val="24"/>
          <w:shd w:val="clear" w:fill="FFFFFF"/>
        </w:rPr>
        <w:t> </w:t>
      </w:r>
      <w:r>
        <w:rPr>
          <w:rStyle w:val="31"/>
          <w:rFonts w:hint="default" w:ascii="Times New Roman" w:hAnsi="Times New Roman" w:eastAsia="Segoe UI" w:cs="Times New Roman"/>
          <w:b/>
          <w:bCs/>
          <w:i/>
          <w:iCs/>
          <w:caps w:val="0"/>
          <w:spacing w:val="0"/>
          <w:sz w:val="24"/>
          <w:szCs w:val="24"/>
          <w:shd w:val="clear" w:fill="FFFFFF"/>
        </w:rPr>
        <w:t>Muka &amp; another v Malala &amp; 12 others; Commission for University Education &amp; 2 others</w:t>
      </w:r>
      <w:r>
        <w:rPr>
          <w:rStyle w:val="31"/>
          <w:rFonts w:hint="default" w:ascii="Times New Roman" w:hAnsi="Times New Roman" w:eastAsia="Segoe UI" w:cs="Times New Roman"/>
          <w:i w:val="0"/>
          <w:iCs w:val="0"/>
          <w:caps w:val="0"/>
          <w:spacing w:val="0"/>
          <w:sz w:val="24"/>
          <w:szCs w:val="24"/>
          <w:shd w:val="clear" w:fill="FFFFFF"/>
        </w:rPr>
        <w:t xml:space="preserve"> (Interested Party) (Constitutional Petition E002 &amp; E001 of 2022 (Consolidated)) [2022] KEHC 10131 (KLR) </w:t>
      </w:r>
      <w:r>
        <w:rPr>
          <w:rFonts w:hint="default" w:ascii="Times New Roman" w:hAnsi="Times New Roman" w:eastAsia="Segoe UI" w:cs="Times New Roman"/>
          <w:i w:val="0"/>
          <w:iCs w:val="0"/>
          <w:caps w:val="0"/>
          <w:spacing w:val="0"/>
          <w:sz w:val="24"/>
          <w:szCs w:val="24"/>
          <w:shd w:val="clear" w:fill="FFFFFF"/>
        </w:rPr>
        <w:t>the doctrine of exhaustion was discussed to determine the constitutional question on whether the court had jurisdiction to validate or invalidate the nomination of Malala running for Kakamega governor's seat.In brief, the facts of the case are that the 3rd and 4th respondents filed a preliminary objection on the grounds; that the petition and the application be dismissed for want of jurisdiction. They argued the petition and the application and by extension, the court was usurping the 3rd and 4th respondents’ jurisdiction and mandate to nominate, validate or invalidate the 1st respondent’s nomination.</w:t>
      </w:r>
    </w:p>
    <w:p>
      <w:pPr>
        <w:pStyle w:val="85"/>
        <w:keepNext w:val="0"/>
        <w:keepLines w:val="0"/>
        <w:widowControl/>
        <w:suppressLineNumbers w:val="0"/>
        <w:shd w:val="clear" w:fill="FFFFFF"/>
        <w:spacing w:line="360" w:lineRule="auto"/>
        <w:ind w:left="0" w:firstLine="0"/>
        <w:rPr>
          <w:rFonts w:hint="default" w:ascii="Times New Roman" w:hAnsi="Times New Roman" w:eastAsia="Segoe UI" w:cs="Times New Roman"/>
          <w:i w:val="0"/>
          <w:iCs w:val="0"/>
          <w:caps w:val="0"/>
          <w:spacing w:val="0"/>
          <w:sz w:val="24"/>
          <w:szCs w:val="24"/>
          <w:lang w:val="en-GB"/>
        </w:rPr>
      </w:pPr>
      <w:r>
        <w:rPr>
          <w:rFonts w:hint="default" w:ascii="Times New Roman" w:hAnsi="Times New Roman" w:eastAsia="Segoe UI" w:cs="Times New Roman"/>
          <w:i w:val="0"/>
          <w:iCs w:val="0"/>
          <w:caps w:val="0"/>
          <w:spacing w:val="0"/>
          <w:sz w:val="24"/>
          <w:szCs w:val="24"/>
          <w:shd w:val="clear" w:fill="FFFFFF"/>
        </w:rPr>
        <w:t>Malala submitted article 88(4) of the Constitution of Kenya, 2010</w:t>
      </w:r>
      <w:r>
        <w:rPr>
          <w:rStyle w:val="38"/>
          <w:rFonts w:hint="default" w:ascii="Times New Roman" w:hAnsi="Times New Roman" w:eastAsia="Segoe UI" w:cs="Times New Roman"/>
          <w:i w:val="0"/>
          <w:iCs w:val="0"/>
          <w:caps w:val="0"/>
          <w:spacing w:val="0"/>
          <w:sz w:val="24"/>
          <w:szCs w:val="24"/>
          <w:shd w:val="clear" w:fill="FFFFFF"/>
        </w:rPr>
        <w:footnoteReference w:id="8"/>
      </w:r>
      <w:r>
        <w:rPr>
          <w:rFonts w:hint="default" w:ascii="Times New Roman" w:hAnsi="Times New Roman" w:eastAsia="Segoe UI" w:cs="Times New Roman"/>
          <w:i w:val="0"/>
          <w:iCs w:val="0"/>
          <w:caps w:val="0"/>
          <w:spacing w:val="0"/>
          <w:sz w:val="24"/>
          <w:szCs w:val="24"/>
          <w:shd w:val="clear" w:fill="FFFFFF"/>
        </w:rPr>
        <w:t xml:space="preserve"> the Independent Electoral and Boundaries Commission and the Returning Officer Kakamega County to determine pre-election disputes. Malala further argued that the jurisdiction of the court in pre-election disputes was supervisory. Therefore the court had no jurisdiction to handle nomination disputes at a preliminary stage</w:t>
      </w:r>
      <w:r>
        <w:rPr>
          <w:rFonts w:hint="default" w:ascii="Times New Roman" w:hAnsi="Times New Roman" w:eastAsia="Segoe UI" w:cs="Times New Roman"/>
          <w:i w:val="0"/>
          <w:iCs w:val="0"/>
          <w:caps w:val="0"/>
          <w:spacing w:val="0"/>
          <w:sz w:val="24"/>
          <w:szCs w:val="24"/>
          <w:shd w:val="clear" w:fill="FFFFFF"/>
          <w:lang w:val="en-GB"/>
        </w:rPr>
        <w:t>.</w:t>
      </w:r>
    </w:p>
    <w:p>
      <w:pPr>
        <w:pStyle w:val="85"/>
        <w:keepNext w:val="0"/>
        <w:keepLines w:val="0"/>
        <w:widowControl/>
        <w:suppressLineNumbers w:val="0"/>
        <w:shd w:val="clear" w:fill="FFFFFF"/>
        <w:spacing w:line="360" w:lineRule="auto"/>
        <w:ind w:lef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rPr>
        <w:t>The petitioners argued that the petition touched on the genuineness of academic documents presented by Malala to the IEBC and it did not have the mandate to determine the validity and genuineness of a document presented by an aspirant or candidate. The petitioners further argued that IEBC could not verify the legitimacy of Malala's academic documents.</w:t>
      </w:r>
      <w:r>
        <w:rPr>
          <w:rFonts w:hint="default" w:ascii="Times New Roman" w:hAnsi="Times New Roman" w:eastAsia="Segoe UI" w:cs="Times New Roman"/>
          <w:i w:val="0"/>
          <w:iCs w:val="0"/>
          <w:caps w:val="0"/>
          <w:spacing w:val="0"/>
          <w:sz w:val="24"/>
          <w:szCs w:val="24"/>
          <w:shd w:val="clear" w:fill="FFFFFF"/>
          <w:lang w:val="en-GB"/>
        </w:rPr>
        <w:t>One of the orders made by the court was that,</w:t>
      </w:r>
      <w:r>
        <w:rPr>
          <w:rFonts w:hint="default" w:ascii="Times New Roman" w:hAnsi="Times New Roman" w:eastAsia="Segoe UI" w:cs="Times New Roman"/>
          <w:i w:val="0"/>
          <w:iCs w:val="0"/>
          <w:caps w:val="0"/>
          <w:spacing w:val="0"/>
          <w:sz w:val="24"/>
          <w:szCs w:val="24"/>
          <w:shd w:val="clear" w:fill="FFFFFF"/>
        </w:rPr>
        <w:t>It was an injustice to deny the right to access justice to accede to allow the preliminary objection and render the petitioners without a forum. A court of law could not deny a litigant audience and leave such a litigant without a recourse. This instant case was an exception to the doctrine of exhaustion.</w:t>
      </w:r>
    </w:p>
    <w:p>
      <w:pPr>
        <w:spacing w:line="360" w:lineRule="auto"/>
        <w:jc w:val="both"/>
        <w:rPr>
          <w:rFonts w:hint="default" w:ascii="Times New Roman" w:hAnsi="Times New Roman" w:eastAsia="SimSun" w:cs="Times New Roman"/>
          <w:b/>
          <w:bCs/>
          <w:sz w:val="24"/>
          <w:szCs w:val="24"/>
          <w:u w:val="single"/>
          <w:lang w:val="en-GB"/>
        </w:rPr>
      </w:pPr>
    </w:p>
    <w:p>
      <w:pPr>
        <w:pStyle w:val="85"/>
        <w:keepNext w:val="0"/>
        <w:keepLines w:val="0"/>
        <w:widowControl/>
        <w:suppressLineNumbers w:val="0"/>
        <w:shd w:val="clear" w:fill="FFFFFF"/>
        <w:spacing w:before="0" w:beforeAutospacing="0" w:after="150" w:afterAutospacing="0" w:line="360" w:lineRule="auto"/>
        <w:ind w:right="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sans-serif" w:cs="Times New Roman"/>
          <w:i w:val="0"/>
          <w:iCs w:val="0"/>
          <w:color w:val="000000" w:themeColor="text1"/>
          <w:spacing w:val="0"/>
          <w:sz w:val="24"/>
          <w:szCs w:val="24"/>
          <w:shd w:val="clear" w:fill="FFFFFF"/>
          <w:lang w:val="en-GB"/>
          <w14:textFill>
            <w14:solidFill>
              <w14:schemeClr w14:val="tx1"/>
            </w14:solidFill>
          </w14:textFill>
        </w:rPr>
        <w:t>I</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 xml:space="preserve">n the case of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w:t>
      </w:r>
      <w:r>
        <w:rPr>
          <w:rStyle w:val="92"/>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t>Geoffrey Muthiga Kabiru &amp; 2 others – vs- Samuel Munga Henry &amp; 1756 others</w:t>
      </w:r>
      <w:r>
        <w:rPr>
          <w:rStyle w:val="38"/>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footnoteReference w:id="9"/>
      </w:r>
      <w:r>
        <w:rPr>
          <w:rStyle w:val="92"/>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where the Court of Appeal stated that</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It is imperative that where a dispute resolution mechanism exists outside Courts, the same be exhausted before the jurisdiction of the Courts is invoked. Courts ought to be fora of last resort and not the first port of call the moment a storm brews…The exhaustion doctrine is a sound one and serves the purpose of ensuring that there is a postponement of judicial consideration of matters to ensure that a party is first of all diligent in the protection of his own interest within the mechanisms in place for resolution outside the Courts. </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he Court also dealt with the exceptions to the doctrine of exhaustion. </w:t>
      </w:r>
    </w:p>
    <w:p>
      <w:pPr>
        <w:pStyle w:val="85"/>
        <w:keepNext w:val="0"/>
        <w:keepLines w:val="0"/>
        <w:widowControl/>
        <w:suppressLineNumbers w:val="0"/>
        <w:shd w:val="clear" w:fill="FFFFFF"/>
        <w:spacing w:before="0" w:beforeAutospacing="0" w:after="150" w:afterAutospacing="0" w:line="360" w:lineRule="auto"/>
        <w:ind w:right="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p>
    <w:p>
      <w:pPr>
        <w:pStyle w:val="85"/>
        <w:keepNext w:val="0"/>
        <w:keepLines w:val="0"/>
        <w:widowControl/>
        <w:suppressLineNumbers w:val="0"/>
        <w:shd w:val="clear" w:fill="FFFFFF"/>
        <w:spacing w:before="0" w:beforeAutospacing="0" w:after="150" w:afterAutospacing="0" w:line="360" w:lineRule="auto"/>
        <w:ind w:right="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In </w:t>
      </w:r>
      <w:r>
        <w:rPr>
          <w:rStyle w:val="92"/>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t>R. Vs Independent Electoral and Boundaries Commission (I.E.B.C.) &amp; Others ex parte</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w:t>
      </w:r>
      <w:r>
        <w:rPr>
          <w:rStyle w:val="92"/>
          <w:rFonts w:hint="default" w:ascii="Times New Roman" w:hAnsi="Times New Roman" w:eastAsia="sans-serif" w:cs="Times New Roman"/>
          <w:b/>
          <w:bCs/>
          <w:i w:val="0"/>
          <w:iCs w:val="0"/>
          <w:caps w:val="0"/>
          <w:color w:val="000000" w:themeColor="text1"/>
          <w:spacing w:val="0"/>
          <w:sz w:val="24"/>
          <w:szCs w:val="24"/>
          <w:shd w:val="clear" w:fill="FFFFFF"/>
          <w14:textFill>
            <w14:solidFill>
              <w14:schemeClr w14:val="tx1"/>
            </w14:solidFill>
          </w14:textFill>
        </w:rPr>
        <w:t>The National Super Alliance Kenya (NASA),</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after exhaustively reviewing Kenya's decisional law on the exhaustion doctrine, the High Court described the first exception th</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at,w</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hat emerges from our jurisprudence in the</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 xml:space="preserve"> aforementioned</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cases are at least two principles: while, exceptions to the exhaustion requirement are not clearly delineated, Courts must undertake an extensive analysis of the facts, regulatory scheme involved, the nature of the interests involved</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including level of public interest involved and the polycentricity of the issue  to determine whether an exception applies. As the Court of Appeal acknowledged in the </w:t>
      </w:r>
      <w:r>
        <w:rPr>
          <w:rStyle w:val="92"/>
          <w:rFonts w:hint="default" w:ascii="Times New Roman" w:hAnsi="Times New Roman" w:eastAsia="sans-serif" w:cs="Times New Roman"/>
          <w:b w:val="0"/>
          <w:bCs w:val="0"/>
          <w:i/>
          <w:iCs/>
          <w:caps w:val="0"/>
          <w:color w:val="000000" w:themeColor="text1"/>
          <w:spacing w:val="0"/>
          <w:sz w:val="24"/>
          <w:szCs w:val="24"/>
          <w:shd w:val="clear" w:fill="FFFFFF"/>
          <w14:textFill>
            <w14:solidFill>
              <w14:schemeClr w14:val="tx1"/>
            </w14:solidFill>
          </w14:textFill>
        </w:rPr>
        <w:t>Shikara Limited Case</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the High Court may, in exceptional circumstances, find that exhaustion requirement would not serve the values enshrined in the Constitution or law and permit the suit to proceed before it. This exception to the exhaustion requirement is particularly likely where a party pleads issues that verge on Constitutional interpretation especially in virgin areas or where an important constitutional value is at stake.</w:t>
      </w:r>
    </w:p>
    <w:p>
      <w:pPr>
        <w:pStyle w:val="85"/>
        <w:keepNext w:val="0"/>
        <w:keepLines w:val="0"/>
        <w:widowControl/>
        <w:suppressLineNumbers w:val="0"/>
        <w:shd w:val="clear" w:fill="FFFFFF"/>
        <w:spacing w:before="0" w:beforeAutospacing="0" w:after="150" w:afterAutospacing="0" w:line="360" w:lineRule="auto"/>
        <w:ind w:right="0"/>
        <w:jc w:val="both"/>
        <w:rPr>
          <w:rFonts w:hint="default" w:ascii="sans-serif" w:hAnsi="sans-serif" w:eastAsia="sans-serif" w:cs="sans-serif"/>
          <w:i w:val="0"/>
          <w:iCs w:val="0"/>
          <w:caps w:val="0"/>
          <w:color w:val="000000" w:themeColor="text1"/>
          <w:spacing w:val="0"/>
          <w:sz w:val="24"/>
          <w:szCs w:val="24"/>
          <w14:textFill>
            <w14:solidFill>
              <w14:schemeClr w14:val="tx1"/>
            </w14:solidFill>
          </w14:textFill>
        </w:rPr>
      </w:pPr>
      <w:r>
        <w:rPr>
          <w:rFonts w:hint="default" w:ascii="Times New Roman" w:hAnsi="Times New Roman" w:eastAsia="sans-serif" w:cs="Times New Roman"/>
          <w:i w:val="0"/>
          <w:iCs w:val="0"/>
          <w:color w:val="000000" w:themeColor="text1"/>
          <w:spacing w:val="0"/>
          <w:sz w:val="24"/>
          <w:szCs w:val="24"/>
          <w:shd w:val="clear" w:fill="FFFFFF"/>
          <w:lang w:val="en-GB"/>
          <w14:textFill>
            <w14:solidFill>
              <w14:schemeClr w14:val="tx1"/>
            </w14:solidFill>
          </w14:textFill>
        </w:rPr>
        <w:t>F</w:t>
      </w:r>
      <w:r>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rom the foregoing,</w:t>
      </w:r>
      <w:r>
        <w:rPr>
          <w:rStyle w:val="31"/>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the first principle is that the High Court may, in exceptional circumstances consider, and determine that the exhaustion requirement would not serve the values enshrined in the Constitution or law and allow the suit to proceed before it. It is also essential for the Court to consider the suitability of the appeal mechanism available in the context of the particular case and determine whether it is suitable to determine the issues raised. </w:t>
      </w:r>
    </w:p>
    <w:p>
      <w:pPr>
        <w:pStyle w:val="85"/>
        <w:keepNext w:val="0"/>
        <w:keepLines w:val="0"/>
        <w:widowControl/>
        <w:suppressLineNumbers w:val="0"/>
        <w:shd w:val="clear" w:fill="FFFFFF"/>
        <w:spacing w:before="0" w:beforeAutospacing="0" w:after="150" w:afterAutospacing="0" w:line="360" w:lineRule="auto"/>
        <w:ind w:right="0"/>
        <w:jc w:val="both"/>
        <w:rPr>
          <w:rFonts w:hint="default" w:ascii="sans-serif" w:hAnsi="sans-serif" w:eastAsia="sans-serif" w:cs="sans-serif"/>
          <w:i w:val="0"/>
          <w:iCs w:val="0"/>
          <w:caps w:val="0"/>
          <w:color w:val="000000" w:themeColor="text1"/>
          <w:spacing w:val="0"/>
          <w:sz w:val="24"/>
          <w:szCs w:val="24"/>
          <w14:textFill>
            <w14:solidFill>
              <w14:schemeClr w14:val="tx1"/>
            </w14:solidFill>
          </w14:textFill>
        </w:rPr>
      </w:pPr>
      <w:r>
        <w:rPr>
          <w:rStyle w:val="31"/>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The second principle is that the jurisdiction of the Courts to consider valid grievances from parties who lack adequate audience before a forum created by a statute, or who may not have the quality of audience before the forum which is proportionate to the interests the party wishes to advance in a suit must not be ousted. The rationale behind this precept is that statutory provisions ousting Court’s jurisdiction must be construed restrictively. This was extensively elaborated by Mativo J in </w:t>
      </w:r>
      <w:r>
        <w:rPr>
          <w:rStyle w:val="31"/>
          <w:rFonts w:hint="default" w:ascii="Times New Roman" w:hAnsi="Times New Roman" w:eastAsia="sans-serif" w:cs="Times New Roman"/>
          <w:b/>
          <w:bCs/>
          <w:i/>
          <w:iCs/>
          <w:caps w:val="0"/>
          <w:color w:val="000000" w:themeColor="text1"/>
          <w:spacing w:val="0"/>
          <w:sz w:val="24"/>
          <w:szCs w:val="24"/>
          <w:shd w:val="clear" w:fill="FFFFFF"/>
          <w14:textFill>
            <w14:solidFill>
              <w14:schemeClr w14:val="tx1"/>
            </w14:solidFill>
          </w14:textFill>
        </w:rPr>
        <w:t>Night Rose Cosmetics Ltd v Nairobi County Government &amp; 2 others</w:t>
      </w:r>
      <w:r>
        <w:rPr>
          <w:rStyle w:val="38"/>
          <w:rFonts w:hint="default" w:ascii="Times New Roman" w:hAnsi="Times New Roman" w:eastAsia="sans-serif" w:cs="Times New Roman"/>
          <w:b/>
          <w:bCs/>
          <w:i/>
          <w:iCs/>
          <w:caps w:val="0"/>
          <w:color w:val="000000" w:themeColor="text1"/>
          <w:spacing w:val="0"/>
          <w:sz w:val="24"/>
          <w:szCs w:val="24"/>
          <w:shd w:val="clear" w:fill="FFFFFF"/>
          <w14:textFill>
            <w14:solidFill>
              <w14:schemeClr w14:val="tx1"/>
            </w14:solidFill>
          </w14:textFill>
        </w:rPr>
        <w:footnoteReference w:id="10"/>
      </w:r>
      <w:r>
        <w:rPr>
          <w:rStyle w:val="31"/>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.In the instant case, the Petitioners allege</w:t>
      </w:r>
      <w:r>
        <w:rPr>
          <w:rStyle w:val="31"/>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t>d</w:t>
      </w:r>
      <w:r>
        <w:rPr>
          <w:rStyle w:val="31"/>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violation of their fundamental rights. </w:t>
      </w:r>
      <w:r>
        <w:rPr>
          <w:rStyle w:val="92"/>
          <w:rFonts w:hint="default" w:ascii="Times New Roman" w:hAnsi="Times New Roman" w:eastAsia="sans-serif" w:cs="Times New Roman"/>
          <w:b w:val="0"/>
          <w:bCs w:val="0"/>
          <w:i w:val="0"/>
          <w:iCs w:val="0"/>
          <w:caps w:val="0"/>
          <w:color w:val="000000" w:themeColor="text1"/>
          <w:spacing w:val="0"/>
          <w:sz w:val="24"/>
          <w:szCs w:val="24"/>
          <w:shd w:val="clear" w:fill="FFFFFF"/>
          <w14:textFill>
            <w14:solidFill>
              <w14:schemeClr w14:val="tx1"/>
            </w14:solidFill>
          </w14:textFill>
        </w:rPr>
        <w:t>Where a suit primarily seeks to enforce fundamental rights and freedoms and it is demonstrated that the claimed constitutional violations are not mere “bootstraps” or merely framed in Bill of Rights language as a pretext to gain entry to the Court, it is not barred by the doctrine of exhaustion</w:t>
      </w:r>
      <w:r>
        <w:rPr>
          <w:rStyle w:val="31"/>
          <w:rFonts w:hint="default" w:ascii="Times New Roman" w:hAnsi="Times New Roman" w:eastAsia="sans-serif" w:cs="Times New Roman"/>
          <w:b w:val="0"/>
          <w:bCs w:val="0"/>
          <w:i w:val="0"/>
          <w:iCs w:val="0"/>
          <w:caps w:val="0"/>
          <w:color w:val="000000" w:themeColor="text1"/>
          <w:spacing w:val="0"/>
          <w:sz w:val="24"/>
          <w:szCs w:val="24"/>
          <w:shd w:val="clear" w:fill="FFFFFF"/>
          <w14:textFill>
            <w14:solidFill>
              <w14:schemeClr w14:val="tx1"/>
            </w14:solidFill>
          </w14:textFill>
        </w:rPr>
        <w:t>. </w:t>
      </w:r>
      <w:r>
        <w:rPr>
          <w:rStyle w:val="92"/>
          <w:rFonts w:hint="default" w:ascii="Times New Roman" w:hAnsi="Times New Roman" w:eastAsia="sans-serif" w:cs="Times New Roman"/>
          <w:b w:val="0"/>
          <w:bCs w:val="0"/>
          <w:i w:val="0"/>
          <w:iCs w:val="0"/>
          <w:caps w:val="0"/>
          <w:color w:val="000000" w:themeColor="text1"/>
          <w:spacing w:val="0"/>
          <w:sz w:val="24"/>
          <w:szCs w:val="24"/>
          <w:shd w:val="clear" w:fill="FFFFFF"/>
          <w14:textFill>
            <w14:solidFill>
              <w14:schemeClr w14:val="tx1"/>
            </w14:solidFill>
          </w14:textFill>
        </w:rPr>
        <w:t>This is especially so because the enforcement of fundamental rights or freedoms is a question which can only be determined by the High Court.</w:t>
      </w:r>
    </w:p>
    <w:p>
      <w:pPr>
        <w:pStyle w:val="85"/>
        <w:keepNext w:val="0"/>
        <w:keepLines w:val="0"/>
        <w:widowControl/>
        <w:suppressLineNumbers w:val="0"/>
        <w:shd w:val="clear" w:fill="FFFFFF"/>
        <w:spacing w:before="0" w:beforeAutospacing="0" w:after="150" w:afterAutospacing="0" w:line="360" w:lineRule="auto"/>
        <w:ind w:left="1200" w:right="0" w:firstLine="0"/>
        <w:jc w:val="both"/>
        <w:rPr>
          <w:rFonts w:hint="default" w:ascii="Times New Roman" w:hAnsi="Times New Roman" w:eastAsia="sans-serif" w:cs="Times New Roman"/>
          <w:i w:val="0"/>
          <w:iCs w:val="0"/>
          <w:caps w:val="0"/>
          <w:color w:val="000000" w:themeColor="text1"/>
          <w:spacing w:val="0"/>
          <w:sz w:val="24"/>
          <w:szCs w:val="24"/>
          <w:shd w:val="clear" w:fill="FFFFFF"/>
          <w:lang w:val="en-GB"/>
          <w14:textFill>
            <w14:solidFill>
              <w14:schemeClr w14:val="tx1"/>
            </w14:solidFill>
          </w14:textFill>
        </w:rPr>
      </w:pPr>
    </w:p>
    <w:p>
      <w:pPr>
        <w:numPr>
          <w:ilvl w:val="0"/>
          <w:numId w:val="0"/>
        </w:numPr>
        <w:spacing w:line="360" w:lineRule="auto"/>
        <w:rPr>
          <w:rFonts w:hint="default" w:ascii="Times New Roman" w:hAnsi="Times New Roman" w:eastAsia="LiberationSerif_23_2" w:cs="Times New Roman"/>
          <w:i w:val="0"/>
          <w:iCs w:val="0"/>
          <w:caps w:val="0"/>
          <w:color w:val="000000" w:themeColor="text1"/>
          <w:spacing w:val="0"/>
          <w:sz w:val="24"/>
          <w:szCs w:val="24"/>
          <w:shd w:val="clear" w:fill="FFFFFF"/>
          <w:vertAlign w:val="baseline"/>
          <w:lang w:val="en-GB"/>
          <w14:textFill>
            <w14:solidFill>
              <w14:schemeClr w14:val="tx1"/>
            </w14:solidFill>
          </w14:textFill>
        </w:rPr>
      </w:pPr>
    </w:p>
    <w:sectPr>
      <w:type w:val="continuous"/>
      <w:pgSz w:w="15840" w:h="12240" w:orient="landscape"/>
      <w:pgMar w:top="1298" w:right="1338" w:bottom="1298" w:left="1259" w:header="727" w:footer="1060" w:gutter="0"/>
      <w:pgNumType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LiberationSerif_23_2">
    <w:altName w:val="Segoe Print"/>
    <w:panose1 w:val="00000000000000000000"/>
    <w:charset w:val="00"/>
    <w:family w:val="auto"/>
    <w:pitch w:val="default"/>
    <w:sig w:usb0="00000000" w:usb1="00000000" w:usb2="00000000" w:usb3="00000000" w:csb0="00000000" w:csb1="00000000"/>
  </w:font>
  <w:font w:name="LiberationSerif-Bold_28_2">
    <w:altName w:val="Segoe Print"/>
    <w:panose1 w:val="00000000000000000000"/>
    <w:charset w:val="00"/>
    <w:family w:val="auto"/>
    <w:pitch w:val="default"/>
    <w:sig w:usb0="00000000" w:usb1="00000000" w:usb2="00000000" w:usb3="00000000" w:csb0="00000000" w:csb1="00000000"/>
  </w:font>
  <w:font w:name="LiberationSerif-BoldItalic_2d_2">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r>
        <w:separator/>
      </w:r>
    </w:p>
  </w:footnote>
  <w:footnote w:type="continuationSeparator" w:id="23">
    <w:p>
      <w:r>
        <w:continuationSeparator/>
      </w:r>
    </w:p>
  </w:footnote>
  <w:footnote w:id="0">
    <w:p>
      <w:pPr>
        <w:pStyle w:val="39"/>
        <w:snapToGrid w:val="0"/>
        <w:rPr>
          <w:rFonts w:hint="default"/>
          <w:lang w:val="en-GB"/>
        </w:rPr>
      </w:pPr>
      <w:r>
        <w:rPr>
          <w:rStyle w:val="38"/>
        </w:rPr>
        <w:footnoteRef/>
      </w:r>
      <w:r>
        <w:t xml:space="preserve"> </w:t>
      </w:r>
      <w:r>
        <w:rPr>
          <w:rFonts w:hint="default"/>
          <w:lang w:val="en-GB"/>
        </w:rPr>
        <w:t>Black’s Law Dictionary,9th Edition</w:t>
      </w:r>
    </w:p>
  </w:footnote>
  <w:footnote w:id="1">
    <w:p>
      <w:pPr>
        <w:pStyle w:val="39"/>
        <w:snapToGrid w:val="0"/>
        <w:rPr>
          <w:rFonts w:hint="default"/>
          <w:lang w:val="en-GB"/>
        </w:rPr>
      </w:pPr>
      <w:r>
        <w:rPr>
          <w:rStyle w:val="38"/>
        </w:rPr>
        <w:footnoteRef/>
      </w:r>
      <w:r>
        <w:t xml:space="preserve"> </w:t>
      </w:r>
      <w:r>
        <w:rPr>
          <w:rFonts w:hint="default"/>
          <w:lang w:val="en-GB"/>
        </w:rPr>
        <w:t>J.B Sunders,</w:t>
      </w:r>
      <w:r>
        <w:rPr>
          <w:rFonts w:hint="default"/>
          <w:i/>
          <w:iCs/>
          <w:lang w:val="en-GB"/>
        </w:rPr>
        <w:t>Words and Phrases legally defined</w:t>
      </w:r>
      <w:r>
        <w:rPr>
          <w:rFonts w:hint="default"/>
          <w:lang w:val="en-GB"/>
        </w:rPr>
        <w:t>,Volume 3</w:t>
      </w:r>
    </w:p>
  </w:footnote>
  <w:footnote w:id="2">
    <w:p>
      <w:pPr>
        <w:pStyle w:val="39"/>
        <w:snapToGrid w:val="0"/>
        <w:rPr>
          <w:rFonts w:hint="default"/>
          <w:lang w:val="en-GB"/>
        </w:rPr>
      </w:pPr>
      <w:r>
        <w:rPr>
          <w:rStyle w:val="38"/>
        </w:rPr>
        <w:footnoteRef/>
      </w:r>
      <w:r>
        <w:t xml:space="preserve"> </w:t>
      </w:r>
      <w:r>
        <w:rPr>
          <w:rFonts w:hint="default"/>
          <w:lang w:val="en-GB"/>
        </w:rPr>
        <w:t>1989(KLR)1</w:t>
      </w:r>
    </w:p>
  </w:footnote>
  <w:footnote w:id="3">
    <w:p>
      <w:pPr>
        <w:pStyle w:val="39"/>
        <w:snapToGrid w:val="0"/>
        <w:rPr>
          <w:rFonts w:hint="default"/>
          <w:lang w:val="en-GB"/>
        </w:rPr>
      </w:pPr>
      <w:r>
        <w:rPr>
          <w:rStyle w:val="38"/>
        </w:rPr>
        <w:footnoteRef/>
      </w:r>
      <w:r>
        <w:t xml:space="preserve"> </w:t>
      </w:r>
      <w:r>
        <w:rPr>
          <w:rFonts w:hint="default"/>
          <w:lang w:val="en-GB"/>
        </w:rPr>
        <w:t>Land Act,2012 No.6 of 2012</w:t>
      </w:r>
    </w:p>
  </w:footnote>
  <w:footnote w:id="4">
    <w:p>
      <w:pPr>
        <w:pStyle w:val="39"/>
        <w:snapToGrid w:val="0"/>
        <w:rPr>
          <w:rFonts w:hint="default"/>
          <w:lang w:val="en-GB"/>
        </w:rPr>
      </w:pPr>
      <w:r>
        <w:rPr>
          <w:rStyle w:val="38"/>
        </w:rPr>
        <w:footnoteRef/>
      </w:r>
      <w:r>
        <w:t xml:space="preserve"> </w:t>
      </w:r>
      <w:r>
        <w:rPr>
          <w:rFonts w:hint="default"/>
          <w:lang w:val="en-GB"/>
        </w:rPr>
        <w:t>ibid</w:t>
      </w:r>
    </w:p>
  </w:footnote>
  <w:footnote w:id="5">
    <w:p>
      <w:pPr>
        <w:pStyle w:val="39"/>
        <w:snapToGrid w:val="0"/>
        <w:rPr>
          <w:rFonts w:hint="default"/>
          <w:lang w:val="en-GB"/>
        </w:rPr>
      </w:pPr>
      <w:r>
        <w:rPr>
          <w:rStyle w:val="38"/>
        </w:rPr>
        <w:footnoteRef/>
      </w:r>
      <w:r>
        <w:t xml:space="preserve"> </w:t>
      </w:r>
      <w:r>
        <w:rPr>
          <w:rFonts w:hint="default"/>
          <w:lang w:val="en-GB"/>
        </w:rPr>
        <w:t>(1989)KLR 1</w:t>
      </w:r>
    </w:p>
  </w:footnote>
  <w:footnote w:id="6">
    <w:p>
      <w:pPr>
        <w:pStyle w:val="39"/>
        <w:snapToGrid w:val="0"/>
        <w:rPr>
          <w:rFonts w:hint="default"/>
          <w:lang w:val="en-GB"/>
        </w:rPr>
      </w:pPr>
      <w:r>
        <w:rPr>
          <w:rStyle w:val="38"/>
        </w:rPr>
        <w:footnoteRef/>
      </w:r>
      <w:r>
        <w:t xml:space="preserve"> </w:t>
      </w:r>
      <w:r>
        <w:rPr>
          <w:rFonts w:hint="default"/>
          <w:lang w:val="en-GB"/>
        </w:rPr>
        <w:t>Article 162(2) of the Constitution of Kenya,2010</w:t>
      </w:r>
    </w:p>
  </w:footnote>
  <w:footnote w:id="7">
    <w:p>
      <w:pPr>
        <w:pStyle w:val="39"/>
        <w:snapToGrid w:val="0"/>
        <w:rPr>
          <w:rFonts w:hint="default"/>
          <w:lang w:val="en-GB"/>
        </w:rPr>
      </w:pPr>
      <w:r>
        <w:rPr>
          <w:rStyle w:val="38"/>
        </w:rPr>
        <w:footnoteRef/>
      </w:r>
      <w:r>
        <w:t xml:space="preserve"> </w:t>
      </w:r>
      <w:r>
        <w:rPr>
          <w:rFonts w:hint="default"/>
          <w:lang w:val="en-GB"/>
        </w:rPr>
        <w:t>(2017)eKLR</w:t>
      </w:r>
    </w:p>
  </w:footnote>
  <w:footnote w:id="8">
    <w:p>
      <w:pPr>
        <w:pStyle w:val="39"/>
        <w:snapToGrid w:val="0"/>
        <w:rPr>
          <w:rFonts w:hint="default"/>
          <w:lang w:val="en-GB"/>
        </w:rPr>
      </w:pPr>
      <w:r>
        <w:rPr>
          <w:rStyle w:val="38"/>
        </w:rPr>
        <w:footnoteRef/>
      </w:r>
      <w:r>
        <w:t xml:space="preserve"> </w:t>
      </w:r>
      <w:r>
        <w:rPr>
          <w:rFonts w:hint="default"/>
          <w:lang w:val="en-GB"/>
        </w:rPr>
        <w:t>Article 88(4) of the Constitution of Kenya,2010</w:t>
      </w:r>
    </w:p>
  </w:footnote>
  <w:footnote w:id="9">
    <w:p>
      <w:pPr>
        <w:pStyle w:val="39"/>
        <w:snapToGrid w:val="0"/>
        <w:rPr>
          <w:rFonts w:hint="default"/>
          <w:lang w:val="en-GB"/>
        </w:rPr>
      </w:pPr>
      <w:r>
        <w:rPr>
          <w:rStyle w:val="38"/>
        </w:rPr>
        <w:footnoteRef/>
      </w:r>
      <w:r>
        <w:t xml:space="preserve"> </w:t>
      </w:r>
      <w:r>
        <w:rPr>
          <w:rFonts w:hint="default"/>
          <w:lang w:val="en-GB"/>
        </w:rPr>
        <w:t>(2015)eKLR</w:t>
      </w:r>
    </w:p>
  </w:footnote>
  <w:footnote w:id="10">
    <w:p>
      <w:pPr>
        <w:pStyle w:val="39"/>
        <w:snapToGrid w:val="0"/>
        <w:rPr>
          <w:rFonts w:hint="default"/>
          <w:lang w:val="en-GB"/>
        </w:rPr>
      </w:pPr>
      <w:r>
        <w:rPr>
          <w:rStyle w:val="38"/>
        </w:rPr>
        <w:footnoteRef/>
      </w:r>
      <w:r>
        <w:t xml:space="preserve"> </w:t>
      </w:r>
      <w:r>
        <w:rPr>
          <w:rFonts w:hint="default"/>
          <w:lang w:val="en-GB"/>
        </w:rPr>
        <w:t>(2018)eKLR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76CD41"/>
    <w:multiLevelType w:val="singleLevel"/>
    <w:tmpl w:val="B876CD41"/>
    <w:lvl w:ilvl="0" w:tentative="0">
      <w:start w:val="1"/>
      <w:numFmt w:val="lowerRoman"/>
      <w:lvlText w:val="%1."/>
      <w:lvlJc w:val="left"/>
      <w:pPr>
        <w:tabs>
          <w:tab w:val="left" w:pos="425"/>
        </w:tabs>
        <w:ind w:left="425" w:leftChars="0" w:hanging="425" w:firstLineChars="0"/>
      </w:pPr>
      <w:rPr>
        <w:rFonts w:hint="default"/>
      </w:rPr>
    </w:lvl>
  </w:abstractNum>
  <w:abstractNum w:abstractNumId="1">
    <w:nsid w:val="F86AE2F1"/>
    <w:multiLevelType w:val="singleLevel"/>
    <w:tmpl w:val="F86AE2F1"/>
    <w:lvl w:ilvl="0" w:tentative="0">
      <w:start w:val="1"/>
      <w:numFmt w:val="lowerRoman"/>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22"/>
    <w:footnote w:id="23"/>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E0661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F87E1F"/>
    <w:rsid w:val="211E684E"/>
    <w:rsid w:val="29036D5A"/>
    <w:rsid w:val="2936218C"/>
    <w:rsid w:val="4C313126"/>
    <w:rsid w:val="52E06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paragraph" w:customStyle="1" w:styleId="250">
    <w:name w:val="_Style 249"/>
    <w:basedOn w:val="1"/>
    <w:next w:val="1"/>
    <w:qFormat/>
    <w:uiPriority w:val="0"/>
    <w:pPr>
      <w:pBdr>
        <w:bottom w:val="single" w:color="auto" w:sz="6" w:space="1"/>
      </w:pBdr>
      <w:jc w:val="center"/>
    </w:pPr>
    <w:rPr>
      <w:rFonts w:ascii="Arial" w:eastAsia="SimSun"/>
      <w:vanish/>
      <w:sz w:val="16"/>
    </w:rPr>
  </w:style>
  <w:style w:type="paragraph" w:customStyle="1" w:styleId="251">
    <w:name w:val="_Style 250"/>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Office_11.2.0.11388_F1E327BC-269C-435d-A152-05C5408002CA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2023-02-25T14:17:00Z</dcterms:created>
  <dc:creator>winfredsifa0</dc:creator>
  <cp:lastModifiedBy>winfredsifa0</cp:lastModifiedBy>
  <dcterms:modified xsi:type="dcterms:W3CDTF">2023-03-05T17:05:25Z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1033-11.2.0.11388</vt:lpwstr>
  </property>
  <property fmtid="{D5CDD505-2E9C-101B-9397-08002B2CF9AE}" pid="3" name="ICV">
    <vt:lpwstr>C4A2D228AF15407CB931A8680B7D9EB0</vt:lpwstr>
  </property>
</Properties>
</file>