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1012E" w14:textId="66C3FB49" w:rsidR="00D12A3B" w:rsidRPr="000D1016" w:rsidRDefault="00D12A3B" w:rsidP="000D1016">
      <w:pPr>
        <w:spacing w:after="121" w:line="360" w:lineRule="auto"/>
        <w:jc w:val="center"/>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KENYA SCHOOL OF LAW</w:t>
      </w:r>
    </w:p>
    <w:p w14:paraId="2867327B" w14:textId="078C01FB" w:rsidR="00D12A3B" w:rsidRPr="000D1016" w:rsidRDefault="00D12A3B" w:rsidP="000D1016">
      <w:pPr>
        <w:spacing w:after="62" w:line="360" w:lineRule="auto"/>
        <w:ind w:left="55"/>
        <w:jc w:val="center"/>
        <w:rPr>
          <w:rFonts w:ascii="Times New Roman" w:eastAsia="Times New Roman" w:hAnsi="Times New Roman" w:cs="Times New Roman"/>
          <w:color w:val="000000"/>
          <w:sz w:val="24"/>
          <w:szCs w:val="24"/>
        </w:rPr>
      </w:pPr>
      <w:r w:rsidRPr="000D1016">
        <w:rPr>
          <w:rFonts w:ascii="Times New Roman" w:eastAsia="Times New Roman" w:hAnsi="Times New Roman" w:cs="Times New Roman"/>
          <w:noProof/>
          <w:color w:val="000000"/>
          <w:sz w:val="24"/>
          <w:szCs w:val="24"/>
        </w:rPr>
        <w:drawing>
          <wp:inline distT="0" distB="0" distL="0" distR="0" wp14:anchorId="1486EAD4" wp14:editId="16EB7938">
            <wp:extent cx="807720" cy="705612"/>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7"/>
                    <a:stretch>
                      <a:fillRect/>
                    </a:stretch>
                  </pic:blipFill>
                  <pic:spPr>
                    <a:xfrm>
                      <a:off x="0" y="0"/>
                      <a:ext cx="807720" cy="705612"/>
                    </a:xfrm>
                    <a:prstGeom prst="rect">
                      <a:avLst/>
                    </a:prstGeom>
                  </pic:spPr>
                </pic:pic>
              </a:graphicData>
            </a:graphic>
          </wp:inline>
        </w:drawing>
      </w:r>
    </w:p>
    <w:p w14:paraId="1A085A66" w14:textId="2134A139" w:rsidR="00D12A3B" w:rsidRPr="000D1016" w:rsidRDefault="00D12A3B" w:rsidP="000D1016">
      <w:pPr>
        <w:spacing w:after="121" w:line="360" w:lineRule="auto"/>
        <w:jc w:val="center"/>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COURSE TITLE: CIVIL LITIGATION</w:t>
      </w:r>
    </w:p>
    <w:p w14:paraId="038C4D4B" w14:textId="77777777" w:rsidR="000D1016" w:rsidRDefault="00D12A3B" w:rsidP="000D1016">
      <w:pPr>
        <w:spacing w:after="114" w:line="360" w:lineRule="auto"/>
        <w:ind w:left="10" w:right="3" w:hanging="10"/>
        <w:jc w:val="center"/>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COURSE CODE: ATP 100</w:t>
      </w:r>
    </w:p>
    <w:p w14:paraId="5E6C354A" w14:textId="0EAFA652" w:rsidR="00D12A3B" w:rsidRPr="000D1016" w:rsidRDefault="00D12A3B" w:rsidP="000D1016">
      <w:pPr>
        <w:spacing w:after="114" w:line="360" w:lineRule="auto"/>
        <w:ind w:left="10" w:right="3" w:hanging="10"/>
        <w:jc w:val="center"/>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COURSE INSTRUCTOR: MR. GAD GATHU</w:t>
      </w:r>
    </w:p>
    <w:p w14:paraId="784546EC" w14:textId="7B19D388" w:rsidR="00D12A3B" w:rsidRPr="000D1016" w:rsidRDefault="00D12A3B" w:rsidP="000D1016">
      <w:pPr>
        <w:keepNext/>
        <w:keepLines/>
        <w:spacing w:after="0" w:line="360" w:lineRule="auto"/>
        <w:ind w:left="10" w:right="6" w:hanging="10"/>
        <w:jc w:val="center"/>
        <w:outlineLvl w:val="3"/>
        <w:rPr>
          <w:rFonts w:ascii="Times New Roman" w:eastAsia="Times New Roman" w:hAnsi="Times New Roman" w:cs="Times New Roman"/>
          <w:b/>
          <w:color w:val="000000"/>
          <w:sz w:val="24"/>
          <w:szCs w:val="24"/>
          <w:u w:color="000000"/>
        </w:rPr>
      </w:pPr>
      <w:r w:rsidRPr="000D1016">
        <w:rPr>
          <w:rFonts w:ascii="Times New Roman" w:eastAsia="Times New Roman" w:hAnsi="Times New Roman" w:cs="Times New Roman"/>
          <w:b/>
          <w:color w:val="000000"/>
          <w:sz w:val="24"/>
          <w:szCs w:val="24"/>
          <w:u w:color="000000"/>
        </w:rPr>
        <w:t>FIRM 31 CLASS B</w:t>
      </w:r>
    </w:p>
    <w:p w14:paraId="7D1EC302" w14:textId="77777777" w:rsidR="000D1016" w:rsidRPr="000D1016" w:rsidRDefault="000D1016" w:rsidP="000D1016">
      <w:pPr>
        <w:keepNext/>
        <w:keepLines/>
        <w:spacing w:after="0" w:line="360" w:lineRule="auto"/>
        <w:ind w:left="10" w:right="6" w:hanging="10"/>
        <w:jc w:val="both"/>
        <w:outlineLvl w:val="3"/>
        <w:rPr>
          <w:rFonts w:ascii="Times New Roman" w:eastAsia="Times New Roman" w:hAnsi="Times New Roman" w:cs="Times New Roman"/>
          <w:b/>
          <w:color w:val="000000"/>
          <w:sz w:val="24"/>
          <w:szCs w:val="24"/>
          <w:u w:val="double" w:color="000000"/>
        </w:rPr>
      </w:pPr>
    </w:p>
    <w:tbl>
      <w:tblPr>
        <w:tblStyle w:val="TableGrid"/>
        <w:tblW w:w="9602" w:type="dxa"/>
        <w:tblInd w:w="324" w:type="dxa"/>
        <w:tblCellMar>
          <w:top w:w="3" w:type="dxa"/>
          <w:left w:w="104" w:type="dxa"/>
          <w:bottom w:w="90" w:type="dxa"/>
          <w:right w:w="53" w:type="dxa"/>
        </w:tblCellMar>
        <w:tblLook w:val="04A0" w:firstRow="1" w:lastRow="0" w:firstColumn="1" w:lastColumn="0" w:noHBand="0" w:noVBand="1"/>
      </w:tblPr>
      <w:tblGrid>
        <w:gridCol w:w="552"/>
        <w:gridCol w:w="3142"/>
        <w:gridCol w:w="1912"/>
        <w:gridCol w:w="3996"/>
      </w:tblGrid>
      <w:tr w:rsidR="00975451" w:rsidRPr="000D1016" w14:paraId="57052000" w14:textId="77777777" w:rsidTr="00A93E18">
        <w:trPr>
          <w:trHeight w:val="425"/>
        </w:trPr>
        <w:tc>
          <w:tcPr>
            <w:tcW w:w="581" w:type="dxa"/>
            <w:tcBorders>
              <w:top w:val="single" w:sz="4" w:space="0" w:color="000000"/>
              <w:left w:val="single" w:sz="4" w:space="0" w:color="000000"/>
              <w:bottom w:val="single" w:sz="4" w:space="0" w:color="000000"/>
              <w:right w:val="single" w:sz="4" w:space="0" w:color="000000"/>
            </w:tcBorders>
          </w:tcPr>
          <w:p w14:paraId="14BED348"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NO </w:t>
            </w:r>
          </w:p>
        </w:tc>
        <w:tc>
          <w:tcPr>
            <w:tcW w:w="4491" w:type="dxa"/>
            <w:tcBorders>
              <w:top w:val="single" w:sz="4" w:space="0" w:color="000000"/>
              <w:left w:val="single" w:sz="4" w:space="0" w:color="000000"/>
              <w:bottom w:val="single" w:sz="4" w:space="0" w:color="000000"/>
              <w:right w:val="single" w:sz="4" w:space="0" w:color="000000"/>
            </w:tcBorders>
          </w:tcPr>
          <w:p w14:paraId="77BC3B42"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FIRM MEMBERS  </w:t>
            </w:r>
          </w:p>
        </w:tc>
        <w:tc>
          <w:tcPr>
            <w:tcW w:w="2521" w:type="dxa"/>
            <w:tcBorders>
              <w:top w:val="single" w:sz="4" w:space="0" w:color="000000"/>
              <w:left w:val="single" w:sz="4" w:space="0" w:color="000000"/>
              <w:bottom w:val="single" w:sz="4" w:space="0" w:color="000000"/>
              <w:right w:val="single" w:sz="4" w:space="0" w:color="000000"/>
            </w:tcBorders>
          </w:tcPr>
          <w:p w14:paraId="0B3A4578"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REG. NUMBER </w:t>
            </w:r>
          </w:p>
        </w:tc>
        <w:tc>
          <w:tcPr>
            <w:tcW w:w="2009" w:type="dxa"/>
            <w:tcBorders>
              <w:top w:val="single" w:sz="4" w:space="0" w:color="000000"/>
              <w:left w:val="single" w:sz="4" w:space="0" w:color="000000"/>
              <w:bottom w:val="single" w:sz="4" w:space="0" w:color="000000"/>
              <w:right w:val="single" w:sz="4" w:space="0" w:color="000000"/>
            </w:tcBorders>
          </w:tcPr>
          <w:p w14:paraId="5587D50C" w14:textId="77777777" w:rsidR="00D12A3B" w:rsidRPr="000D1016" w:rsidRDefault="00D12A3B" w:rsidP="000D1016">
            <w:pPr>
              <w:spacing w:line="360" w:lineRule="auto"/>
              <w:ind w:left="2"/>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SIGNATURE </w:t>
            </w:r>
          </w:p>
        </w:tc>
      </w:tr>
      <w:tr w:rsidR="00975451" w:rsidRPr="000D1016" w14:paraId="122F9541" w14:textId="77777777" w:rsidTr="00A93E18">
        <w:trPr>
          <w:trHeight w:val="629"/>
        </w:trPr>
        <w:tc>
          <w:tcPr>
            <w:tcW w:w="581" w:type="dxa"/>
            <w:tcBorders>
              <w:top w:val="single" w:sz="4" w:space="0" w:color="000000"/>
              <w:left w:val="single" w:sz="4" w:space="0" w:color="000000"/>
              <w:bottom w:val="single" w:sz="4" w:space="0" w:color="000000"/>
              <w:right w:val="single" w:sz="4" w:space="0" w:color="000000"/>
            </w:tcBorders>
          </w:tcPr>
          <w:p w14:paraId="7AA97664"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1. </w:t>
            </w:r>
          </w:p>
        </w:tc>
        <w:tc>
          <w:tcPr>
            <w:tcW w:w="4491" w:type="dxa"/>
            <w:tcBorders>
              <w:top w:val="single" w:sz="4" w:space="0" w:color="000000"/>
              <w:left w:val="single" w:sz="4" w:space="0" w:color="000000"/>
              <w:bottom w:val="single" w:sz="4" w:space="0" w:color="000000"/>
              <w:right w:val="single" w:sz="4" w:space="0" w:color="000000"/>
            </w:tcBorders>
          </w:tcPr>
          <w:p w14:paraId="522FC4BA"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MAINA MERCY WANJIRU</w:t>
            </w:r>
          </w:p>
        </w:tc>
        <w:tc>
          <w:tcPr>
            <w:tcW w:w="2521" w:type="dxa"/>
            <w:tcBorders>
              <w:top w:val="single" w:sz="4" w:space="0" w:color="000000"/>
              <w:left w:val="single" w:sz="4" w:space="0" w:color="000000"/>
              <w:bottom w:val="single" w:sz="4" w:space="0" w:color="000000"/>
              <w:right w:val="single" w:sz="4" w:space="0" w:color="000000"/>
            </w:tcBorders>
          </w:tcPr>
          <w:p w14:paraId="0D9AEAB7"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20230580</w:t>
            </w:r>
          </w:p>
        </w:tc>
        <w:tc>
          <w:tcPr>
            <w:tcW w:w="2009" w:type="dxa"/>
            <w:tcBorders>
              <w:top w:val="single" w:sz="4" w:space="0" w:color="000000"/>
              <w:left w:val="single" w:sz="4" w:space="0" w:color="000000"/>
              <w:bottom w:val="single" w:sz="4" w:space="0" w:color="000000"/>
              <w:right w:val="single" w:sz="4" w:space="0" w:color="000000"/>
            </w:tcBorders>
            <w:vAlign w:val="bottom"/>
          </w:tcPr>
          <w:p w14:paraId="0B2B2B7A" w14:textId="0A7A13A3" w:rsidR="00D12A3B" w:rsidRPr="000D1016" w:rsidRDefault="000D1016" w:rsidP="000D1016">
            <w:pPr>
              <w:spacing w:line="360" w:lineRule="auto"/>
              <w:ind w:right="797"/>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noProof/>
                <w:color w:val="000000"/>
                <w:sz w:val="24"/>
                <w:szCs w:val="24"/>
              </w:rPr>
              <w:drawing>
                <wp:inline distT="0" distB="0" distL="0" distR="0" wp14:anchorId="085005BF" wp14:editId="50D04A62">
                  <wp:extent cx="1193800" cy="59266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3862" cy="612556"/>
                          </a:xfrm>
                          <a:prstGeom prst="rect">
                            <a:avLst/>
                          </a:prstGeom>
                        </pic:spPr>
                      </pic:pic>
                    </a:graphicData>
                  </a:graphic>
                </wp:inline>
              </w:drawing>
            </w:r>
            <w:r w:rsidR="00D12A3B" w:rsidRPr="000D1016">
              <w:rPr>
                <w:rFonts w:ascii="Times New Roman" w:eastAsia="Times New Roman" w:hAnsi="Times New Roman" w:cs="Times New Roman"/>
                <w:b/>
                <w:color w:val="000000"/>
                <w:sz w:val="24"/>
                <w:szCs w:val="24"/>
              </w:rPr>
              <w:t xml:space="preserve"> </w:t>
            </w:r>
          </w:p>
        </w:tc>
      </w:tr>
      <w:tr w:rsidR="00975451" w:rsidRPr="000D1016" w14:paraId="3E34BCCA" w14:textId="77777777" w:rsidTr="00A93E18">
        <w:trPr>
          <w:trHeight w:val="686"/>
        </w:trPr>
        <w:tc>
          <w:tcPr>
            <w:tcW w:w="581" w:type="dxa"/>
            <w:tcBorders>
              <w:top w:val="single" w:sz="4" w:space="0" w:color="000000"/>
              <w:left w:val="single" w:sz="4" w:space="0" w:color="000000"/>
              <w:bottom w:val="single" w:sz="4" w:space="0" w:color="000000"/>
              <w:right w:val="single" w:sz="4" w:space="0" w:color="000000"/>
            </w:tcBorders>
          </w:tcPr>
          <w:p w14:paraId="467D9F5A"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2. </w:t>
            </w:r>
          </w:p>
        </w:tc>
        <w:tc>
          <w:tcPr>
            <w:tcW w:w="4491" w:type="dxa"/>
            <w:tcBorders>
              <w:top w:val="single" w:sz="4" w:space="0" w:color="000000"/>
              <w:left w:val="single" w:sz="4" w:space="0" w:color="000000"/>
              <w:bottom w:val="single" w:sz="4" w:space="0" w:color="000000"/>
              <w:right w:val="single" w:sz="4" w:space="0" w:color="000000"/>
            </w:tcBorders>
          </w:tcPr>
          <w:p w14:paraId="5C571723"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EDDIE NICHOLUS MWITI</w:t>
            </w:r>
          </w:p>
        </w:tc>
        <w:tc>
          <w:tcPr>
            <w:tcW w:w="2521" w:type="dxa"/>
            <w:tcBorders>
              <w:top w:val="single" w:sz="4" w:space="0" w:color="000000"/>
              <w:left w:val="single" w:sz="4" w:space="0" w:color="000000"/>
              <w:bottom w:val="single" w:sz="4" w:space="0" w:color="000000"/>
              <w:right w:val="single" w:sz="4" w:space="0" w:color="000000"/>
            </w:tcBorders>
          </w:tcPr>
          <w:p w14:paraId="141F7295"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20230813</w:t>
            </w:r>
          </w:p>
        </w:tc>
        <w:tc>
          <w:tcPr>
            <w:tcW w:w="2009" w:type="dxa"/>
            <w:tcBorders>
              <w:top w:val="single" w:sz="4" w:space="0" w:color="000000"/>
              <w:left w:val="single" w:sz="4" w:space="0" w:color="000000"/>
              <w:bottom w:val="single" w:sz="4" w:space="0" w:color="000000"/>
              <w:right w:val="single" w:sz="4" w:space="0" w:color="000000"/>
            </w:tcBorders>
            <w:vAlign w:val="bottom"/>
          </w:tcPr>
          <w:p w14:paraId="157B81F1" w14:textId="176641F9" w:rsidR="00D12A3B" w:rsidRPr="000D1016" w:rsidRDefault="000D1016" w:rsidP="000D1016">
            <w:pPr>
              <w:spacing w:line="360" w:lineRule="auto"/>
              <w:ind w:right="922"/>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noProof/>
                <w:color w:val="000000"/>
                <w:sz w:val="24"/>
                <w:szCs w:val="24"/>
              </w:rPr>
              <w:drawing>
                <wp:inline distT="0" distB="0" distL="0" distR="0" wp14:anchorId="48FDB9CF" wp14:editId="02F32D7D">
                  <wp:extent cx="1006873" cy="499533"/>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4708" cy="523265"/>
                          </a:xfrm>
                          <a:prstGeom prst="rect">
                            <a:avLst/>
                          </a:prstGeom>
                        </pic:spPr>
                      </pic:pic>
                    </a:graphicData>
                  </a:graphic>
                </wp:inline>
              </w:drawing>
            </w:r>
            <w:r w:rsidR="00D12A3B" w:rsidRPr="000D1016">
              <w:rPr>
                <w:rFonts w:ascii="Times New Roman" w:eastAsia="Times New Roman" w:hAnsi="Times New Roman" w:cs="Times New Roman"/>
                <w:b/>
                <w:color w:val="000000"/>
                <w:sz w:val="24"/>
                <w:szCs w:val="24"/>
              </w:rPr>
              <w:t xml:space="preserve"> </w:t>
            </w:r>
          </w:p>
        </w:tc>
      </w:tr>
      <w:tr w:rsidR="00975451" w:rsidRPr="000D1016" w14:paraId="6A61B20E" w14:textId="77777777" w:rsidTr="00A93E18">
        <w:trPr>
          <w:trHeight w:val="854"/>
        </w:trPr>
        <w:tc>
          <w:tcPr>
            <w:tcW w:w="581" w:type="dxa"/>
            <w:tcBorders>
              <w:top w:val="single" w:sz="4" w:space="0" w:color="000000"/>
              <w:left w:val="single" w:sz="4" w:space="0" w:color="000000"/>
              <w:bottom w:val="single" w:sz="4" w:space="0" w:color="000000"/>
              <w:right w:val="single" w:sz="4" w:space="0" w:color="000000"/>
            </w:tcBorders>
          </w:tcPr>
          <w:p w14:paraId="083B5ABE"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3. </w:t>
            </w:r>
          </w:p>
        </w:tc>
        <w:tc>
          <w:tcPr>
            <w:tcW w:w="4491" w:type="dxa"/>
            <w:tcBorders>
              <w:top w:val="single" w:sz="4" w:space="0" w:color="000000"/>
              <w:left w:val="single" w:sz="4" w:space="0" w:color="000000"/>
              <w:bottom w:val="single" w:sz="4" w:space="0" w:color="000000"/>
              <w:right w:val="single" w:sz="4" w:space="0" w:color="000000"/>
            </w:tcBorders>
          </w:tcPr>
          <w:p w14:paraId="6814D7D4"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BRIAN AYEBEI</w:t>
            </w:r>
          </w:p>
        </w:tc>
        <w:tc>
          <w:tcPr>
            <w:tcW w:w="2521" w:type="dxa"/>
            <w:tcBorders>
              <w:top w:val="single" w:sz="4" w:space="0" w:color="000000"/>
              <w:left w:val="single" w:sz="4" w:space="0" w:color="000000"/>
              <w:bottom w:val="single" w:sz="4" w:space="0" w:color="000000"/>
              <w:right w:val="single" w:sz="4" w:space="0" w:color="000000"/>
            </w:tcBorders>
          </w:tcPr>
          <w:p w14:paraId="02A8D1B0"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20231316</w:t>
            </w:r>
          </w:p>
        </w:tc>
        <w:tc>
          <w:tcPr>
            <w:tcW w:w="2009" w:type="dxa"/>
            <w:tcBorders>
              <w:top w:val="single" w:sz="4" w:space="0" w:color="000000"/>
              <w:left w:val="single" w:sz="4" w:space="0" w:color="000000"/>
              <w:bottom w:val="single" w:sz="4" w:space="0" w:color="000000"/>
              <w:right w:val="single" w:sz="4" w:space="0" w:color="000000"/>
            </w:tcBorders>
            <w:vAlign w:val="bottom"/>
          </w:tcPr>
          <w:p w14:paraId="2180EF1B" w14:textId="70A46505" w:rsidR="00D12A3B" w:rsidRPr="000D1016" w:rsidRDefault="00D12A3B" w:rsidP="000D1016">
            <w:pPr>
              <w:spacing w:line="360" w:lineRule="auto"/>
              <w:ind w:right="742"/>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i/>
                <w:color w:val="000000"/>
                <w:sz w:val="24"/>
                <w:szCs w:val="24"/>
              </w:rPr>
              <w:t xml:space="preserve"> </w:t>
            </w:r>
            <w:proofErr w:type="gramStart"/>
            <w:r w:rsidR="00975451">
              <w:rPr>
                <w:rFonts w:ascii="Times New Roman" w:eastAsia="Times New Roman" w:hAnsi="Times New Roman" w:cs="Times New Roman"/>
                <w:i/>
                <w:color w:val="000000"/>
                <w:sz w:val="24"/>
                <w:szCs w:val="24"/>
              </w:rPr>
              <w:t>B.A</w:t>
            </w:r>
            <w:proofErr w:type="gramEnd"/>
          </w:p>
        </w:tc>
      </w:tr>
      <w:tr w:rsidR="00975451" w:rsidRPr="000D1016" w14:paraId="53FD1533" w14:textId="77777777" w:rsidTr="00A93E18">
        <w:trPr>
          <w:trHeight w:val="778"/>
        </w:trPr>
        <w:tc>
          <w:tcPr>
            <w:tcW w:w="581" w:type="dxa"/>
            <w:tcBorders>
              <w:top w:val="single" w:sz="4" w:space="0" w:color="000000"/>
              <w:left w:val="single" w:sz="4" w:space="0" w:color="000000"/>
              <w:bottom w:val="single" w:sz="4" w:space="0" w:color="000000"/>
              <w:right w:val="single" w:sz="4" w:space="0" w:color="000000"/>
            </w:tcBorders>
          </w:tcPr>
          <w:p w14:paraId="40F8AC5C"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4. </w:t>
            </w:r>
          </w:p>
        </w:tc>
        <w:tc>
          <w:tcPr>
            <w:tcW w:w="4491" w:type="dxa"/>
            <w:tcBorders>
              <w:top w:val="single" w:sz="4" w:space="0" w:color="000000"/>
              <w:left w:val="single" w:sz="4" w:space="0" w:color="000000"/>
              <w:bottom w:val="single" w:sz="4" w:space="0" w:color="000000"/>
              <w:right w:val="single" w:sz="4" w:space="0" w:color="000000"/>
            </w:tcBorders>
          </w:tcPr>
          <w:p w14:paraId="1EF92721"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CHELANGAT SIGEI JAEL</w:t>
            </w:r>
          </w:p>
        </w:tc>
        <w:tc>
          <w:tcPr>
            <w:tcW w:w="2521" w:type="dxa"/>
            <w:tcBorders>
              <w:top w:val="single" w:sz="4" w:space="0" w:color="000000"/>
              <w:left w:val="single" w:sz="4" w:space="0" w:color="000000"/>
              <w:bottom w:val="single" w:sz="4" w:space="0" w:color="000000"/>
              <w:right w:val="single" w:sz="4" w:space="0" w:color="000000"/>
            </w:tcBorders>
          </w:tcPr>
          <w:p w14:paraId="575EF16E"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20230458</w:t>
            </w:r>
          </w:p>
        </w:tc>
        <w:tc>
          <w:tcPr>
            <w:tcW w:w="2009" w:type="dxa"/>
            <w:tcBorders>
              <w:top w:val="single" w:sz="4" w:space="0" w:color="000000"/>
              <w:left w:val="single" w:sz="4" w:space="0" w:color="000000"/>
              <w:bottom w:val="single" w:sz="4" w:space="0" w:color="000000"/>
              <w:right w:val="single" w:sz="4" w:space="0" w:color="000000"/>
            </w:tcBorders>
            <w:vAlign w:val="bottom"/>
          </w:tcPr>
          <w:p w14:paraId="7060FDFF" w14:textId="7BDB8248" w:rsidR="00D12A3B" w:rsidRPr="000D1016" w:rsidRDefault="00975451" w:rsidP="000D1016">
            <w:pPr>
              <w:spacing w:line="360" w:lineRule="auto"/>
              <w:ind w:right="77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F220675" wp14:editId="1459B81D">
                  <wp:extent cx="1370330" cy="931333"/>
                  <wp:effectExtent l="0" t="0" r="127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6880" cy="962970"/>
                          </a:xfrm>
                          <a:prstGeom prst="rect">
                            <a:avLst/>
                          </a:prstGeom>
                        </pic:spPr>
                      </pic:pic>
                    </a:graphicData>
                  </a:graphic>
                </wp:inline>
              </w:drawing>
            </w:r>
          </w:p>
        </w:tc>
      </w:tr>
      <w:tr w:rsidR="00975451" w:rsidRPr="000D1016" w14:paraId="1B20ED93" w14:textId="77777777" w:rsidTr="00A93E18">
        <w:trPr>
          <w:trHeight w:val="749"/>
        </w:trPr>
        <w:tc>
          <w:tcPr>
            <w:tcW w:w="581" w:type="dxa"/>
            <w:tcBorders>
              <w:top w:val="single" w:sz="4" w:space="0" w:color="000000"/>
              <w:left w:val="single" w:sz="4" w:space="0" w:color="000000"/>
              <w:bottom w:val="single" w:sz="4" w:space="0" w:color="000000"/>
              <w:right w:val="single" w:sz="4" w:space="0" w:color="000000"/>
            </w:tcBorders>
          </w:tcPr>
          <w:p w14:paraId="2F231F38"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5. </w:t>
            </w:r>
          </w:p>
        </w:tc>
        <w:tc>
          <w:tcPr>
            <w:tcW w:w="4491" w:type="dxa"/>
            <w:tcBorders>
              <w:top w:val="single" w:sz="4" w:space="0" w:color="000000"/>
              <w:left w:val="single" w:sz="4" w:space="0" w:color="000000"/>
              <w:bottom w:val="single" w:sz="4" w:space="0" w:color="000000"/>
              <w:right w:val="single" w:sz="4" w:space="0" w:color="000000"/>
            </w:tcBorders>
          </w:tcPr>
          <w:p w14:paraId="71716B14"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OMWONG’A NYABOKE SHARON</w:t>
            </w:r>
          </w:p>
        </w:tc>
        <w:tc>
          <w:tcPr>
            <w:tcW w:w="2521" w:type="dxa"/>
            <w:tcBorders>
              <w:top w:val="single" w:sz="4" w:space="0" w:color="000000"/>
              <w:left w:val="single" w:sz="4" w:space="0" w:color="000000"/>
              <w:bottom w:val="single" w:sz="4" w:space="0" w:color="000000"/>
              <w:right w:val="single" w:sz="4" w:space="0" w:color="000000"/>
            </w:tcBorders>
          </w:tcPr>
          <w:p w14:paraId="2725BFE6"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20230575</w:t>
            </w:r>
          </w:p>
        </w:tc>
        <w:tc>
          <w:tcPr>
            <w:tcW w:w="2009" w:type="dxa"/>
            <w:tcBorders>
              <w:top w:val="single" w:sz="4" w:space="0" w:color="000000"/>
              <w:left w:val="single" w:sz="4" w:space="0" w:color="000000"/>
              <w:bottom w:val="single" w:sz="4" w:space="0" w:color="000000"/>
              <w:right w:val="single" w:sz="4" w:space="0" w:color="000000"/>
            </w:tcBorders>
            <w:vAlign w:val="bottom"/>
          </w:tcPr>
          <w:p w14:paraId="6E3FA81A" w14:textId="6CA080BD" w:rsidR="00D12A3B" w:rsidRPr="000D1016" w:rsidRDefault="00D12A3B" w:rsidP="000D1016">
            <w:pPr>
              <w:spacing w:line="360" w:lineRule="auto"/>
              <w:ind w:right="802"/>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i/>
                <w:color w:val="000000"/>
                <w:sz w:val="24"/>
                <w:szCs w:val="24"/>
              </w:rPr>
              <w:t xml:space="preserve"> </w:t>
            </w:r>
            <w:r w:rsidR="00975451">
              <w:rPr>
                <w:rFonts w:ascii="Times New Roman" w:eastAsia="Times New Roman" w:hAnsi="Times New Roman" w:cs="Times New Roman"/>
                <w:i/>
                <w:color w:val="000000"/>
                <w:sz w:val="24"/>
                <w:szCs w:val="24"/>
              </w:rPr>
              <w:t>O.</w:t>
            </w:r>
            <w:proofErr w:type="gramStart"/>
            <w:r w:rsidR="00975451">
              <w:rPr>
                <w:rFonts w:ascii="Times New Roman" w:eastAsia="Times New Roman" w:hAnsi="Times New Roman" w:cs="Times New Roman"/>
                <w:i/>
                <w:color w:val="000000"/>
                <w:sz w:val="24"/>
                <w:szCs w:val="24"/>
              </w:rPr>
              <w:t>N.S</w:t>
            </w:r>
            <w:proofErr w:type="gramEnd"/>
          </w:p>
        </w:tc>
      </w:tr>
      <w:tr w:rsidR="00975451" w:rsidRPr="000D1016" w14:paraId="1B0D4B85" w14:textId="77777777" w:rsidTr="00A93E18">
        <w:trPr>
          <w:trHeight w:val="782"/>
        </w:trPr>
        <w:tc>
          <w:tcPr>
            <w:tcW w:w="581" w:type="dxa"/>
            <w:tcBorders>
              <w:top w:val="single" w:sz="4" w:space="0" w:color="000000"/>
              <w:left w:val="single" w:sz="4" w:space="0" w:color="000000"/>
              <w:bottom w:val="single" w:sz="4" w:space="0" w:color="000000"/>
              <w:right w:val="single" w:sz="4" w:space="0" w:color="000000"/>
            </w:tcBorders>
          </w:tcPr>
          <w:p w14:paraId="5946EB41"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6. </w:t>
            </w:r>
          </w:p>
        </w:tc>
        <w:tc>
          <w:tcPr>
            <w:tcW w:w="4491" w:type="dxa"/>
            <w:tcBorders>
              <w:top w:val="single" w:sz="4" w:space="0" w:color="000000"/>
              <w:left w:val="single" w:sz="4" w:space="0" w:color="000000"/>
              <w:bottom w:val="single" w:sz="4" w:space="0" w:color="000000"/>
              <w:right w:val="single" w:sz="4" w:space="0" w:color="000000"/>
            </w:tcBorders>
          </w:tcPr>
          <w:p w14:paraId="10BC0810"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CALEB KIPKOECH</w:t>
            </w:r>
          </w:p>
        </w:tc>
        <w:tc>
          <w:tcPr>
            <w:tcW w:w="2521" w:type="dxa"/>
            <w:tcBorders>
              <w:top w:val="single" w:sz="4" w:space="0" w:color="000000"/>
              <w:left w:val="single" w:sz="4" w:space="0" w:color="000000"/>
              <w:bottom w:val="single" w:sz="4" w:space="0" w:color="000000"/>
              <w:right w:val="single" w:sz="4" w:space="0" w:color="000000"/>
            </w:tcBorders>
          </w:tcPr>
          <w:p w14:paraId="188E136C"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20230026</w:t>
            </w:r>
          </w:p>
        </w:tc>
        <w:tc>
          <w:tcPr>
            <w:tcW w:w="2009" w:type="dxa"/>
            <w:tcBorders>
              <w:top w:val="single" w:sz="4" w:space="0" w:color="000000"/>
              <w:left w:val="single" w:sz="4" w:space="0" w:color="000000"/>
              <w:bottom w:val="single" w:sz="4" w:space="0" w:color="000000"/>
              <w:right w:val="single" w:sz="4" w:space="0" w:color="000000"/>
            </w:tcBorders>
            <w:vAlign w:val="bottom"/>
          </w:tcPr>
          <w:p w14:paraId="1D8BE643" w14:textId="32F2FE69" w:rsidR="00D12A3B" w:rsidRPr="000D1016" w:rsidRDefault="00D12A3B" w:rsidP="000D1016">
            <w:pPr>
              <w:spacing w:line="360" w:lineRule="auto"/>
              <w:ind w:right="1010"/>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i/>
                <w:color w:val="000000"/>
                <w:sz w:val="24"/>
                <w:szCs w:val="24"/>
              </w:rPr>
              <w:t xml:space="preserve"> </w:t>
            </w:r>
            <w:r w:rsidR="00975451">
              <w:rPr>
                <w:rFonts w:ascii="Times New Roman" w:eastAsia="Times New Roman" w:hAnsi="Times New Roman" w:cs="Times New Roman"/>
                <w:i/>
                <w:color w:val="000000"/>
                <w:sz w:val="24"/>
                <w:szCs w:val="24"/>
              </w:rPr>
              <w:t>C.K</w:t>
            </w:r>
          </w:p>
        </w:tc>
      </w:tr>
      <w:tr w:rsidR="00975451" w:rsidRPr="000D1016" w14:paraId="23CD95F2" w14:textId="77777777" w:rsidTr="00A93E18">
        <w:trPr>
          <w:trHeight w:val="898"/>
        </w:trPr>
        <w:tc>
          <w:tcPr>
            <w:tcW w:w="581" w:type="dxa"/>
            <w:tcBorders>
              <w:top w:val="single" w:sz="4" w:space="0" w:color="000000"/>
              <w:left w:val="single" w:sz="4" w:space="0" w:color="000000"/>
              <w:bottom w:val="single" w:sz="4" w:space="0" w:color="000000"/>
              <w:right w:val="single" w:sz="4" w:space="0" w:color="000000"/>
            </w:tcBorders>
          </w:tcPr>
          <w:p w14:paraId="6816E31D"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7. </w:t>
            </w:r>
          </w:p>
        </w:tc>
        <w:tc>
          <w:tcPr>
            <w:tcW w:w="4491" w:type="dxa"/>
            <w:tcBorders>
              <w:top w:val="single" w:sz="4" w:space="0" w:color="000000"/>
              <w:left w:val="single" w:sz="4" w:space="0" w:color="000000"/>
              <w:bottom w:val="single" w:sz="4" w:space="0" w:color="000000"/>
              <w:right w:val="single" w:sz="4" w:space="0" w:color="000000"/>
            </w:tcBorders>
          </w:tcPr>
          <w:p w14:paraId="5113B968"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WACERA EVALYN NJERI</w:t>
            </w:r>
          </w:p>
        </w:tc>
        <w:tc>
          <w:tcPr>
            <w:tcW w:w="2521" w:type="dxa"/>
            <w:tcBorders>
              <w:top w:val="single" w:sz="4" w:space="0" w:color="000000"/>
              <w:left w:val="single" w:sz="4" w:space="0" w:color="000000"/>
              <w:bottom w:val="single" w:sz="4" w:space="0" w:color="000000"/>
              <w:right w:val="single" w:sz="4" w:space="0" w:color="000000"/>
            </w:tcBorders>
          </w:tcPr>
          <w:p w14:paraId="7CBCBDDE"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20231240</w:t>
            </w:r>
          </w:p>
        </w:tc>
        <w:tc>
          <w:tcPr>
            <w:tcW w:w="2009" w:type="dxa"/>
            <w:tcBorders>
              <w:top w:val="single" w:sz="4" w:space="0" w:color="000000"/>
              <w:left w:val="single" w:sz="4" w:space="0" w:color="000000"/>
              <w:bottom w:val="single" w:sz="4" w:space="0" w:color="000000"/>
              <w:right w:val="single" w:sz="4" w:space="0" w:color="000000"/>
            </w:tcBorders>
            <w:vAlign w:val="bottom"/>
          </w:tcPr>
          <w:p w14:paraId="6FCCEDD9" w14:textId="3207552A" w:rsidR="00D12A3B" w:rsidRPr="000D1016" w:rsidRDefault="00975451" w:rsidP="000D1016">
            <w:pPr>
              <w:spacing w:line="360" w:lineRule="auto"/>
              <w:ind w:right="682"/>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25B9F60" wp14:editId="43E136FD">
                  <wp:extent cx="2004798" cy="3725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1538" cy="394226"/>
                          </a:xfrm>
                          <a:prstGeom prst="rect">
                            <a:avLst/>
                          </a:prstGeom>
                        </pic:spPr>
                      </pic:pic>
                    </a:graphicData>
                  </a:graphic>
                </wp:inline>
              </w:drawing>
            </w:r>
          </w:p>
        </w:tc>
      </w:tr>
      <w:tr w:rsidR="00975451" w:rsidRPr="000D1016" w14:paraId="31607CD0" w14:textId="77777777" w:rsidTr="00A93E18">
        <w:trPr>
          <w:trHeight w:val="816"/>
        </w:trPr>
        <w:tc>
          <w:tcPr>
            <w:tcW w:w="581" w:type="dxa"/>
            <w:tcBorders>
              <w:top w:val="single" w:sz="4" w:space="0" w:color="000000"/>
              <w:left w:val="single" w:sz="4" w:space="0" w:color="000000"/>
              <w:bottom w:val="single" w:sz="4" w:space="0" w:color="000000"/>
              <w:right w:val="single" w:sz="4" w:space="0" w:color="000000"/>
            </w:tcBorders>
          </w:tcPr>
          <w:p w14:paraId="20FE1EFC"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lastRenderedPageBreak/>
              <w:t xml:space="preserve">8. </w:t>
            </w:r>
          </w:p>
        </w:tc>
        <w:tc>
          <w:tcPr>
            <w:tcW w:w="4491" w:type="dxa"/>
            <w:tcBorders>
              <w:top w:val="single" w:sz="4" w:space="0" w:color="000000"/>
              <w:left w:val="single" w:sz="4" w:space="0" w:color="000000"/>
              <w:bottom w:val="single" w:sz="4" w:space="0" w:color="000000"/>
              <w:right w:val="single" w:sz="4" w:space="0" w:color="000000"/>
            </w:tcBorders>
          </w:tcPr>
          <w:p w14:paraId="4FF77A9E"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 xml:space="preserve">JOHN BUGUTA RUWA </w:t>
            </w:r>
          </w:p>
        </w:tc>
        <w:tc>
          <w:tcPr>
            <w:tcW w:w="2521" w:type="dxa"/>
            <w:tcBorders>
              <w:top w:val="single" w:sz="4" w:space="0" w:color="000000"/>
              <w:left w:val="single" w:sz="4" w:space="0" w:color="000000"/>
              <w:bottom w:val="single" w:sz="4" w:space="0" w:color="000000"/>
              <w:right w:val="single" w:sz="4" w:space="0" w:color="000000"/>
            </w:tcBorders>
          </w:tcPr>
          <w:p w14:paraId="6427EDC4" w14:textId="77777777" w:rsidR="00D12A3B" w:rsidRPr="000D1016" w:rsidRDefault="00D12A3B" w:rsidP="000D1016">
            <w:pPr>
              <w:spacing w:line="360" w:lineRule="auto"/>
              <w:ind w:left="4"/>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20231581</w:t>
            </w:r>
          </w:p>
        </w:tc>
        <w:tc>
          <w:tcPr>
            <w:tcW w:w="2009" w:type="dxa"/>
            <w:tcBorders>
              <w:top w:val="single" w:sz="4" w:space="0" w:color="000000"/>
              <w:left w:val="single" w:sz="4" w:space="0" w:color="000000"/>
              <w:bottom w:val="single" w:sz="4" w:space="0" w:color="000000"/>
              <w:right w:val="single" w:sz="4" w:space="0" w:color="000000"/>
            </w:tcBorders>
            <w:vAlign w:val="bottom"/>
          </w:tcPr>
          <w:p w14:paraId="6AD96765" w14:textId="08E3C0D9" w:rsidR="00D12A3B" w:rsidRPr="000D1016" w:rsidRDefault="00D12A3B" w:rsidP="000D1016">
            <w:pPr>
              <w:spacing w:line="360" w:lineRule="auto"/>
              <w:ind w:right="922"/>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i/>
                <w:color w:val="000000"/>
                <w:sz w:val="24"/>
                <w:szCs w:val="24"/>
              </w:rPr>
              <w:t xml:space="preserve"> </w:t>
            </w:r>
            <w:r w:rsidR="00975451">
              <w:rPr>
                <w:rFonts w:ascii="Times New Roman" w:eastAsia="Times New Roman" w:hAnsi="Times New Roman" w:cs="Times New Roman"/>
                <w:i/>
                <w:color w:val="000000"/>
                <w:sz w:val="24"/>
                <w:szCs w:val="24"/>
              </w:rPr>
              <w:t>J.B.R</w:t>
            </w:r>
          </w:p>
        </w:tc>
      </w:tr>
    </w:tbl>
    <w:p w14:paraId="69F8E4BB" w14:textId="14D04968" w:rsidR="007519EF" w:rsidRDefault="007519EF" w:rsidP="000D1016">
      <w:pPr>
        <w:spacing w:line="360" w:lineRule="auto"/>
        <w:jc w:val="both"/>
        <w:rPr>
          <w:rFonts w:ascii="Times New Roman" w:hAnsi="Times New Roman" w:cs="Times New Roman"/>
          <w:sz w:val="24"/>
          <w:szCs w:val="24"/>
        </w:rPr>
      </w:pPr>
    </w:p>
    <w:p w14:paraId="159CD42E" w14:textId="77777777" w:rsidR="000D1016" w:rsidRPr="000D1016" w:rsidRDefault="000D1016" w:rsidP="000D1016">
      <w:pPr>
        <w:spacing w:line="360" w:lineRule="auto"/>
        <w:jc w:val="both"/>
        <w:rPr>
          <w:rFonts w:ascii="Times New Roman" w:hAnsi="Times New Roman" w:cs="Times New Roman"/>
          <w:sz w:val="24"/>
          <w:szCs w:val="24"/>
        </w:rPr>
      </w:pPr>
    </w:p>
    <w:sdt>
      <w:sdtPr>
        <w:rPr>
          <w:rFonts w:ascii="Times New Roman" w:eastAsia="Times New Roman" w:hAnsi="Times New Roman" w:cs="Times New Roman"/>
          <w:color w:val="000000"/>
          <w:sz w:val="24"/>
          <w:szCs w:val="24"/>
        </w:rPr>
        <w:id w:val="-1741157501"/>
        <w:docPartObj>
          <w:docPartGallery w:val="Table of Contents"/>
        </w:docPartObj>
      </w:sdtPr>
      <w:sdtContent>
        <w:p w14:paraId="0C6BC9BB" w14:textId="77777777" w:rsidR="007519EF" w:rsidRPr="000D1016" w:rsidRDefault="007519EF" w:rsidP="000D1016">
          <w:pPr>
            <w:spacing w:after="127" w:line="360" w:lineRule="auto"/>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365F91"/>
              <w:sz w:val="24"/>
              <w:szCs w:val="24"/>
            </w:rPr>
            <w:t xml:space="preserve">Table of Contents </w:t>
          </w:r>
        </w:p>
        <w:p w14:paraId="1E26BEB6" w14:textId="77777777" w:rsidR="007519EF" w:rsidRPr="000D1016" w:rsidRDefault="007519EF" w:rsidP="000D1016">
          <w:pPr>
            <w:tabs>
              <w:tab w:val="right" w:leader="dot" w:pos="9363"/>
            </w:tabs>
            <w:spacing w:after="144" w:line="360" w:lineRule="auto"/>
            <w:ind w:left="25" w:right="22" w:hanging="10"/>
            <w:jc w:val="both"/>
            <w:rPr>
              <w:rFonts w:ascii="Times New Roman" w:eastAsia="Calibri" w:hAnsi="Times New Roman" w:cs="Times New Roman"/>
              <w:color w:val="000000"/>
              <w:sz w:val="24"/>
              <w:szCs w:val="24"/>
            </w:rPr>
          </w:pPr>
          <w:r w:rsidRPr="000D1016">
            <w:rPr>
              <w:rFonts w:ascii="Times New Roman" w:eastAsia="Calibri" w:hAnsi="Times New Roman" w:cs="Times New Roman"/>
              <w:color w:val="000000"/>
              <w:sz w:val="24"/>
              <w:szCs w:val="24"/>
            </w:rPr>
            <w:fldChar w:fldCharType="begin"/>
          </w:r>
          <w:r w:rsidRPr="000D1016">
            <w:rPr>
              <w:rFonts w:ascii="Times New Roman" w:eastAsia="Calibri" w:hAnsi="Times New Roman" w:cs="Times New Roman"/>
              <w:color w:val="000000"/>
              <w:sz w:val="24"/>
              <w:szCs w:val="24"/>
            </w:rPr>
            <w:instrText xml:space="preserve"> TOC \o "1-3" \h \z \u </w:instrText>
          </w:r>
          <w:r w:rsidRPr="000D1016">
            <w:rPr>
              <w:rFonts w:ascii="Times New Roman" w:eastAsia="Calibri" w:hAnsi="Times New Roman" w:cs="Times New Roman"/>
              <w:color w:val="000000"/>
              <w:sz w:val="24"/>
              <w:szCs w:val="24"/>
            </w:rPr>
            <w:fldChar w:fldCharType="separate"/>
          </w:r>
        </w:p>
        <w:p w14:paraId="4F6F134C" w14:textId="77777777" w:rsidR="007519EF" w:rsidRPr="000D1016" w:rsidRDefault="00000000" w:rsidP="000D1016">
          <w:pPr>
            <w:tabs>
              <w:tab w:val="right" w:leader="dot" w:pos="9363"/>
            </w:tabs>
            <w:spacing w:after="144" w:line="360" w:lineRule="auto"/>
            <w:ind w:left="25" w:right="22" w:hanging="10"/>
            <w:jc w:val="both"/>
            <w:rPr>
              <w:rFonts w:ascii="Times New Roman" w:eastAsia="Calibri" w:hAnsi="Times New Roman" w:cs="Times New Roman"/>
              <w:color w:val="000000"/>
              <w:sz w:val="24"/>
              <w:szCs w:val="24"/>
            </w:rPr>
          </w:pPr>
          <w:hyperlink w:anchor="_Toc55770">
            <w:r w:rsidR="00145BF6" w:rsidRPr="000D1016">
              <w:rPr>
                <w:rFonts w:ascii="Times New Roman" w:eastAsia="Times New Roman" w:hAnsi="Times New Roman" w:cs="Times New Roman"/>
                <w:color w:val="000000"/>
                <w:sz w:val="24"/>
                <w:szCs w:val="24"/>
              </w:rPr>
              <w:t>QUESTION 1</w:t>
            </w:r>
            <w:r w:rsidR="007519EF" w:rsidRPr="000D1016">
              <w:rPr>
                <w:rFonts w:ascii="Times New Roman" w:eastAsia="Calibri" w:hAnsi="Times New Roman" w:cs="Times New Roman"/>
                <w:color w:val="000000"/>
                <w:sz w:val="24"/>
                <w:szCs w:val="24"/>
              </w:rPr>
              <w:tab/>
            </w:r>
            <w:r w:rsidR="00145BF6" w:rsidRPr="000D1016">
              <w:rPr>
                <w:rFonts w:ascii="Times New Roman" w:eastAsia="Calibri" w:hAnsi="Times New Roman" w:cs="Times New Roman"/>
                <w:color w:val="000000"/>
                <w:sz w:val="24"/>
                <w:szCs w:val="24"/>
              </w:rPr>
              <w:t>3</w:t>
            </w:r>
            <w:r w:rsidR="007519EF" w:rsidRPr="000D1016">
              <w:rPr>
                <w:rFonts w:ascii="Times New Roman" w:eastAsia="Calibri" w:hAnsi="Times New Roman" w:cs="Times New Roman"/>
                <w:color w:val="000000"/>
                <w:sz w:val="24"/>
                <w:szCs w:val="24"/>
              </w:rPr>
              <w:fldChar w:fldCharType="begin"/>
            </w:r>
            <w:r w:rsidR="007519EF" w:rsidRPr="000D1016">
              <w:rPr>
                <w:rFonts w:ascii="Times New Roman" w:eastAsia="Calibri" w:hAnsi="Times New Roman" w:cs="Times New Roman"/>
                <w:color w:val="000000"/>
                <w:sz w:val="24"/>
                <w:szCs w:val="24"/>
              </w:rPr>
              <w:instrText>PAGEREF _Toc55770 \h</w:instrText>
            </w:r>
            <w:r w:rsidR="007519EF" w:rsidRPr="000D1016">
              <w:rPr>
                <w:rFonts w:ascii="Times New Roman" w:eastAsia="Calibri" w:hAnsi="Times New Roman" w:cs="Times New Roman"/>
                <w:color w:val="000000"/>
                <w:sz w:val="24"/>
                <w:szCs w:val="24"/>
              </w:rPr>
            </w:r>
            <w:r w:rsidR="007519EF" w:rsidRPr="000D1016">
              <w:rPr>
                <w:rFonts w:ascii="Times New Roman" w:eastAsia="Calibri" w:hAnsi="Times New Roman" w:cs="Times New Roman"/>
                <w:color w:val="000000"/>
                <w:sz w:val="24"/>
                <w:szCs w:val="24"/>
              </w:rPr>
              <w:fldChar w:fldCharType="separate"/>
            </w:r>
            <w:r w:rsidR="007519EF" w:rsidRPr="000D1016">
              <w:rPr>
                <w:rFonts w:ascii="Times New Roman" w:eastAsia="Calibri" w:hAnsi="Times New Roman" w:cs="Times New Roman"/>
                <w:color w:val="000000"/>
                <w:sz w:val="24"/>
                <w:szCs w:val="24"/>
              </w:rPr>
              <w:t xml:space="preserve"> </w:t>
            </w:r>
            <w:r w:rsidR="007519EF" w:rsidRPr="000D1016">
              <w:rPr>
                <w:rFonts w:ascii="Times New Roman" w:eastAsia="Calibri" w:hAnsi="Times New Roman" w:cs="Times New Roman"/>
                <w:color w:val="000000"/>
                <w:sz w:val="24"/>
                <w:szCs w:val="24"/>
              </w:rPr>
              <w:fldChar w:fldCharType="end"/>
            </w:r>
          </w:hyperlink>
        </w:p>
        <w:p w14:paraId="734439E0" w14:textId="77777777" w:rsidR="007519EF" w:rsidRPr="000D1016" w:rsidRDefault="00000000" w:rsidP="000D1016">
          <w:pPr>
            <w:tabs>
              <w:tab w:val="right" w:leader="dot" w:pos="9363"/>
            </w:tabs>
            <w:spacing w:after="144" w:line="360" w:lineRule="auto"/>
            <w:ind w:left="25" w:right="22" w:hanging="10"/>
            <w:jc w:val="both"/>
            <w:rPr>
              <w:rFonts w:ascii="Times New Roman" w:eastAsia="Calibri" w:hAnsi="Times New Roman" w:cs="Times New Roman"/>
              <w:color w:val="000000"/>
              <w:sz w:val="24"/>
              <w:szCs w:val="24"/>
            </w:rPr>
          </w:pPr>
          <w:hyperlink w:anchor="_Toc55776">
            <w:r w:rsidR="00145BF6" w:rsidRPr="000D1016">
              <w:rPr>
                <w:rFonts w:ascii="Times New Roman" w:eastAsia="Times New Roman" w:hAnsi="Times New Roman" w:cs="Times New Roman"/>
                <w:color w:val="000000"/>
                <w:sz w:val="24"/>
                <w:szCs w:val="24"/>
              </w:rPr>
              <w:t>QUESTION 2</w:t>
            </w:r>
            <w:r w:rsidR="007519EF" w:rsidRPr="000D1016">
              <w:rPr>
                <w:rFonts w:ascii="Times New Roman" w:eastAsia="Calibri" w:hAnsi="Times New Roman" w:cs="Times New Roman"/>
                <w:color w:val="000000"/>
                <w:sz w:val="24"/>
                <w:szCs w:val="24"/>
              </w:rPr>
              <w:tab/>
            </w:r>
            <w:r w:rsidR="00145BF6" w:rsidRPr="000D1016">
              <w:rPr>
                <w:rFonts w:ascii="Times New Roman" w:eastAsia="Calibri" w:hAnsi="Times New Roman" w:cs="Times New Roman"/>
                <w:color w:val="000000"/>
                <w:sz w:val="24"/>
                <w:szCs w:val="24"/>
              </w:rPr>
              <w:t>11</w:t>
            </w:r>
            <w:r w:rsidR="007519EF" w:rsidRPr="000D1016">
              <w:rPr>
                <w:rFonts w:ascii="Times New Roman" w:eastAsia="Calibri" w:hAnsi="Times New Roman" w:cs="Times New Roman"/>
                <w:color w:val="000000"/>
                <w:sz w:val="24"/>
                <w:szCs w:val="24"/>
              </w:rPr>
              <w:fldChar w:fldCharType="begin"/>
            </w:r>
            <w:r w:rsidR="007519EF" w:rsidRPr="000D1016">
              <w:rPr>
                <w:rFonts w:ascii="Times New Roman" w:eastAsia="Calibri" w:hAnsi="Times New Roman" w:cs="Times New Roman"/>
                <w:color w:val="000000"/>
                <w:sz w:val="24"/>
                <w:szCs w:val="24"/>
              </w:rPr>
              <w:instrText>PAGEREF _Toc55776 \h</w:instrText>
            </w:r>
            <w:r w:rsidR="007519EF" w:rsidRPr="000D1016">
              <w:rPr>
                <w:rFonts w:ascii="Times New Roman" w:eastAsia="Calibri" w:hAnsi="Times New Roman" w:cs="Times New Roman"/>
                <w:color w:val="000000"/>
                <w:sz w:val="24"/>
                <w:szCs w:val="24"/>
              </w:rPr>
            </w:r>
            <w:r w:rsidR="007519EF" w:rsidRPr="000D1016">
              <w:rPr>
                <w:rFonts w:ascii="Times New Roman" w:eastAsia="Calibri" w:hAnsi="Times New Roman" w:cs="Times New Roman"/>
                <w:color w:val="000000"/>
                <w:sz w:val="24"/>
                <w:szCs w:val="24"/>
              </w:rPr>
              <w:fldChar w:fldCharType="separate"/>
            </w:r>
            <w:r w:rsidR="007519EF" w:rsidRPr="000D1016">
              <w:rPr>
                <w:rFonts w:ascii="Times New Roman" w:eastAsia="Calibri" w:hAnsi="Times New Roman" w:cs="Times New Roman"/>
                <w:color w:val="000000"/>
                <w:sz w:val="24"/>
                <w:szCs w:val="24"/>
              </w:rPr>
              <w:t xml:space="preserve"> </w:t>
            </w:r>
            <w:r w:rsidR="007519EF" w:rsidRPr="000D1016">
              <w:rPr>
                <w:rFonts w:ascii="Times New Roman" w:eastAsia="Calibri" w:hAnsi="Times New Roman" w:cs="Times New Roman"/>
                <w:color w:val="000000"/>
                <w:sz w:val="24"/>
                <w:szCs w:val="24"/>
              </w:rPr>
              <w:fldChar w:fldCharType="end"/>
            </w:r>
          </w:hyperlink>
        </w:p>
        <w:p w14:paraId="1B6D3C77" w14:textId="77777777" w:rsidR="007519EF" w:rsidRPr="000D1016" w:rsidRDefault="00000000" w:rsidP="000D1016">
          <w:pPr>
            <w:tabs>
              <w:tab w:val="right" w:leader="dot" w:pos="9363"/>
            </w:tabs>
            <w:spacing w:after="144" w:line="360" w:lineRule="auto"/>
            <w:ind w:right="22"/>
            <w:jc w:val="both"/>
            <w:rPr>
              <w:rFonts w:ascii="Times New Roman" w:eastAsia="Calibri" w:hAnsi="Times New Roman" w:cs="Times New Roman"/>
              <w:color w:val="000000"/>
              <w:sz w:val="24"/>
              <w:szCs w:val="24"/>
            </w:rPr>
          </w:pPr>
          <w:hyperlink w:anchor="_Toc55778">
            <w:r w:rsidR="00145BF6" w:rsidRPr="000D1016">
              <w:rPr>
                <w:rFonts w:ascii="Times New Roman" w:eastAsia="Times New Roman" w:hAnsi="Times New Roman" w:cs="Times New Roman"/>
                <w:color w:val="000000"/>
                <w:sz w:val="24"/>
                <w:szCs w:val="24"/>
              </w:rPr>
              <w:t>QUESTION 3</w:t>
            </w:r>
            <w:r w:rsidR="007519EF" w:rsidRPr="000D1016">
              <w:rPr>
                <w:rFonts w:ascii="Times New Roman" w:eastAsia="Calibri" w:hAnsi="Times New Roman" w:cs="Times New Roman"/>
                <w:color w:val="000000"/>
                <w:sz w:val="24"/>
                <w:szCs w:val="24"/>
              </w:rPr>
              <w:tab/>
            </w:r>
            <w:r w:rsidR="007519EF" w:rsidRPr="000D1016">
              <w:rPr>
                <w:rFonts w:ascii="Times New Roman" w:eastAsia="Calibri" w:hAnsi="Times New Roman" w:cs="Times New Roman"/>
                <w:color w:val="000000"/>
                <w:sz w:val="24"/>
                <w:szCs w:val="24"/>
              </w:rPr>
              <w:fldChar w:fldCharType="begin"/>
            </w:r>
            <w:r w:rsidR="007519EF" w:rsidRPr="000D1016">
              <w:rPr>
                <w:rFonts w:ascii="Times New Roman" w:eastAsia="Calibri" w:hAnsi="Times New Roman" w:cs="Times New Roman"/>
                <w:color w:val="000000"/>
                <w:sz w:val="24"/>
                <w:szCs w:val="24"/>
              </w:rPr>
              <w:instrText>PAGEREF _Toc55778 \h</w:instrText>
            </w:r>
            <w:r w:rsidR="007519EF" w:rsidRPr="000D1016">
              <w:rPr>
                <w:rFonts w:ascii="Times New Roman" w:eastAsia="Calibri" w:hAnsi="Times New Roman" w:cs="Times New Roman"/>
                <w:color w:val="000000"/>
                <w:sz w:val="24"/>
                <w:szCs w:val="24"/>
              </w:rPr>
            </w:r>
            <w:r w:rsidR="007519EF" w:rsidRPr="000D1016">
              <w:rPr>
                <w:rFonts w:ascii="Times New Roman" w:eastAsia="Calibri" w:hAnsi="Times New Roman" w:cs="Times New Roman"/>
                <w:color w:val="000000"/>
                <w:sz w:val="24"/>
                <w:szCs w:val="24"/>
              </w:rPr>
              <w:fldChar w:fldCharType="separate"/>
            </w:r>
            <w:r w:rsidR="007519EF" w:rsidRPr="000D1016">
              <w:rPr>
                <w:rFonts w:ascii="Times New Roman" w:eastAsia="Calibri" w:hAnsi="Times New Roman" w:cs="Times New Roman"/>
                <w:color w:val="000000"/>
                <w:sz w:val="24"/>
                <w:szCs w:val="24"/>
              </w:rPr>
              <w:t>1</w:t>
            </w:r>
            <w:r w:rsidR="00145BF6" w:rsidRPr="000D1016">
              <w:rPr>
                <w:rFonts w:ascii="Times New Roman" w:eastAsia="Calibri" w:hAnsi="Times New Roman" w:cs="Times New Roman"/>
                <w:color w:val="000000"/>
                <w:sz w:val="24"/>
                <w:szCs w:val="24"/>
              </w:rPr>
              <w:t>3</w:t>
            </w:r>
            <w:r w:rsidR="007519EF" w:rsidRPr="000D1016">
              <w:rPr>
                <w:rFonts w:ascii="Times New Roman" w:eastAsia="Calibri" w:hAnsi="Times New Roman" w:cs="Times New Roman"/>
                <w:color w:val="000000"/>
                <w:sz w:val="24"/>
                <w:szCs w:val="24"/>
              </w:rPr>
              <w:t xml:space="preserve"> </w:t>
            </w:r>
            <w:r w:rsidR="007519EF" w:rsidRPr="000D1016">
              <w:rPr>
                <w:rFonts w:ascii="Times New Roman" w:eastAsia="Calibri" w:hAnsi="Times New Roman" w:cs="Times New Roman"/>
                <w:color w:val="000000"/>
                <w:sz w:val="24"/>
                <w:szCs w:val="24"/>
              </w:rPr>
              <w:fldChar w:fldCharType="end"/>
            </w:r>
          </w:hyperlink>
        </w:p>
        <w:p w14:paraId="48B55EE5" w14:textId="77777777" w:rsidR="007519EF" w:rsidRPr="000D1016" w:rsidRDefault="00000000" w:rsidP="000D1016">
          <w:pPr>
            <w:tabs>
              <w:tab w:val="right" w:leader="dot" w:pos="9363"/>
            </w:tabs>
            <w:spacing w:after="144" w:line="360" w:lineRule="auto"/>
            <w:ind w:left="25" w:right="22" w:hanging="10"/>
            <w:jc w:val="both"/>
            <w:rPr>
              <w:rFonts w:ascii="Times New Roman" w:eastAsia="Calibri" w:hAnsi="Times New Roman" w:cs="Times New Roman"/>
              <w:color w:val="000000"/>
              <w:sz w:val="24"/>
              <w:szCs w:val="24"/>
            </w:rPr>
          </w:pPr>
          <w:hyperlink w:anchor="_Toc55779">
            <w:r w:rsidR="00145BF6" w:rsidRPr="000D1016">
              <w:rPr>
                <w:rFonts w:ascii="Times New Roman" w:eastAsia="Times New Roman" w:hAnsi="Times New Roman" w:cs="Times New Roman"/>
                <w:color w:val="000000"/>
                <w:sz w:val="24"/>
                <w:szCs w:val="24"/>
              </w:rPr>
              <w:t>QUESTION 4</w:t>
            </w:r>
            <w:r w:rsidR="007519EF" w:rsidRPr="000D1016">
              <w:rPr>
                <w:rFonts w:ascii="Times New Roman" w:eastAsia="Calibri" w:hAnsi="Times New Roman" w:cs="Times New Roman"/>
                <w:color w:val="000000"/>
                <w:sz w:val="24"/>
                <w:szCs w:val="24"/>
              </w:rPr>
              <w:tab/>
            </w:r>
            <w:r w:rsidR="007519EF" w:rsidRPr="000D1016">
              <w:rPr>
                <w:rFonts w:ascii="Times New Roman" w:eastAsia="Calibri" w:hAnsi="Times New Roman" w:cs="Times New Roman"/>
                <w:color w:val="000000"/>
                <w:sz w:val="24"/>
                <w:szCs w:val="24"/>
              </w:rPr>
              <w:fldChar w:fldCharType="begin"/>
            </w:r>
            <w:r w:rsidR="007519EF" w:rsidRPr="000D1016">
              <w:rPr>
                <w:rFonts w:ascii="Times New Roman" w:eastAsia="Calibri" w:hAnsi="Times New Roman" w:cs="Times New Roman"/>
                <w:color w:val="000000"/>
                <w:sz w:val="24"/>
                <w:szCs w:val="24"/>
              </w:rPr>
              <w:instrText>PAGEREF _Toc55779 \h</w:instrText>
            </w:r>
            <w:r w:rsidR="007519EF" w:rsidRPr="000D1016">
              <w:rPr>
                <w:rFonts w:ascii="Times New Roman" w:eastAsia="Calibri" w:hAnsi="Times New Roman" w:cs="Times New Roman"/>
                <w:color w:val="000000"/>
                <w:sz w:val="24"/>
                <w:szCs w:val="24"/>
              </w:rPr>
            </w:r>
            <w:r w:rsidR="007519EF" w:rsidRPr="000D1016">
              <w:rPr>
                <w:rFonts w:ascii="Times New Roman" w:eastAsia="Calibri" w:hAnsi="Times New Roman" w:cs="Times New Roman"/>
                <w:color w:val="000000"/>
                <w:sz w:val="24"/>
                <w:szCs w:val="24"/>
              </w:rPr>
              <w:fldChar w:fldCharType="separate"/>
            </w:r>
            <w:r w:rsidR="00145BF6" w:rsidRPr="000D1016">
              <w:rPr>
                <w:rFonts w:ascii="Times New Roman" w:eastAsia="Calibri" w:hAnsi="Times New Roman" w:cs="Times New Roman"/>
                <w:color w:val="000000"/>
                <w:sz w:val="24"/>
                <w:szCs w:val="24"/>
              </w:rPr>
              <w:t>17</w:t>
            </w:r>
            <w:r w:rsidR="007519EF" w:rsidRPr="000D1016">
              <w:rPr>
                <w:rFonts w:ascii="Times New Roman" w:eastAsia="Calibri" w:hAnsi="Times New Roman" w:cs="Times New Roman"/>
                <w:color w:val="000000"/>
                <w:sz w:val="24"/>
                <w:szCs w:val="24"/>
              </w:rPr>
              <w:t xml:space="preserve"> </w:t>
            </w:r>
            <w:r w:rsidR="007519EF" w:rsidRPr="000D1016">
              <w:rPr>
                <w:rFonts w:ascii="Times New Roman" w:eastAsia="Calibri" w:hAnsi="Times New Roman" w:cs="Times New Roman"/>
                <w:color w:val="000000"/>
                <w:sz w:val="24"/>
                <w:szCs w:val="24"/>
              </w:rPr>
              <w:fldChar w:fldCharType="end"/>
            </w:r>
          </w:hyperlink>
        </w:p>
        <w:p w14:paraId="710663D6" w14:textId="77777777" w:rsidR="007519EF" w:rsidRPr="000D1016" w:rsidRDefault="001F095E" w:rsidP="000D1016">
          <w:pPr>
            <w:tabs>
              <w:tab w:val="right" w:leader="dot" w:pos="9363"/>
            </w:tabs>
            <w:spacing w:after="144" w:line="360" w:lineRule="auto"/>
            <w:ind w:right="22"/>
            <w:jc w:val="both"/>
            <w:rPr>
              <w:rFonts w:ascii="Times New Roman" w:eastAsia="Calibri" w:hAnsi="Times New Roman" w:cs="Times New Roman"/>
              <w:color w:val="000000"/>
              <w:sz w:val="24"/>
              <w:szCs w:val="24"/>
            </w:rPr>
          </w:pPr>
          <w:r w:rsidRPr="000D1016">
            <w:rPr>
              <w:rFonts w:ascii="Times New Roman" w:eastAsia="Calibri" w:hAnsi="Times New Roman" w:cs="Times New Roman"/>
              <w:color w:val="000000"/>
              <w:sz w:val="24"/>
              <w:szCs w:val="24"/>
            </w:rPr>
            <w:t>BIBLIOGRAPHY……………………………………………………………………………………………………</w:t>
          </w:r>
          <w:r w:rsidR="00CD35D8" w:rsidRPr="000D1016">
            <w:rPr>
              <w:rFonts w:ascii="Times New Roman" w:eastAsia="Calibri" w:hAnsi="Times New Roman" w:cs="Times New Roman"/>
              <w:color w:val="000000"/>
              <w:sz w:val="24"/>
              <w:szCs w:val="24"/>
            </w:rPr>
            <w:t>....</w:t>
          </w:r>
          <w:r w:rsidRPr="000D1016">
            <w:rPr>
              <w:rFonts w:ascii="Times New Roman" w:eastAsia="Calibri" w:hAnsi="Times New Roman" w:cs="Times New Roman"/>
              <w:color w:val="000000"/>
              <w:sz w:val="24"/>
              <w:szCs w:val="24"/>
            </w:rPr>
            <w:t>……………………….25</w:t>
          </w:r>
        </w:p>
        <w:p w14:paraId="1D30F11F" w14:textId="77777777" w:rsidR="007519EF" w:rsidRPr="000D1016" w:rsidRDefault="007519EF" w:rsidP="000D1016">
          <w:pPr>
            <w:spacing w:line="360" w:lineRule="auto"/>
            <w:jc w:val="both"/>
            <w:rPr>
              <w:rFonts w:ascii="Times New Roman" w:hAnsi="Times New Roman" w:cs="Times New Roman"/>
              <w:sz w:val="24"/>
              <w:szCs w:val="24"/>
            </w:rPr>
          </w:pPr>
          <w:r w:rsidRPr="000D1016">
            <w:rPr>
              <w:rFonts w:ascii="Times New Roman" w:eastAsia="Times New Roman" w:hAnsi="Times New Roman" w:cs="Times New Roman"/>
              <w:color w:val="000000"/>
              <w:sz w:val="24"/>
              <w:szCs w:val="24"/>
            </w:rPr>
            <w:fldChar w:fldCharType="end"/>
          </w:r>
        </w:p>
      </w:sdtContent>
    </w:sdt>
    <w:p w14:paraId="799EE6C9" w14:textId="77777777" w:rsidR="007519EF" w:rsidRPr="000D1016" w:rsidRDefault="007519EF" w:rsidP="000D1016">
      <w:pPr>
        <w:spacing w:line="360" w:lineRule="auto"/>
        <w:jc w:val="both"/>
        <w:rPr>
          <w:rFonts w:ascii="Times New Roman" w:hAnsi="Times New Roman" w:cs="Times New Roman"/>
          <w:sz w:val="24"/>
          <w:szCs w:val="24"/>
        </w:rPr>
      </w:pPr>
    </w:p>
    <w:p w14:paraId="60089385" w14:textId="77777777" w:rsidR="007519EF" w:rsidRPr="000D1016" w:rsidRDefault="007519EF" w:rsidP="000D1016">
      <w:pPr>
        <w:spacing w:line="360" w:lineRule="auto"/>
        <w:jc w:val="both"/>
        <w:rPr>
          <w:rFonts w:ascii="Times New Roman" w:hAnsi="Times New Roman" w:cs="Times New Roman"/>
          <w:sz w:val="24"/>
          <w:szCs w:val="24"/>
        </w:rPr>
      </w:pPr>
    </w:p>
    <w:p w14:paraId="441041BD" w14:textId="77777777" w:rsidR="007519EF" w:rsidRPr="000D1016" w:rsidRDefault="007519EF" w:rsidP="000D1016">
      <w:pPr>
        <w:spacing w:line="360" w:lineRule="auto"/>
        <w:jc w:val="both"/>
        <w:rPr>
          <w:rFonts w:ascii="Times New Roman" w:hAnsi="Times New Roman" w:cs="Times New Roman"/>
          <w:sz w:val="24"/>
          <w:szCs w:val="24"/>
        </w:rPr>
      </w:pPr>
    </w:p>
    <w:p w14:paraId="3EB6C321" w14:textId="77777777" w:rsidR="007519EF" w:rsidRPr="000D1016" w:rsidRDefault="007519EF" w:rsidP="000D1016">
      <w:pPr>
        <w:spacing w:line="360" w:lineRule="auto"/>
        <w:jc w:val="both"/>
        <w:rPr>
          <w:rFonts w:ascii="Times New Roman" w:hAnsi="Times New Roman" w:cs="Times New Roman"/>
          <w:sz w:val="24"/>
          <w:szCs w:val="24"/>
        </w:rPr>
      </w:pPr>
    </w:p>
    <w:p w14:paraId="0468B02B" w14:textId="77777777" w:rsidR="007519EF" w:rsidRPr="000D1016" w:rsidRDefault="007519EF" w:rsidP="000D1016">
      <w:pPr>
        <w:spacing w:line="360" w:lineRule="auto"/>
        <w:jc w:val="both"/>
        <w:rPr>
          <w:rFonts w:ascii="Times New Roman" w:hAnsi="Times New Roman" w:cs="Times New Roman"/>
          <w:sz w:val="24"/>
          <w:szCs w:val="24"/>
        </w:rPr>
      </w:pPr>
    </w:p>
    <w:p w14:paraId="3F3B19AB" w14:textId="77777777" w:rsidR="007519EF" w:rsidRPr="000D1016" w:rsidRDefault="007519EF" w:rsidP="000D1016">
      <w:pPr>
        <w:spacing w:line="360" w:lineRule="auto"/>
        <w:jc w:val="both"/>
        <w:rPr>
          <w:rFonts w:ascii="Times New Roman" w:hAnsi="Times New Roman" w:cs="Times New Roman"/>
          <w:sz w:val="24"/>
          <w:szCs w:val="24"/>
        </w:rPr>
      </w:pPr>
    </w:p>
    <w:p w14:paraId="595489DD" w14:textId="77777777" w:rsidR="007519EF" w:rsidRPr="000D1016" w:rsidRDefault="007519EF" w:rsidP="000D1016">
      <w:pPr>
        <w:spacing w:line="360" w:lineRule="auto"/>
        <w:jc w:val="both"/>
        <w:rPr>
          <w:rFonts w:ascii="Times New Roman" w:hAnsi="Times New Roman" w:cs="Times New Roman"/>
          <w:sz w:val="24"/>
          <w:szCs w:val="24"/>
        </w:rPr>
      </w:pPr>
    </w:p>
    <w:p w14:paraId="1B39CDD6" w14:textId="77777777" w:rsidR="007519EF" w:rsidRPr="000D1016" w:rsidRDefault="007519EF" w:rsidP="000D1016">
      <w:pPr>
        <w:spacing w:line="360" w:lineRule="auto"/>
        <w:jc w:val="both"/>
        <w:rPr>
          <w:rFonts w:ascii="Times New Roman" w:hAnsi="Times New Roman" w:cs="Times New Roman"/>
          <w:sz w:val="24"/>
          <w:szCs w:val="24"/>
        </w:rPr>
      </w:pPr>
    </w:p>
    <w:p w14:paraId="139A4976" w14:textId="77777777" w:rsidR="00145BF6" w:rsidRPr="000D1016" w:rsidRDefault="00145BF6" w:rsidP="000D1016">
      <w:pPr>
        <w:spacing w:line="360" w:lineRule="auto"/>
        <w:jc w:val="both"/>
        <w:rPr>
          <w:rFonts w:ascii="Times New Roman" w:hAnsi="Times New Roman" w:cs="Times New Roman"/>
          <w:b/>
          <w:sz w:val="24"/>
          <w:szCs w:val="24"/>
        </w:rPr>
      </w:pPr>
    </w:p>
    <w:p w14:paraId="4731E60E" w14:textId="605392E8" w:rsidR="00145BF6" w:rsidRPr="000D1016" w:rsidRDefault="000D1016" w:rsidP="000D1016">
      <w:pPr>
        <w:rPr>
          <w:rFonts w:ascii="Times New Roman" w:hAnsi="Times New Roman" w:cs="Times New Roman"/>
          <w:b/>
          <w:sz w:val="24"/>
          <w:szCs w:val="24"/>
        </w:rPr>
      </w:pPr>
      <w:r>
        <w:rPr>
          <w:rFonts w:ascii="Times New Roman" w:hAnsi="Times New Roman" w:cs="Times New Roman"/>
          <w:b/>
          <w:sz w:val="24"/>
          <w:szCs w:val="24"/>
        </w:rPr>
        <w:br w:type="page"/>
      </w:r>
    </w:p>
    <w:p w14:paraId="26DC3F71" w14:textId="77777777" w:rsidR="007519EF" w:rsidRPr="000D1016" w:rsidRDefault="007519EF" w:rsidP="000D1016">
      <w:pPr>
        <w:spacing w:line="360" w:lineRule="auto"/>
        <w:jc w:val="both"/>
        <w:rPr>
          <w:rFonts w:ascii="Times New Roman" w:hAnsi="Times New Roman" w:cs="Times New Roman"/>
          <w:b/>
          <w:sz w:val="24"/>
          <w:szCs w:val="24"/>
        </w:rPr>
      </w:pPr>
      <w:r w:rsidRPr="000D1016">
        <w:rPr>
          <w:rFonts w:ascii="Times New Roman" w:hAnsi="Times New Roman" w:cs="Times New Roman"/>
          <w:b/>
          <w:sz w:val="24"/>
          <w:szCs w:val="24"/>
        </w:rPr>
        <w:lastRenderedPageBreak/>
        <w:t>QUESTION 1</w:t>
      </w:r>
    </w:p>
    <w:p w14:paraId="6A7AA033" w14:textId="77777777" w:rsidR="00D12A3B" w:rsidRPr="000D1016" w:rsidRDefault="00D12A3B" w:rsidP="000D1016">
      <w:pPr>
        <w:spacing w:line="360" w:lineRule="auto"/>
        <w:jc w:val="both"/>
        <w:rPr>
          <w:rFonts w:ascii="Times New Roman" w:hAnsi="Times New Roman" w:cs="Times New Roman"/>
          <w:b/>
          <w:sz w:val="24"/>
          <w:szCs w:val="24"/>
        </w:rPr>
      </w:pPr>
      <w:r w:rsidRPr="000D1016">
        <w:rPr>
          <w:rFonts w:ascii="Times New Roman" w:hAnsi="Times New Roman" w:cs="Times New Roman"/>
          <w:b/>
          <w:sz w:val="24"/>
          <w:szCs w:val="24"/>
        </w:rPr>
        <w:t xml:space="preserve">While a court may be clothed with jurisdiction, the extent of that jurisdiction may be limited in various ways. Discuss.  </w:t>
      </w:r>
    </w:p>
    <w:p w14:paraId="7D60AFAC"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Jurisdiction is the right to use power of an official body to make decisions on questions of fact and law. A question of jurisdiction has to be raised at the earliest step and the court must decide the issue right away. In </w:t>
      </w:r>
      <w:r w:rsidRPr="000D1016">
        <w:rPr>
          <w:rFonts w:ascii="Times New Roman" w:hAnsi="Times New Roman" w:cs="Times New Roman"/>
          <w:b/>
          <w:i/>
          <w:iCs/>
          <w:sz w:val="24"/>
          <w:szCs w:val="24"/>
        </w:rPr>
        <w:t>Samuel Kamau Macharia &amp; Another v. Kenya Commercial Bank Ltd. &amp; 2 Others</w:t>
      </w:r>
      <w:r w:rsidRPr="000D1016">
        <w:rPr>
          <w:rFonts w:ascii="Times New Roman" w:hAnsi="Times New Roman" w:cs="Times New Roman"/>
          <w:i/>
          <w:iCs/>
          <w:sz w:val="24"/>
          <w:szCs w:val="24"/>
        </w:rPr>
        <w:t>,</w:t>
      </w:r>
      <w:r w:rsidRPr="000D1016">
        <w:rPr>
          <w:rStyle w:val="FootnoteReference"/>
          <w:rFonts w:ascii="Times New Roman" w:hAnsi="Times New Roman" w:cs="Times New Roman"/>
          <w:i/>
          <w:iCs/>
          <w:sz w:val="24"/>
          <w:szCs w:val="24"/>
        </w:rPr>
        <w:footnoteReference w:id="1"/>
      </w:r>
      <w:r w:rsidRPr="000D1016">
        <w:rPr>
          <w:rFonts w:ascii="Times New Roman" w:hAnsi="Times New Roman" w:cs="Times New Roman"/>
          <w:sz w:val="24"/>
          <w:szCs w:val="24"/>
        </w:rPr>
        <w:t xml:space="preserve"> it was held that a Court’s jurisdiction flows from either the Constitution or legislation or both. Thus, a Court of law can only exercise jurisdiction as conferred by the Constitution or other written law. It cannot arrogate to itself jurisdiction exceeding that which is conferred upon it by law. Further, Section 5 of the Civil </w:t>
      </w:r>
      <w:r w:rsidR="00CD35D8" w:rsidRPr="000D1016">
        <w:rPr>
          <w:rFonts w:ascii="Times New Roman" w:hAnsi="Times New Roman" w:cs="Times New Roman"/>
          <w:sz w:val="24"/>
          <w:szCs w:val="24"/>
        </w:rPr>
        <w:t>Procedure</w:t>
      </w:r>
      <w:r w:rsidRPr="000D1016">
        <w:rPr>
          <w:rFonts w:ascii="Times New Roman" w:hAnsi="Times New Roman" w:cs="Times New Roman"/>
          <w:sz w:val="24"/>
          <w:szCs w:val="24"/>
        </w:rPr>
        <w:t xml:space="preserve"> Act, Chapter 21 of the laws of Kenya, elucidates that, any court shall have jurisdiction to try all suits of civil nature except where its cognizance is either expressly or impliedly barred. However, there are situations where the jurisdiction of the court may be limited despite it being competent to handle a matter.</w:t>
      </w:r>
    </w:p>
    <w:p w14:paraId="01404FF3" w14:textId="6EC8E554" w:rsidR="00D12A3B" w:rsidRPr="000D1016" w:rsidRDefault="00D12A3B" w:rsidP="000D1016">
      <w:pPr>
        <w:pStyle w:val="ListParagraph"/>
        <w:numPr>
          <w:ilvl w:val="0"/>
          <w:numId w:val="2"/>
        </w:numPr>
        <w:spacing w:line="360" w:lineRule="auto"/>
        <w:jc w:val="both"/>
        <w:rPr>
          <w:rFonts w:ascii="Times New Roman" w:hAnsi="Times New Roman" w:cs="Times New Roman"/>
          <w:b/>
          <w:bCs/>
          <w:sz w:val="24"/>
          <w:szCs w:val="24"/>
        </w:rPr>
      </w:pPr>
      <w:r w:rsidRPr="000D1016">
        <w:rPr>
          <w:rFonts w:ascii="Times New Roman" w:hAnsi="Times New Roman" w:cs="Times New Roman"/>
          <w:b/>
          <w:bCs/>
          <w:sz w:val="24"/>
          <w:szCs w:val="24"/>
        </w:rPr>
        <w:t>Stay of suit</w:t>
      </w:r>
      <w:r w:rsidR="000D1016">
        <w:rPr>
          <w:rFonts w:ascii="Times New Roman" w:hAnsi="Times New Roman" w:cs="Times New Roman"/>
          <w:b/>
          <w:bCs/>
          <w:sz w:val="24"/>
          <w:szCs w:val="24"/>
        </w:rPr>
        <w:t xml:space="preserve"> for Res Sub Judice</w:t>
      </w:r>
    </w:p>
    <w:p w14:paraId="1B47D780"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Section 6 of the Civil Procedure Act provides that a court shall no proceed with the trial of any suit or proceeding in which the matter in issue is also directly and substantially in issue in a previously instituted suit or proceeding between the same </w:t>
      </w:r>
      <w:r w:rsidR="00CD35D8" w:rsidRPr="000D1016">
        <w:rPr>
          <w:rFonts w:ascii="Times New Roman" w:hAnsi="Times New Roman" w:cs="Times New Roman"/>
          <w:sz w:val="24"/>
          <w:szCs w:val="24"/>
        </w:rPr>
        <w:t>in</w:t>
      </w:r>
      <w:r w:rsidRPr="000D1016">
        <w:rPr>
          <w:rFonts w:ascii="Times New Roman" w:hAnsi="Times New Roman" w:cs="Times New Roman"/>
          <w:sz w:val="24"/>
          <w:szCs w:val="24"/>
        </w:rPr>
        <w:t xml:space="preserve"> parties, or between parties under whom they any of them claim, litigating under the same title, where such suit or proceeding is pending in the same or any other court having jurisdiction in Kenya to grant the relief </w:t>
      </w:r>
      <w:r w:rsidR="00CD35D8" w:rsidRPr="000D1016">
        <w:rPr>
          <w:rFonts w:ascii="Times New Roman" w:hAnsi="Times New Roman" w:cs="Times New Roman"/>
          <w:sz w:val="24"/>
          <w:szCs w:val="24"/>
        </w:rPr>
        <w:t>claimed. In</w:t>
      </w:r>
      <w:r w:rsidRPr="000D1016">
        <w:rPr>
          <w:rFonts w:ascii="Times New Roman" w:hAnsi="Times New Roman" w:cs="Times New Roman"/>
          <w:sz w:val="24"/>
          <w:szCs w:val="24"/>
        </w:rPr>
        <w:t xml:space="preserve"> </w:t>
      </w:r>
      <w:r w:rsidRPr="000D1016">
        <w:rPr>
          <w:rFonts w:ascii="Times New Roman" w:hAnsi="Times New Roman" w:cs="Times New Roman"/>
          <w:b/>
          <w:i/>
          <w:iCs/>
          <w:sz w:val="24"/>
          <w:szCs w:val="24"/>
        </w:rPr>
        <w:t xml:space="preserve">Curio Welfare Association v Reuben </w:t>
      </w:r>
      <w:proofErr w:type="spellStart"/>
      <w:r w:rsidRPr="000D1016">
        <w:rPr>
          <w:rFonts w:ascii="Times New Roman" w:hAnsi="Times New Roman" w:cs="Times New Roman"/>
          <w:b/>
          <w:i/>
          <w:iCs/>
          <w:sz w:val="24"/>
          <w:szCs w:val="24"/>
        </w:rPr>
        <w:t>Kyalo</w:t>
      </w:r>
      <w:proofErr w:type="spellEnd"/>
      <w:r w:rsidRPr="000D1016">
        <w:rPr>
          <w:rFonts w:ascii="Times New Roman" w:hAnsi="Times New Roman" w:cs="Times New Roman"/>
          <w:b/>
          <w:i/>
          <w:iCs/>
          <w:sz w:val="24"/>
          <w:szCs w:val="24"/>
        </w:rPr>
        <w:t xml:space="preserve"> </w:t>
      </w:r>
      <w:proofErr w:type="spellStart"/>
      <w:r w:rsidRPr="000D1016">
        <w:rPr>
          <w:rFonts w:ascii="Times New Roman" w:hAnsi="Times New Roman" w:cs="Times New Roman"/>
          <w:b/>
          <w:i/>
          <w:iCs/>
          <w:sz w:val="24"/>
          <w:szCs w:val="24"/>
        </w:rPr>
        <w:t>Kithinga</w:t>
      </w:r>
      <w:proofErr w:type="spellEnd"/>
      <w:r w:rsidRPr="000D1016">
        <w:rPr>
          <w:rFonts w:ascii="Times New Roman" w:hAnsi="Times New Roman" w:cs="Times New Roman"/>
          <w:b/>
          <w:i/>
          <w:iCs/>
          <w:sz w:val="24"/>
          <w:szCs w:val="24"/>
        </w:rPr>
        <w:t xml:space="preserve"> &amp; </w:t>
      </w:r>
      <w:proofErr w:type="gramStart"/>
      <w:r w:rsidRPr="000D1016">
        <w:rPr>
          <w:rFonts w:ascii="Times New Roman" w:hAnsi="Times New Roman" w:cs="Times New Roman"/>
          <w:b/>
          <w:i/>
          <w:iCs/>
          <w:sz w:val="24"/>
          <w:szCs w:val="24"/>
        </w:rPr>
        <w:t>Another</w:t>
      </w:r>
      <w:r w:rsidRPr="000D1016">
        <w:rPr>
          <w:rFonts w:ascii="Times New Roman" w:hAnsi="Times New Roman" w:cs="Times New Roman"/>
          <w:i/>
          <w:iCs/>
          <w:sz w:val="24"/>
          <w:szCs w:val="24"/>
        </w:rPr>
        <w:t xml:space="preserve"> ,</w:t>
      </w:r>
      <w:proofErr w:type="gramEnd"/>
      <w:r w:rsidRPr="000D1016">
        <w:rPr>
          <w:rStyle w:val="FootnoteReference"/>
          <w:rFonts w:ascii="Times New Roman" w:hAnsi="Times New Roman" w:cs="Times New Roman"/>
          <w:i/>
          <w:iCs/>
          <w:sz w:val="24"/>
          <w:szCs w:val="24"/>
        </w:rPr>
        <w:footnoteReference w:id="2"/>
      </w:r>
      <w:r w:rsidRPr="000D1016">
        <w:rPr>
          <w:rFonts w:ascii="Times New Roman" w:hAnsi="Times New Roman" w:cs="Times New Roman"/>
          <w:sz w:val="24"/>
          <w:szCs w:val="24"/>
        </w:rPr>
        <w:t xml:space="preserve"> the court opined that no court shall proceed with the trial of any suit or proceedings in which a matter in issue in a previously instituted suit or proceeding between the same parties . Further, the court also stated that, the provisions under this section does not affect a suit pending in a foreign court. </w:t>
      </w:r>
    </w:p>
    <w:p w14:paraId="2E230226"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This provision operates as a bar to parallel prosecution of cases in two for </w:t>
      </w:r>
      <w:r w:rsidR="00CD35D8" w:rsidRPr="000D1016">
        <w:rPr>
          <w:rFonts w:ascii="Times New Roman" w:hAnsi="Times New Roman" w:cs="Times New Roman"/>
          <w:sz w:val="24"/>
          <w:szCs w:val="24"/>
        </w:rPr>
        <w:t>an</w:t>
      </w:r>
      <w:r w:rsidRPr="000D1016">
        <w:rPr>
          <w:rFonts w:ascii="Times New Roman" w:hAnsi="Times New Roman" w:cs="Times New Roman"/>
          <w:sz w:val="24"/>
          <w:szCs w:val="24"/>
        </w:rPr>
        <w:t xml:space="preserve"> of equal jurisdiction. </w:t>
      </w:r>
      <w:proofErr w:type="gramStart"/>
      <w:r w:rsidRPr="000D1016">
        <w:rPr>
          <w:rFonts w:ascii="Times New Roman" w:hAnsi="Times New Roman" w:cs="Times New Roman"/>
          <w:sz w:val="24"/>
          <w:szCs w:val="24"/>
        </w:rPr>
        <w:t>Thus</w:t>
      </w:r>
      <w:proofErr w:type="gramEnd"/>
      <w:r w:rsidRPr="000D1016">
        <w:rPr>
          <w:rFonts w:ascii="Times New Roman" w:hAnsi="Times New Roman" w:cs="Times New Roman"/>
          <w:sz w:val="24"/>
          <w:szCs w:val="24"/>
        </w:rPr>
        <w:t xml:space="preserve"> in Halsbury’s law of </w:t>
      </w:r>
      <w:r w:rsidR="00CD35D8" w:rsidRPr="000D1016">
        <w:rPr>
          <w:rFonts w:ascii="Times New Roman" w:hAnsi="Times New Roman" w:cs="Times New Roman"/>
          <w:sz w:val="24"/>
          <w:szCs w:val="24"/>
        </w:rPr>
        <w:t>England,</w:t>
      </w:r>
      <w:r w:rsidRPr="000D1016">
        <w:rPr>
          <w:rFonts w:ascii="Times New Roman" w:hAnsi="Times New Roman" w:cs="Times New Roman"/>
          <w:sz w:val="24"/>
          <w:szCs w:val="24"/>
        </w:rPr>
        <w:t xml:space="preserve"> 4</w:t>
      </w:r>
      <w:r w:rsidRPr="000D1016">
        <w:rPr>
          <w:rFonts w:ascii="Times New Roman" w:hAnsi="Times New Roman" w:cs="Times New Roman"/>
          <w:sz w:val="24"/>
          <w:szCs w:val="24"/>
          <w:vertAlign w:val="superscript"/>
        </w:rPr>
        <w:t>th</w:t>
      </w:r>
      <w:r w:rsidRPr="000D1016">
        <w:rPr>
          <w:rFonts w:ascii="Times New Roman" w:hAnsi="Times New Roman" w:cs="Times New Roman"/>
          <w:sz w:val="24"/>
          <w:szCs w:val="24"/>
        </w:rPr>
        <w:t xml:space="preserve"> Edition Vol. 37 sheds more light on stay of proceedings and states that the stay of proceedings is a </w:t>
      </w:r>
      <w:r w:rsidR="00CD35D8" w:rsidRPr="000D1016">
        <w:rPr>
          <w:rFonts w:ascii="Times New Roman" w:hAnsi="Times New Roman" w:cs="Times New Roman"/>
          <w:sz w:val="24"/>
          <w:szCs w:val="24"/>
        </w:rPr>
        <w:t>serious,</w:t>
      </w:r>
      <w:r w:rsidRPr="000D1016">
        <w:rPr>
          <w:rFonts w:ascii="Times New Roman" w:hAnsi="Times New Roman" w:cs="Times New Roman"/>
          <w:sz w:val="24"/>
          <w:szCs w:val="24"/>
        </w:rPr>
        <w:t xml:space="preserve"> grave and fundamental interruption in the right that a party has to conduct his litigation towards the trial on the basis of the substantive merits of </w:t>
      </w:r>
      <w:r w:rsidRPr="000D1016">
        <w:rPr>
          <w:rFonts w:ascii="Times New Roman" w:hAnsi="Times New Roman" w:cs="Times New Roman"/>
          <w:sz w:val="24"/>
          <w:szCs w:val="24"/>
        </w:rPr>
        <w:lastRenderedPageBreak/>
        <w:t xml:space="preserve">the </w:t>
      </w:r>
      <w:r w:rsidR="00CD35D8" w:rsidRPr="000D1016">
        <w:rPr>
          <w:rFonts w:ascii="Times New Roman" w:hAnsi="Times New Roman" w:cs="Times New Roman"/>
          <w:sz w:val="24"/>
          <w:szCs w:val="24"/>
        </w:rPr>
        <w:t>case.</w:t>
      </w:r>
      <w:r w:rsidRPr="000D1016">
        <w:rPr>
          <w:rFonts w:ascii="Times New Roman" w:hAnsi="Times New Roman" w:cs="Times New Roman"/>
          <w:sz w:val="24"/>
          <w:szCs w:val="24"/>
        </w:rPr>
        <w:t xml:space="preserve"> Therefore, a stay of proceedings should not be imposed unless the proceeding beyond reasonable doubt ought not to be allowed to continue. Further, In </w:t>
      </w:r>
      <w:r w:rsidRPr="000D1016">
        <w:rPr>
          <w:rFonts w:ascii="Times New Roman" w:hAnsi="Times New Roman" w:cs="Times New Roman"/>
          <w:b/>
          <w:i/>
          <w:iCs/>
          <w:sz w:val="24"/>
          <w:szCs w:val="24"/>
        </w:rPr>
        <w:t xml:space="preserve">Republic v Paul </w:t>
      </w:r>
      <w:proofErr w:type="spellStart"/>
      <w:r w:rsidRPr="000D1016">
        <w:rPr>
          <w:rFonts w:ascii="Times New Roman" w:hAnsi="Times New Roman" w:cs="Times New Roman"/>
          <w:b/>
          <w:i/>
          <w:iCs/>
          <w:sz w:val="24"/>
          <w:szCs w:val="24"/>
        </w:rPr>
        <w:t>Kihara</w:t>
      </w:r>
      <w:proofErr w:type="spellEnd"/>
      <w:r w:rsidRPr="000D1016">
        <w:rPr>
          <w:rFonts w:ascii="Times New Roman" w:hAnsi="Times New Roman" w:cs="Times New Roman"/>
          <w:b/>
          <w:i/>
          <w:iCs/>
          <w:sz w:val="24"/>
          <w:szCs w:val="24"/>
        </w:rPr>
        <w:t xml:space="preserve"> Kariuki &amp; 2 Others Ex parte Law Society of Kenya</w:t>
      </w:r>
      <w:r w:rsidRPr="000D1016">
        <w:rPr>
          <w:rFonts w:ascii="Times New Roman" w:hAnsi="Times New Roman" w:cs="Times New Roman"/>
          <w:i/>
          <w:iCs/>
          <w:sz w:val="24"/>
          <w:szCs w:val="24"/>
        </w:rPr>
        <w:t>,</w:t>
      </w:r>
      <w:r w:rsidRPr="000D1016">
        <w:rPr>
          <w:rStyle w:val="FootnoteReference"/>
          <w:rFonts w:ascii="Times New Roman" w:hAnsi="Times New Roman" w:cs="Times New Roman"/>
          <w:i/>
          <w:iCs/>
          <w:sz w:val="24"/>
          <w:szCs w:val="24"/>
        </w:rPr>
        <w:footnoteReference w:id="3"/>
      </w:r>
      <w:r w:rsidRPr="000D1016">
        <w:rPr>
          <w:rFonts w:ascii="Times New Roman" w:hAnsi="Times New Roman" w:cs="Times New Roman"/>
          <w:sz w:val="24"/>
          <w:szCs w:val="24"/>
        </w:rPr>
        <w:t xml:space="preserve"> where the court aptly pronounced itself on the subject of sub judice. It stated that before the Court or judge for determination, the purpose of the sub judice rule is to stop the filing of multiplicity of suits between the same parties or those claiming under the over the same subject matter so as to avoid abuse of the court process and diminish the chances of the court, with competent jurisdiction, issuing conflicting decisions over the same subject matter.</w:t>
      </w:r>
    </w:p>
    <w:p w14:paraId="10163713" w14:textId="77777777" w:rsidR="00D12A3B" w:rsidRPr="000D1016" w:rsidRDefault="00CD35D8"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Therefore, this</w:t>
      </w:r>
      <w:r w:rsidR="00D12A3B" w:rsidRPr="000D1016">
        <w:rPr>
          <w:rFonts w:ascii="Times New Roman" w:hAnsi="Times New Roman" w:cs="Times New Roman"/>
          <w:sz w:val="24"/>
          <w:szCs w:val="24"/>
        </w:rPr>
        <w:t xml:space="preserve"> means that when two or more cases are filed between the same parties on the same subject matter before the courts with </w:t>
      </w:r>
      <w:r w:rsidRPr="000D1016">
        <w:rPr>
          <w:rFonts w:ascii="Times New Roman" w:hAnsi="Times New Roman" w:cs="Times New Roman"/>
          <w:sz w:val="24"/>
          <w:szCs w:val="24"/>
        </w:rPr>
        <w:t>jurisdiction,</w:t>
      </w:r>
      <w:r w:rsidR="00D12A3B" w:rsidRPr="000D1016">
        <w:rPr>
          <w:rFonts w:ascii="Times New Roman" w:hAnsi="Times New Roman" w:cs="Times New Roman"/>
          <w:sz w:val="24"/>
          <w:szCs w:val="24"/>
        </w:rPr>
        <w:t xml:space="preserve"> the matter that is filed later ought to be stayed to await the determination to be made in the earlier suit. </w:t>
      </w:r>
      <w:proofErr w:type="gramStart"/>
      <w:r w:rsidR="00D12A3B" w:rsidRPr="000D1016">
        <w:rPr>
          <w:rFonts w:ascii="Times New Roman" w:hAnsi="Times New Roman" w:cs="Times New Roman"/>
          <w:sz w:val="24"/>
          <w:szCs w:val="24"/>
        </w:rPr>
        <w:t>Therefore ,</w:t>
      </w:r>
      <w:proofErr w:type="gramEnd"/>
      <w:r w:rsidR="00D12A3B" w:rsidRPr="000D1016">
        <w:rPr>
          <w:rFonts w:ascii="Times New Roman" w:hAnsi="Times New Roman" w:cs="Times New Roman"/>
          <w:sz w:val="24"/>
          <w:szCs w:val="24"/>
        </w:rPr>
        <w:t xml:space="preserve"> the court despite having jurisdiction to try and determine the matter , it has to be barred to the extent of the earlier case be determined before the newly case is determined .</w:t>
      </w:r>
      <w:r w:rsidR="00D12A3B" w:rsidRPr="000D1016">
        <w:rPr>
          <w:rStyle w:val="FootnoteReference"/>
          <w:rFonts w:ascii="Times New Roman" w:hAnsi="Times New Roman" w:cs="Times New Roman"/>
          <w:sz w:val="24"/>
          <w:szCs w:val="24"/>
        </w:rPr>
        <w:footnoteReference w:id="4"/>
      </w:r>
    </w:p>
    <w:p w14:paraId="3F4B85C4" w14:textId="77777777" w:rsidR="00D12A3B" w:rsidRPr="000D1016" w:rsidRDefault="00D12A3B" w:rsidP="000D1016">
      <w:pPr>
        <w:pStyle w:val="ListParagraph"/>
        <w:numPr>
          <w:ilvl w:val="0"/>
          <w:numId w:val="2"/>
        </w:numPr>
        <w:spacing w:line="360" w:lineRule="auto"/>
        <w:jc w:val="both"/>
        <w:rPr>
          <w:rFonts w:ascii="Times New Roman" w:hAnsi="Times New Roman" w:cs="Times New Roman"/>
          <w:b/>
          <w:bCs/>
          <w:sz w:val="24"/>
          <w:szCs w:val="24"/>
        </w:rPr>
      </w:pPr>
      <w:r w:rsidRPr="000D1016">
        <w:rPr>
          <w:rFonts w:ascii="Times New Roman" w:hAnsi="Times New Roman" w:cs="Times New Roman"/>
          <w:b/>
          <w:bCs/>
          <w:sz w:val="24"/>
          <w:szCs w:val="24"/>
        </w:rPr>
        <w:t xml:space="preserve">Res Judicata </w:t>
      </w:r>
    </w:p>
    <w:p w14:paraId="4F5798B1" w14:textId="77777777" w:rsidR="00D12A3B" w:rsidRPr="000D1016" w:rsidRDefault="00D12A3B" w:rsidP="000D1016">
      <w:pPr>
        <w:spacing w:line="360" w:lineRule="auto"/>
        <w:jc w:val="both"/>
        <w:rPr>
          <w:rFonts w:ascii="Times New Roman" w:hAnsi="Times New Roman" w:cs="Times New Roman"/>
          <w:sz w:val="24"/>
          <w:szCs w:val="24"/>
        </w:rPr>
      </w:pPr>
      <w:bookmarkStart w:id="0" w:name="_Hlk128219795"/>
      <w:r w:rsidRPr="000D1016">
        <w:rPr>
          <w:rFonts w:ascii="Times New Roman" w:hAnsi="Times New Roman" w:cs="Times New Roman"/>
          <w:sz w:val="24"/>
          <w:szCs w:val="24"/>
        </w:rPr>
        <w:t xml:space="preserve">Section 7 bars the court from trying any suit and the doctrine embodies by this </w:t>
      </w:r>
      <w:r w:rsidR="00CD35D8" w:rsidRPr="000D1016">
        <w:rPr>
          <w:rFonts w:ascii="Times New Roman" w:hAnsi="Times New Roman" w:cs="Times New Roman"/>
          <w:sz w:val="24"/>
          <w:szCs w:val="24"/>
        </w:rPr>
        <w:t>section. The</w:t>
      </w:r>
      <w:r w:rsidRPr="000D1016">
        <w:rPr>
          <w:rFonts w:ascii="Times New Roman" w:hAnsi="Times New Roman" w:cs="Times New Roman"/>
          <w:sz w:val="24"/>
          <w:szCs w:val="24"/>
        </w:rPr>
        <w:t xml:space="preserve"> doctrine of Res Judicata which means the conclusiveness of judgment. This Section requires that once a matter has finally been decided by </w:t>
      </w:r>
      <w:r w:rsidR="00CD35D8" w:rsidRPr="000D1016">
        <w:rPr>
          <w:rFonts w:ascii="Times New Roman" w:hAnsi="Times New Roman" w:cs="Times New Roman"/>
          <w:sz w:val="24"/>
          <w:szCs w:val="24"/>
        </w:rPr>
        <w:t>a competent court, nobody be</w:t>
      </w:r>
      <w:r w:rsidRPr="000D1016">
        <w:rPr>
          <w:rFonts w:ascii="Times New Roman" w:hAnsi="Times New Roman" w:cs="Times New Roman"/>
          <w:sz w:val="24"/>
          <w:szCs w:val="24"/>
        </w:rPr>
        <w:t xml:space="preserve"> permitted to open it in subsequent litigation. In the absence of this rule there would be no End to </w:t>
      </w:r>
      <w:r w:rsidR="00CD35D8" w:rsidRPr="000D1016">
        <w:rPr>
          <w:rFonts w:ascii="Times New Roman" w:hAnsi="Times New Roman" w:cs="Times New Roman"/>
          <w:sz w:val="24"/>
          <w:szCs w:val="24"/>
        </w:rPr>
        <w:t>litigation. In</w:t>
      </w:r>
      <w:r w:rsidRPr="000D1016">
        <w:rPr>
          <w:rFonts w:ascii="Times New Roman" w:hAnsi="Times New Roman" w:cs="Times New Roman"/>
          <w:sz w:val="24"/>
          <w:szCs w:val="24"/>
        </w:rPr>
        <w:t xml:space="preserve"> </w:t>
      </w:r>
      <w:r w:rsidRPr="000D1016">
        <w:rPr>
          <w:rFonts w:ascii="Times New Roman" w:hAnsi="Times New Roman" w:cs="Times New Roman"/>
          <w:b/>
          <w:i/>
          <w:iCs/>
          <w:sz w:val="24"/>
          <w:szCs w:val="24"/>
        </w:rPr>
        <w:t>Henderson vs Henderson</w:t>
      </w:r>
      <w:r w:rsidRPr="000D1016">
        <w:rPr>
          <w:rFonts w:ascii="Times New Roman" w:hAnsi="Times New Roman" w:cs="Times New Roman"/>
          <w:i/>
          <w:iCs/>
          <w:sz w:val="24"/>
          <w:szCs w:val="24"/>
        </w:rPr>
        <w:t xml:space="preserve">, </w:t>
      </w:r>
      <w:r w:rsidRPr="000D1016">
        <w:rPr>
          <w:rFonts w:ascii="Times New Roman" w:hAnsi="Times New Roman" w:cs="Times New Roman"/>
          <w:sz w:val="24"/>
          <w:szCs w:val="24"/>
        </w:rPr>
        <w:t>where a given matter becomes the subject of litigation in, and adjudication by a court of competent jurisdiction, the court requires the parties to that litigation to bring forward their whole case, and will not permit the same parties to open the same subject of litigations in respect of a matter which might have been brought forward as part of the subject in contest, but which was not brought forward, only because they have, from negligence, inadvertence or even accident omitted part of their case.</w:t>
      </w:r>
      <w:r w:rsidRPr="000D1016">
        <w:rPr>
          <w:rStyle w:val="FootnoteReference"/>
          <w:rFonts w:ascii="Times New Roman" w:hAnsi="Times New Roman" w:cs="Times New Roman"/>
          <w:i/>
          <w:iCs/>
          <w:sz w:val="24"/>
          <w:szCs w:val="24"/>
        </w:rPr>
        <w:footnoteReference w:id="5"/>
      </w:r>
      <w:r w:rsidRPr="000D1016">
        <w:rPr>
          <w:rFonts w:ascii="Times New Roman" w:hAnsi="Times New Roman" w:cs="Times New Roman"/>
          <w:sz w:val="24"/>
          <w:szCs w:val="24"/>
        </w:rPr>
        <w:t xml:space="preserve"> One judgment in a suit is </w:t>
      </w:r>
      <w:r w:rsidR="00CD35D8" w:rsidRPr="000D1016">
        <w:rPr>
          <w:rFonts w:ascii="Times New Roman" w:hAnsi="Times New Roman" w:cs="Times New Roman"/>
          <w:sz w:val="24"/>
          <w:szCs w:val="24"/>
        </w:rPr>
        <w:t xml:space="preserve">sufficient. </w:t>
      </w:r>
      <w:proofErr w:type="gramStart"/>
      <w:r w:rsidR="00CD35D8" w:rsidRPr="000D1016">
        <w:rPr>
          <w:rFonts w:ascii="Times New Roman" w:hAnsi="Times New Roman" w:cs="Times New Roman"/>
          <w:sz w:val="24"/>
          <w:szCs w:val="24"/>
        </w:rPr>
        <w:t>Thus</w:t>
      </w:r>
      <w:r w:rsidRPr="000D1016">
        <w:rPr>
          <w:rFonts w:ascii="Times New Roman" w:hAnsi="Times New Roman" w:cs="Times New Roman"/>
          <w:sz w:val="24"/>
          <w:szCs w:val="24"/>
        </w:rPr>
        <w:t xml:space="preserve"> ,the</w:t>
      </w:r>
      <w:proofErr w:type="gramEnd"/>
      <w:r w:rsidRPr="000D1016">
        <w:rPr>
          <w:rFonts w:ascii="Times New Roman" w:hAnsi="Times New Roman" w:cs="Times New Roman"/>
          <w:sz w:val="24"/>
          <w:szCs w:val="24"/>
        </w:rPr>
        <w:t xml:space="preserve">  pleas of res judicata applies, except in special cases, not only to points upon which the court was actually required by the parties to form an opinion and pronounce a judgment, but to every point which properly </w:t>
      </w:r>
      <w:r w:rsidRPr="000D1016">
        <w:rPr>
          <w:rFonts w:ascii="Times New Roman" w:hAnsi="Times New Roman" w:cs="Times New Roman"/>
          <w:sz w:val="24"/>
          <w:szCs w:val="24"/>
        </w:rPr>
        <w:lastRenderedPageBreak/>
        <w:t>belonged to the subject of litigation, and which the parties exercising reasonable diligence, might have brought forward at the time.</w:t>
      </w:r>
      <w:r w:rsidRPr="000D1016">
        <w:rPr>
          <w:rStyle w:val="FootnoteReference"/>
          <w:rFonts w:ascii="Times New Roman" w:hAnsi="Times New Roman" w:cs="Times New Roman"/>
          <w:sz w:val="24"/>
          <w:szCs w:val="24"/>
        </w:rPr>
        <w:footnoteReference w:id="6"/>
      </w:r>
    </w:p>
    <w:bookmarkEnd w:id="0"/>
    <w:p w14:paraId="6E89906B"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This doctrine requires that there should be an end to litigation or conclusiveness judgment where a court has decided and issued judgment then parties should not be allowed to litigate over the same issues again. In </w:t>
      </w:r>
      <w:proofErr w:type="spellStart"/>
      <w:r w:rsidRPr="000D1016">
        <w:rPr>
          <w:rFonts w:ascii="Times New Roman" w:hAnsi="Times New Roman" w:cs="Times New Roman"/>
          <w:b/>
          <w:i/>
          <w:iCs/>
          <w:sz w:val="24"/>
          <w:szCs w:val="24"/>
        </w:rPr>
        <w:t>Kungu</w:t>
      </w:r>
      <w:proofErr w:type="spellEnd"/>
      <w:r w:rsidRPr="000D1016">
        <w:rPr>
          <w:rFonts w:ascii="Times New Roman" w:hAnsi="Times New Roman" w:cs="Times New Roman"/>
          <w:b/>
          <w:i/>
          <w:iCs/>
          <w:sz w:val="24"/>
          <w:szCs w:val="24"/>
        </w:rPr>
        <w:t xml:space="preserve"> </w:t>
      </w:r>
      <w:proofErr w:type="spellStart"/>
      <w:proofErr w:type="gramStart"/>
      <w:r w:rsidRPr="000D1016">
        <w:rPr>
          <w:rFonts w:ascii="Times New Roman" w:hAnsi="Times New Roman" w:cs="Times New Roman"/>
          <w:b/>
          <w:i/>
          <w:iCs/>
          <w:sz w:val="24"/>
          <w:szCs w:val="24"/>
        </w:rPr>
        <w:t>Ngethe</w:t>
      </w:r>
      <w:proofErr w:type="spellEnd"/>
      <w:r w:rsidRPr="000D1016">
        <w:rPr>
          <w:rFonts w:ascii="Times New Roman" w:hAnsi="Times New Roman" w:cs="Times New Roman"/>
          <w:b/>
          <w:i/>
          <w:iCs/>
          <w:sz w:val="24"/>
          <w:szCs w:val="24"/>
        </w:rPr>
        <w:t xml:space="preserve">  v.</w:t>
      </w:r>
      <w:proofErr w:type="gramEnd"/>
      <w:r w:rsidRPr="000D1016">
        <w:rPr>
          <w:rFonts w:ascii="Times New Roman" w:hAnsi="Times New Roman" w:cs="Times New Roman"/>
          <w:b/>
          <w:i/>
          <w:iCs/>
          <w:sz w:val="24"/>
          <w:szCs w:val="24"/>
        </w:rPr>
        <w:t xml:space="preserve"> George </w:t>
      </w:r>
      <w:proofErr w:type="spellStart"/>
      <w:r w:rsidRPr="000D1016">
        <w:rPr>
          <w:rFonts w:ascii="Times New Roman" w:hAnsi="Times New Roman" w:cs="Times New Roman"/>
          <w:b/>
          <w:i/>
          <w:iCs/>
          <w:sz w:val="24"/>
          <w:szCs w:val="24"/>
        </w:rPr>
        <w:t>Kibatia</w:t>
      </w:r>
      <w:proofErr w:type="spellEnd"/>
      <w:r w:rsidRPr="000D1016">
        <w:rPr>
          <w:rFonts w:ascii="Times New Roman" w:hAnsi="Times New Roman" w:cs="Times New Roman"/>
          <w:i/>
          <w:iCs/>
          <w:sz w:val="24"/>
          <w:szCs w:val="24"/>
        </w:rPr>
        <w:t>,</w:t>
      </w:r>
      <w:r w:rsidRPr="000D1016">
        <w:rPr>
          <w:rStyle w:val="FootnoteReference"/>
          <w:rFonts w:ascii="Times New Roman" w:hAnsi="Times New Roman" w:cs="Times New Roman"/>
          <w:i/>
          <w:iCs/>
          <w:sz w:val="24"/>
          <w:szCs w:val="24"/>
        </w:rPr>
        <w:footnoteReference w:id="7"/>
      </w:r>
      <w:r w:rsidRPr="000D1016">
        <w:rPr>
          <w:rFonts w:ascii="Times New Roman" w:hAnsi="Times New Roman" w:cs="Times New Roman"/>
          <w:sz w:val="24"/>
          <w:szCs w:val="24"/>
        </w:rPr>
        <w:t xml:space="preserve"> the court struck out the matter on the grounds that it was </w:t>
      </w:r>
      <w:r w:rsidRPr="000D1016">
        <w:rPr>
          <w:rFonts w:ascii="Times New Roman" w:hAnsi="Times New Roman" w:cs="Times New Roman"/>
          <w:i/>
          <w:iCs/>
          <w:sz w:val="24"/>
          <w:szCs w:val="24"/>
        </w:rPr>
        <w:t>res judicata</w:t>
      </w:r>
      <w:r w:rsidRPr="000D1016">
        <w:rPr>
          <w:rFonts w:ascii="Times New Roman" w:hAnsi="Times New Roman" w:cs="Times New Roman"/>
          <w:sz w:val="24"/>
          <w:szCs w:val="24"/>
        </w:rPr>
        <w:t xml:space="preserve"> and would lead to an embarrassment in the administration of justice where conflicting judgments are arrived at .This doctrine requires that one suit one decision is enough and there should not be many decisions in regard of the same suit. It is based on the need to give finality to judicial decisions. </w:t>
      </w:r>
    </w:p>
    <w:p w14:paraId="2E765C12"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The case of</w:t>
      </w:r>
      <w:r w:rsidRPr="000D1016">
        <w:rPr>
          <w:rFonts w:ascii="Times New Roman" w:hAnsi="Times New Roman" w:cs="Times New Roman"/>
          <w:i/>
          <w:iCs/>
          <w:sz w:val="24"/>
          <w:szCs w:val="24"/>
        </w:rPr>
        <w:t xml:space="preserve"> </w:t>
      </w:r>
      <w:r w:rsidRPr="000D1016">
        <w:rPr>
          <w:rFonts w:ascii="Times New Roman" w:hAnsi="Times New Roman" w:cs="Times New Roman"/>
          <w:b/>
          <w:i/>
          <w:iCs/>
          <w:sz w:val="24"/>
          <w:szCs w:val="24"/>
        </w:rPr>
        <w:t xml:space="preserve">Nancy Mwangi t/a </w:t>
      </w:r>
      <w:proofErr w:type="spellStart"/>
      <w:r w:rsidRPr="000D1016">
        <w:rPr>
          <w:rFonts w:ascii="Times New Roman" w:hAnsi="Times New Roman" w:cs="Times New Roman"/>
          <w:b/>
          <w:i/>
          <w:iCs/>
          <w:sz w:val="24"/>
          <w:szCs w:val="24"/>
        </w:rPr>
        <w:t>Worthlink</w:t>
      </w:r>
      <w:proofErr w:type="spellEnd"/>
      <w:r w:rsidRPr="000D1016">
        <w:rPr>
          <w:rFonts w:ascii="Times New Roman" w:hAnsi="Times New Roman" w:cs="Times New Roman"/>
          <w:b/>
          <w:i/>
          <w:iCs/>
          <w:sz w:val="24"/>
          <w:szCs w:val="24"/>
        </w:rPr>
        <w:t xml:space="preserve"> Marketers v. Airtel Networks(k) Ltd (Formerly </w:t>
      </w:r>
      <w:proofErr w:type="spellStart"/>
      <w:r w:rsidRPr="000D1016">
        <w:rPr>
          <w:rFonts w:ascii="Times New Roman" w:hAnsi="Times New Roman" w:cs="Times New Roman"/>
          <w:b/>
          <w:i/>
          <w:iCs/>
          <w:sz w:val="24"/>
          <w:szCs w:val="24"/>
        </w:rPr>
        <w:t>Celtel</w:t>
      </w:r>
      <w:proofErr w:type="spellEnd"/>
      <w:r w:rsidRPr="000D1016">
        <w:rPr>
          <w:rFonts w:ascii="Times New Roman" w:hAnsi="Times New Roman" w:cs="Times New Roman"/>
          <w:b/>
          <w:i/>
          <w:iCs/>
          <w:sz w:val="24"/>
          <w:szCs w:val="24"/>
        </w:rPr>
        <w:t xml:space="preserve"> Kenya Ltd) &amp; Others</w:t>
      </w:r>
      <w:r w:rsidRPr="000D1016">
        <w:rPr>
          <w:rFonts w:ascii="Times New Roman" w:hAnsi="Times New Roman" w:cs="Times New Roman"/>
          <w:i/>
          <w:iCs/>
          <w:sz w:val="24"/>
          <w:szCs w:val="24"/>
        </w:rPr>
        <w:t>,</w:t>
      </w:r>
      <w:r w:rsidRPr="000D1016">
        <w:rPr>
          <w:rStyle w:val="FootnoteReference"/>
          <w:rFonts w:ascii="Times New Roman" w:hAnsi="Times New Roman" w:cs="Times New Roman"/>
          <w:i/>
          <w:iCs/>
          <w:sz w:val="24"/>
          <w:szCs w:val="24"/>
        </w:rPr>
        <w:footnoteReference w:id="8"/>
      </w:r>
      <w:r w:rsidRPr="000D1016">
        <w:rPr>
          <w:rFonts w:ascii="Times New Roman" w:hAnsi="Times New Roman" w:cs="Times New Roman"/>
          <w:sz w:val="24"/>
          <w:szCs w:val="24"/>
        </w:rPr>
        <w:t xml:space="preserve"> the court noted that </w:t>
      </w:r>
      <w:proofErr w:type="gramStart"/>
      <w:r w:rsidRPr="000D1016">
        <w:rPr>
          <w:rFonts w:ascii="Times New Roman" w:hAnsi="Times New Roman" w:cs="Times New Roman"/>
          <w:sz w:val="24"/>
          <w:szCs w:val="24"/>
        </w:rPr>
        <w:t>If</w:t>
      </w:r>
      <w:proofErr w:type="gramEnd"/>
      <w:r w:rsidRPr="000D1016">
        <w:rPr>
          <w:rFonts w:ascii="Times New Roman" w:hAnsi="Times New Roman" w:cs="Times New Roman"/>
          <w:sz w:val="24"/>
          <w:szCs w:val="24"/>
        </w:rPr>
        <w:t xml:space="preserve"> a suit shows a mere resemblance of a cause of action provided it can be injected with real life by amendment, it ought to be allowed to go forward for a court of justice ought not to act in darkness without the full facts of a case before it. If no appeal lies of right or an appeal has been dismissed, under Section 7 one can plead res judicata. Thus, the parties will not be allowed to litigate on the same issue.</w:t>
      </w:r>
    </w:p>
    <w:p w14:paraId="0DB6FA7B"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Therefore, </w:t>
      </w:r>
      <w:r w:rsidRPr="000D1016">
        <w:rPr>
          <w:rFonts w:ascii="Times New Roman" w:hAnsi="Times New Roman" w:cs="Times New Roman"/>
          <w:i/>
          <w:iCs/>
          <w:sz w:val="24"/>
          <w:szCs w:val="24"/>
        </w:rPr>
        <w:t xml:space="preserve">res judicata </w:t>
      </w:r>
      <w:r w:rsidRPr="000D1016">
        <w:rPr>
          <w:rFonts w:ascii="Times New Roman" w:hAnsi="Times New Roman" w:cs="Times New Roman"/>
          <w:sz w:val="24"/>
          <w:szCs w:val="24"/>
        </w:rPr>
        <w:t xml:space="preserve">operates to bar a court though it being competent or having jurisdiction to try a matter. Thus </w:t>
      </w:r>
      <w:proofErr w:type="gramStart"/>
      <w:r w:rsidRPr="000D1016">
        <w:rPr>
          <w:rFonts w:ascii="Times New Roman" w:hAnsi="Times New Roman" w:cs="Times New Roman"/>
          <w:sz w:val="24"/>
          <w:szCs w:val="24"/>
        </w:rPr>
        <w:t>in ,</w:t>
      </w:r>
      <w:proofErr w:type="gramEnd"/>
      <w:r w:rsidRPr="000D1016">
        <w:rPr>
          <w:rFonts w:ascii="Times New Roman" w:hAnsi="Times New Roman" w:cs="Times New Roman"/>
          <w:sz w:val="24"/>
          <w:szCs w:val="24"/>
        </w:rPr>
        <w:t xml:space="preserve"> </w:t>
      </w:r>
      <w:r w:rsidRPr="000D1016">
        <w:rPr>
          <w:rFonts w:ascii="Times New Roman" w:hAnsi="Times New Roman" w:cs="Times New Roman"/>
          <w:b/>
          <w:i/>
          <w:iCs/>
          <w:sz w:val="24"/>
          <w:szCs w:val="24"/>
        </w:rPr>
        <w:t>Diocese of Eldoret Trustees (Registered) v Attorney General (on behalf of the Principal Secretary Treasury) &amp; another</w:t>
      </w:r>
      <w:r w:rsidRPr="000D1016">
        <w:rPr>
          <w:rFonts w:ascii="Times New Roman" w:hAnsi="Times New Roman" w:cs="Times New Roman"/>
          <w:i/>
          <w:iCs/>
          <w:sz w:val="24"/>
          <w:szCs w:val="24"/>
        </w:rPr>
        <w:t>,</w:t>
      </w:r>
      <w:r w:rsidRPr="000D1016">
        <w:rPr>
          <w:rStyle w:val="FootnoteReference"/>
          <w:rFonts w:ascii="Times New Roman" w:hAnsi="Times New Roman" w:cs="Times New Roman"/>
          <w:i/>
          <w:iCs/>
          <w:sz w:val="24"/>
          <w:szCs w:val="24"/>
        </w:rPr>
        <w:footnoteReference w:id="9"/>
      </w:r>
      <w:r w:rsidRPr="000D1016">
        <w:rPr>
          <w:rFonts w:ascii="Times New Roman" w:hAnsi="Times New Roman" w:cs="Times New Roman"/>
          <w:i/>
          <w:iCs/>
          <w:sz w:val="24"/>
          <w:szCs w:val="24"/>
        </w:rPr>
        <w:t xml:space="preserve"> </w:t>
      </w:r>
      <w:r w:rsidRPr="000D1016">
        <w:rPr>
          <w:rFonts w:ascii="Times New Roman" w:hAnsi="Times New Roman" w:cs="Times New Roman"/>
          <w:sz w:val="24"/>
          <w:szCs w:val="24"/>
        </w:rPr>
        <w:t xml:space="preserve">the court observed that Courts have rendered many rulings on the doctrine of </w:t>
      </w:r>
      <w:r w:rsidRPr="000D1016">
        <w:rPr>
          <w:rFonts w:ascii="Times New Roman" w:hAnsi="Times New Roman" w:cs="Times New Roman"/>
          <w:i/>
          <w:iCs/>
          <w:sz w:val="24"/>
          <w:szCs w:val="24"/>
        </w:rPr>
        <w:t>res judicata</w:t>
      </w:r>
      <w:r w:rsidRPr="000D1016">
        <w:rPr>
          <w:rFonts w:ascii="Times New Roman" w:hAnsi="Times New Roman" w:cs="Times New Roman"/>
          <w:sz w:val="24"/>
          <w:szCs w:val="24"/>
        </w:rPr>
        <w:t xml:space="preserve"> which essentially frowns upon the use of the courts to abuse processes. The moment the court comes to the conclusion that the suit is </w:t>
      </w:r>
      <w:r w:rsidRPr="000D1016">
        <w:rPr>
          <w:rFonts w:ascii="Times New Roman" w:hAnsi="Times New Roman" w:cs="Times New Roman"/>
          <w:i/>
          <w:iCs/>
          <w:sz w:val="24"/>
          <w:szCs w:val="24"/>
        </w:rPr>
        <w:t>res judicata</w:t>
      </w:r>
      <w:r w:rsidRPr="000D1016">
        <w:rPr>
          <w:rFonts w:ascii="Times New Roman" w:hAnsi="Times New Roman" w:cs="Times New Roman"/>
          <w:sz w:val="24"/>
          <w:szCs w:val="24"/>
        </w:rPr>
        <w:t xml:space="preserve">, then the court should not shy away from pronouncing itself so. </w:t>
      </w:r>
      <w:r w:rsidR="00CD35D8" w:rsidRPr="000D1016">
        <w:rPr>
          <w:rFonts w:ascii="Times New Roman" w:hAnsi="Times New Roman" w:cs="Times New Roman"/>
          <w:sz w:val="24"/>
          <w:szCs w:val="24"/>
        </w:rPr>
        <w:t>Therefore,</w:t>
      </w:r>
      <w:r w:rsidRPr="000D1016">
        <w:rPr>
          <w:rFonts w:ascii="Times New Roman" w:hAnsi="Times New Roman" w:cs="Times New Roman"/>
          <w:sz w:val="24"/>
          <w:szCs w:val="24"/>
        </w:rPr>
        <w:t xml:space="preserve"> despite the court having the said power and authority to try </w:t>
      </w:r>
      <w:r w:rsidR="00CD35D8" w:rsidRPr="000D1016">
        <w:rPr>
          <w:rFonts w:ascii="Times New Roman" w:hAnsi="Times New Roman" w:cs="Times New Roman"/>
          <w:sz w:val="24"/>
          <w:szCs w:val="24"/>
        </w:rPr>
        <w:t>matters,</w:t>
      </w:r>
      <w:r w:rsidRPr="000D1016">
        <w:rPr>
          <w:rFonts w:ascii="Times New Roman" w:hAnsi="Times New Roman" w:cs="Times New Roman"/>
          <w:sz w:val="24"/>
          <w:szCs w:val="24"/>
        </w:rPr>
        <w:t xml:space="preserve"> the extent of such power is limited by thus doctrine.</w:t>
      </w:r>
    </w:p>
    <w:p w14:paraId="3FB3EF4A"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lastRenderedPageBreak/>
        <w:t xml:space="preserve">Additionally, Courts must always be vigilant to guard against litigants who metamorphosize to bring suits as new litigants or add others to circumvent the doctrine </w:t>
      </w:r>
      <w:r w:rsidR="00CD35D8" w:rsidRPr="000D1016">
        <w:rPr>
          <w:rFonts w:ascii="Times New Roman" w:hAnsi="Times New Roman" w:cs="Times New Roman"/>
          <w:sz w:val="24"/>
          <w:szCs w:val="24"/>
        </w:rPr>
        <w:t>of res</w:t>
      </w:r>
      <w:r w:rsidRPr="000D1016">
        <w:rPr>
          <w:rFonts w:ascii="Times New Roman" w:hAnsi="Times New Roman" w:cs="Times New Roman"/>
          <w:sz w:val="24"/>
          <w:szCs w:val="24"/>
        </w:rPr>
        <w:t xml:space="preserve"> judicata.  Adding or subtracting litigants in a suit that is substantially or directly related to a previous suit with the same subject matter does not sanitize the suit to make it a fresh suit. It actually worsens the situation by making the suit terminate prematurely vide a preliminary objection.</w:t>
      </w:r>
      <w:r w:rsidRPr="000D1016">
        <w:rPr>
          <w:rStyle w:val="FootnoteReference"/>
          <w:rFonts w:ascii="Times New Roman" w:hAnsi="Times New Roman" w:cs="Times New Roman"/>
          <w:sz w:val="24"/>
          <w:szCs w:val="24"/>
        </w:rPr>
        <w:footnoteReference w:id="10"/>
      </w:r>
    </w:p>
    <w:p w14:paraId="74EFC2F8" w14:textId="77777777" w:rsidR="00D12A3B" w:rsidRPr="000D1016" w:rsidRDefault="00D12A3B" w:rsidP="000D1016">
      <w:pPr>
        <w:pStyle w:val="ListParagraph"/>
        <w:numPr>
          <w:ilvl w:val="0"/>
          <w:numId w:val="2"/>
        </w:numPr>
        <w:spacing w:line="360" w:lineRule="auto"/>
        <w:jc w:val="both"/>
        <w:rPr>
          <w:rFonts w:ascii="Times New Roman" w:hAnsi="Times New Roman" w:cs="Times New Roman"/>
          <w:b/>
          <w:bCs/>
          <w:sz w:val="24"/>
          <w:szCs w:val="24"/>
        </w:rPr>
      </w:pPr>
      <w:r w:rsidRPr="000D1016">
        <w:rPr>
          <w:rFonts w:ascii="Times New Roman" w:hAnsi="Times New Roman" w:cs="Times New Roman"/>
          <w:b/>
          <w:bCs/>
          <w:sz w:val="24"/>
          <w:szCs w:val="24"/>
        </w:rPr>
        <w:t>Estoppel</w:t>
      </w:r>
    </w:p>
    <w:p w14:paraId="2D17A32C"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Estoppel is a doctrine of equity which has been accepted for century as a mode of ensuring justice is done as between parties where the law does not satisfy that requirement. Estoppel arises from acts of parties where there is an existing contract and where a party breaches a contract by reneging from a promise the other party can stop the other party by Estoppel. </w:t>
      </w:r>
    </w:p>
    <w:p w14:paraId="7EDBAB38"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The broader concept of estoppel is founded on doctrines of equity, if one by conduct has induced another to a position they cannot turn around and renege. Estoppel prevents multiplicity of </w:t>
      </w:r>
      <w:r w:rsidR="00CD35D8" w:rsidRPr="000D1016">
        <w:rPr>
          <w:rFonts w:ascii="Times New Roman" w:hAnsi="Times New Roman" w:cs="Times New Roman"/>
          <w:sz w:val="24"/>
          <w:szCs w:val="24"/>
        </w:rPr>
        <w:t>representations. In</w:t>
      </w:r>
      <w:r w:rsidRPr="000D1016">
        <w:rPr>
          <w:rFonts w:ascii="Times New Roman" w:hAnsi="Times New Roman" w:cs="Times New Roman"/>
          <w:sz w:val="24"/>
          <w:szCs w:val="24"/>
        </w:rPr>
        <w:t xml:space="preserve"> </w:t>
      </w:r>
      <w:proofErr w:type="gramStart"/>
      <w:r w:rsidRPr="000D1016">
        <w:rPr>
          <w:rFonts w:ascii="Times New Roman" w:hAnsi="Times New Roman" w:cs="Times New Roman"/>
          <w:b/>
          <w:i/>
          <w:iCs/>
          <w:sz w:val="24"/>
          <w:szCs w:val="24"/>
        </w:rPr>
        <w:t>C.K</w:t>
      </w:r>
      <w:proofErr w:type="gramEnd"/>
      <w:r w:rsidRPr="000D1016">
        <w:rPr>
          <w:rFonts w:ascii="Times New Roman" w:hAnsi="Times New Roman" w:cs="Times New Roman"/>
          <w:b/>
          <w:i/>
          <w:iCs/>
          <w:sz w:val="24"/>
          <w:szCs w:val="24"/>
        </w:rPr>
        <w:t xml:space="preserve"> Bett Traders Limited &amp;2 others v. Kennedy Mwangi&amp; Another</w:t>
      </w:r>
      <w:r w:rsidRPr="000D1016">
        <w:rPr>
          <w:rFonts w:ascii="Times New Roman" w:hAnsi="Times New Roman" w:cs="Times New Roman"/>
          <w:i/>
          <w:iCs/>
          <w:sz w:val="24"/>
          <w:szCs w:val="24"/>
        </w:rPr>
        <w:t xml:space="preserve"> ,</w:t>
      </w:r>
      <w:r w:rsidRPr="000D1016">
        <w:rPr>
          <w:rStyle w:val="FootnoteReference"/>
          <w:rFonts w:ascii="Times New Roman" w:hAnsi="Times New Roman" w:cs="Times New Roman"/>
          <w:i/>
          <w:iCs/>
          <w:sz w:val="24"/>
          <w:szCs w:val="24"/>
        </w:rPr>
        <w:footnoteReference w:id="11"/>
      </w:r>
      <w:r w:rsidRPr="000D1016">
        <w:rPr>
          <w:rFonts w:ascii="Times New Roman" w:hAnsi="Times New Roman" w:cs="Times New Roman"/>
          <w:sz w:val="24"/>
          <w:szCs w:val="24"/>
        </w:rPr>
        <w:t xml:space="preserve"> stated that the doctrine of res judicata maybe pleads by way or estoppel so that where a judgment has been given and further proceedings are estoppel .Estoppel is only a rule of evidence and the effect is to shut the mouth of the party. That one cannot say one thing after having said the other. The rule of estoppel prevents a party from denying what he called the truth.</w:t>
      </w:r>
    </w:p>
    <w:p w14:paraId="4C44742F"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Estoppel appear to bar jurisdiction where it exists to protect public interest so that a party should not endless be dragged into litigation over the same issue or subject matter that has otherwise been conclusively determined by a court of competent jurisdiction.</w:t>
      </w:r>
      <w:r w:rsidRPr="000D1016">
        <w:rPr>
          <w:rStyle w:val="FootnoteReference"/>
          <w:rFonts w:ascii="Times New Roman" w:hAnsi="Times New Roman" w:cs="Times New Roman"/>
          <w:sz w:val="24"/>
          <w:szCs w:val="24"/>
        </w:rPr>
        <w:footnoteReference w:id="12"/>
      </w:r>
    </w:p>
    <w:p w14:paraId="792A1E31" w14:textId="77777777" w:rsidR="00D12A3B" w:rsidRPr="000D1016" w:rsidRDefault="00D12A3B" w:rsidP="000D1016">
      <w:pPr>
        <w:pStyle w:val="ListParagraph"/>
        <w:numPr>
          <w:ilvl w:val="0"/>
          <w:numId w:val="2"/>
        </w:numPr>
        <w:spacing w:line="360" w:lineRule="auto"/>
        <w:jc w:val="both"/>
        <w:rPr>
          <w:rFonts w:ascii="Times New Roman" w:hAnsi="Times New Roman" w:cs="Times New Roman"/>
          <w:b/>
          <w:bCs/>
          <w:sz w:val="24"/>
          <w:szCs w:val="24"/>
        </w:rPr>
      </w:pPr>
      <w:r w:rsidRPr="000D1016">
        <w:rPr>
          <w:rFonts w:ascii="Times New Roman" w:hAnsi="Times New Roman" w:cs="Times New Roman"/>
          <w:b/>
          <w:bCs/>
          <w:sz w:val="24"/>
          <w:szCs w:val="24"/>
        </w:rPr>
        <w:t>Mandatory Arbitration Clauses</w:t>
      </w:r>
    </w:p>
    <w:p w14:paraId="5FD525F3" w14:textId="77777777" w:rsidR="00D12A3B" w:rsidRPr="000D1016" w:rsidRDefault="00D12A3B" w:rsidP="000D1016">
      <w:pPr>
        <w:spacing w:line="360" w:lineRule="auto"/>
        <w:ind w:left="360"/>
        <w:jc w:val="both"/>
        <w:rPr>
          <w:rFonts w:ascii="Times New Roman" w:hAnsi="Times New Roman" w:cs="Times New Roman"/>
          <w:sz w:val="24"/>
          <w:szCs w:val="24"/>
        </w:rPr>
      </w:pPr>
      <w:r w:rsidRPr="000D1016">
        <w:rPr>
          <w:rFonts w:ascii="Times New Roman" w:hAnsi="Times New Roman" w:cs="Times New Roman"/>
          <w:sz w:val="24"/>
          <w:szCs w:val="24"/>
        </w:rPr>
        <w:t xml:space="preserve">The Arbitration Act, 1995 provides for stay of court proceedings once it is discovered that a dispute is subjected to arbitration. Section 6 (1) A court before which proceedings are brought in a matter which is the subject of an arbitration agreement shall, if a party so applies not later than the time when that party enters appearance or otherwise acknowledges the claim against </w:t>
      </w:r>
      <w:r w:rsidRPr="000D1016">
        <w:rPr>
          <w:rFonts w:ascii="Times New Roman" w:hAnsi="Times New Roman" w:cs="Times New Roman"/>
          <w:sz w:val="24"/>
          <w:szCs w:val="24"/>
        </w:rPr>
        <w:lastRenderedPageBreak/>
        <w:t>which the stay of proceedings is sought, stay the proceedings and refer the parties to arbitration unless it finds-</w:t>
      </w:r>
    </w:p>
    <w:p w14:paraId="0F1DC7B4" w14:textId="77777777" w:rsidR="00D12A3B" w:rsidRPr="000D1016" w:rsidRDefault="00D12A3B" w:rsidP="000D1016">
      <w:pPr>
        <w:pStyle w:val="ListParagraph"/>
        <w:numPr>
          <w:ilvl w:val="0"/>
          <w:numId w:val="3"/>
        </w:num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That the arbitration agreement is null and void, inoperative or incapable of being performed</w:t>
      </w:r>
    </w:p>
    <w:p w14:paraId="0482F180" w14:textId="77777777" w:rsidR="00D12A3B" w:rsidRPr="000D1016" w:rsidRDefault="00D12A3B" w:rsidP="000D1016">
      <w:pPr>
        <w:pStyle w:val="ListParagraph"/>
        <w:numPr>
          <w:ilvl w:val="0"/>
          <w:numId w:val="3"/>
        </w:num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That there is not in fact any dispute between the parties with regard to the matters agreed to be referred to arbitration.</w:t>
      </w:r>
    </w:p>
    <w:p w14:paraId="2E777C50" w14:textId="77777777" w:rsidR="00D12A3B" w:rsidRPr="000D1016" w:rsidRDefault="00CD35D8" w:rsidP="000D1016">
      <w:pPr>
        <w:spacing w:line="360" w:lineRule="auto"/>
        <w:jc w:val="both"/>
        <w:rPr>
          <w:rFonts w:ascii="Times New Roman" w:hAnsi="Times New Roman" w:cs="Times New Roman"/>
          <w:sz w:val="24"/>
          <w:szCs w:val="24"/>
        </w:rPr>
      </w:pPr>
      <w:r w:rsidRPr="000D1016">
        <w:rPr>
          <w:rFonts w:ascii="Times New Roman" w:hAnsi="Times New Roman" w:cs="Times New Roman"/>
          <w:b/>
          <w:bCs/>
          <w:sz w:val="24"/>
          <w:szCs w:val="24"/>
        </w:rPr>
        <w:t>Additionally,</w:t>
      </w:r>
      <w:r w:rsidR="00D12A3B" w:rsidRPr="000D1016">
        <w:rPr>
          <w:rFonts w:ascii="Times New Roman" w:hAnsi="Times New Roman" w:cs="Times New Roman"/>
          <w:b/>
          <w:bCs/>
          <w:sz w:val="24"/>
          <w:szCs w:val="24"/>
        </w:rPr>
        <w:t xml:space="preserve"> </w:t>
      </w:r>
      <w:r w:rsidR="00D12A3B" w:rsidRPr="000D1016">
        <w:rPr>
          <w:rFonts w:ascii="Times New Roman" w:hAnsi="Times New Roman" w:cs="Times New Roman"/>
          <w:sz w:val="24"/>
          <w:szCs w:val="24"/>
        </w:rPr>
        <w:t xml:space="preserve">the Constitution further strengthens the position on arbitration by advocating for alternative dispute resolution mechanisms s </w:t>
      </w:r>
      <w:r w:rsidRPr="000D1016">
        <w:rPr>
          <w:rFonts w:ascii="Times New Roman" w:hAnsi="Times New Roman" w:cs="Times New Roman"/>
          <w:sz w:val="24"/>
          <w:szCs w:val="24"/>
        </w:rPr>
        <w:t>thus, Article</w:t>
      </w:r>
      <w:r w:rsidR="00D12A3B" w:rsidRPr="000D1016">
        <w:rPr>
          <w:rFonts w:ascii="Times New Roman" w:hAnsi="Times New Roman" w:cs="Times New Roman"/>
          <w:sz w:val="24"/>
          <w:szCs w:val="24"/>
        </w:rPr>
        <w:t xml:space="preserve"> 159(2) In exercising judicial </w:t>
      </w:r>
      <w:r w:rsidRPr="000D1016">
        <w:rPr>
          <w:rFonts w:ascii="Times New Roman" w:hAnsi="Times New Roman" w:cs="Times New Roman"/>
          <w:sz w:val="24"/>
          <w:szCs w:val="24"/>
        </w:rPr>
        <w:t>authority</w:t>
      </w:r>
      <w:r w:rsidR="00D12A3B" w:rsidRPr="000D1016">
        <w:rPr>
          <w:rFonts w:ascii="Times New Roman" w:hAnsi="Times New Roman" w:cs="Times New Roman"/>
          <w:sz w:val="24"/>
          <w:szCs w:val="24"/>
        </w:rPr>
        <w:t>, the courts and tribunals shall be guided by the following principles alternative forms of dispute resolution including reconciliation, mediation, arbitration and traditional dispute resolution mechanisms shall be promoted.</w:t>
      </w:r>
    </w:p>
    <w:p w14:paraId="38E8E779"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In </w:t>
      </w:r>
      <w:r w:rsidRPr="000D1016">
        <w:rPr>
          <w:rFonts w:ascii="Times New Roman" w:hAnsi="Times New Roman" w:cs="Times New Roman"/>
          <w:b/>
          <w:i/>
          <w:iCs/>
          <w:sz w:val="24"/>
          <w:szCs w:val="24"/>
        </w:rPr>
        <w:t>Indigo EPZ Limited v Eastern and Southern African Trade &amp; Development Bank</w:t>
      </w:r>
      <w:r w:rsidRPr="000D1016">
        <w:rPr>
          <w:rFonts w:ascii="Times New Roman" w:hAnsi="Times New Roman" w:cs="Times New Roman"/>
          <w:i/>
          <w:iCs/>
          <w:sz w:val="24"/>
          <w:szCs w:val="24"/>
        </w:rPr>
        <w:t>,</w:t>
      </w:r>
      <w:r w:rsidRPr="000D1016">
        <w:rPr>
          <w:rStyle w:val="FootnoteReference"/>
          <w:rFonts w:ascii="Times New Roman" w:hAnsi="Times New Roman" w:cs="Times New Roman"/>
          <w:i/>
          <w:iCs/>
          <w:sz w:val="24"/>
          <w:szCs w:val="24"/>
        </w:rPr>
        <w:footnoteReference w:id="13"/>
      </w:r>
      <w:r w:rsidRPr="000D1016">
        <w:rPr>
          <w:rFonts w:ascii="Times New Roman" w:hAnsi="Times New Roman" w:cs="Times New Roman"/>
          <w:sz w:val="24"/>
          <w:szCs w:val="24"/>
        </w:rPr>
        <w:t xml:space="preserve"> the court held that, In any case , there is a well settled general rule recognized  in the English courts which prohibits all agreements purporting to oust the jurisdiction of the court.’ The Court further stated where parties have agreed to refer disputes to arbitration, the position is that the jurisdiction to deal with substantive disputes and differences is given to the arbitrator and the Kenyan Courts retain residual jurisdiction to deal with peripheral matters and to see that any disputes or differences are dealt with in the manner agreed between the parties under the agreement.</w:t>
      </w:r>
    </w:p>
    <w:p w14:paraId="5A04E1B3"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 Section 10 of the Arbitration Act, </w:t>
      </w:r>
      <w:r w:rsidR="00CD35D8" w:rsidRPr="000D1016">
        <w:rPr>
          <w:rFonts w:ascii="Times New Roman" w:hAnsi="Times New Roman" w:cs="Times New Roman"/>
          <w:sz w:val="24"/>
          <w:szCs w:val="24"/>
        </w:rPr>
        <w:t>therefore prohibits</w:t>
      </w:r>
      <w:r w:rsidRPr="000D1016">
        <w:rPr>
          <w:rFonts w:ascii="Times New Roman" w:hAnsi="Times New Roman" w:cs="Times New Roman"/>
          <w:sz w:val="24"/>
          <w:szCs w:val="24"/>
        </w:rPr>
        <w:t xml:space="preserve"> the courts from interfering with arbitration except as expressly provided </w:t>
      </w:r>
      <w:r w:rsidR="00CD35D8" w:rsidRPr="000D1016">
        <w:rPr>
          <w:rFonts w:ascii="Times New Roman" w:hAnsi="Times New Roman" w:cs="Times New Roman"/>
          <w:sz w:val="24"/>
          <w:szCs w:val="24"/>
        </w:rPr>
        <w:t>therein. Further,</w:t>
      </w:r>
      <w:r w:rsidRPr="000D1016">
        <w:rPr>
          <w:rFonts w:ascii="Times New Roman" w:hAnsi="Times New Roman" w:cs="Times New Roman"/>
          <w:sz w:val="24"/>
          <w:szCs w:val="24"/>
        </w:rPr>
        <w:t xml:space="preserve"> Section 6(1) states that a court which proceedings are brought in a matter which is the subject of an arbitration agreement shall, if a party so applies not later than the time when that party enters appearance or otherwise acknowledges the claim against which the stay of proceedings is sought. This gives an opportunity for the parties to pursue their dispute settlement without resort to litigation.</w:t>
      </w:r>
    </w:p>
    <w:p w14:paraId="08537A94" w14:textId="77777777" w:rsidR="00D12A3B" w:rsidRPr="000D1016" w:rsidRDefault="00D12A3B" w:rsidP="000D1016">
      <w:pPr>
        <w:pStyle w:val="ListParagraph"/>
        <w:numPr>
          <w:ilvl w:val="0"/>
          <w:numId w:val="2"/>
        </w:numPr>
        <w:spacing w:line="360" w:lineRule="auto"/>
        <w:jc w:val="both"/>
        <w:rPr>
          <w:rFonts w:ascii="Times New Roman" w:hAnsi="Times New Roman" w:cs="Times New Roman"/>
          <w:b/>
          <w:sz w:val="24"/>
          <w:szCs w:val="24"/>
        </w:rPr>
      </w:pPr>
      <w:r w:rsidRPr="000D1016">
        <w:rPr>
          <w:rFonts w:ascii="Times New Roman" w:hAnsi="Times New Roman" w:cs="Times New Roman"/>
          <w:b/>
          <w:sz w:val="24"/>
          <w:szCs w:val="24"/>
        </w:rPr>
        <w:t>Doctrine of Exhaustion.</w:t>
      </w:r>
    </w:p>
    <w:p w14:paraId="05923E7C"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A 5-judge bench in the Mombasa High Court </w:t>
      </w:r>
      <w:r w:rsidRPr="000D1016">
        <w:rPr>
          <w:rFonts w:ascii="Times New Roman" w:hAnsi="Times New Roman" w:cs="Times New Roman"/>
          <w:i/>
          <w:sz w:val="24"/>
          <w:szCs w:val="24"/>
        </w:rPr>
        <w:t xml:space="preserve">Constitutional Petition No.159 of 2018 </w:t>
      </w:r>
      <w:r w:rsidRPr="000D1016">
        <w:rPr>
          <w:rFonts w:ascii="Times New Roman" w:hAnsi="Times New Roman" w:cs="Times New Roman"/>
          <w:sz w:val="24"/>
          <w:szCs w:val="24"/>
        </w:rPr>
        <w:t xml:space="preserve">consolidated with </w:t>
      </w:r>
      <w:r w:rsidRPr="000D1016">
        <w:rPr>
          <w:rFonts w:ascii="Times New Roman" w:hAnsi="Times New Roman" w:cs="Times New Roman"/>
          <w:i/>
          <w:sz w:val="24"/>
          <w:szCs w:val="24"/>
        </w:rPr>
        <w:t xml:space="preserve">Constitutional Petition No. 201 of 2019 </w:t>
      </w:r>
      <w:r w:rsidRPr="000D1016">
        <w:rPr>
          <w:rFonts w:ascii="Times New Roman" w:hAnsi="Times New Roman" w:cs="Times New Roman"/>
          <w:b/>
          <w:i/>
          <w:sz w:val="24"/>
          <w:szCs w:val="24"/>
        </w:rPr>
        <w:t xml:space="preserve">William Odhiambo </w:t>
      </w:r>
      <w:proofErr w:type="spellStart"/>
      <w:r w:rsidRPr="000D1016">
        <w:rPr>
          <w:rFonts w:ascii="Times New Roman" w:hAnsi="Times New Roman" w:cs="Times New Roman"/>
          <w:b/>
          <w:i/>
          <w:sz w:val="24"/>
          <w:szCs w:val="24"/>
        </w:rPr>
        <w:t>Ramogi</w:t>
      </w:r>
      <w:proofErr w:type="spellEnd"/>
      <w:r w:rsidRPr="000D1016">
        <w:rPr>
          <w:rFonts w:ascii="Times New Roman" w:hAnsi="Times New Roman" w:cs="Times New Roman"/>
          <w:b/>
          <w:i/>
          <w:sz w:val="24"/>
          <w:szCs w:val="24"/>
        </w:rPr>
        <w:t xml:space="preserve"> &amp; 3 others v Attorney </w:t>
      </w:r>
      <w:r w:rsidRPr="000D1016">
        <w:rPr>
          <w:rFonts w:ascii="Times New Roman" w:hAnsi="Times New Roman" w:cs="Times New Roman"/>
          <w:b/>
          <w:i/>
          <w:sz w:val="24"/>
          <w:szCs w:val="24"/>
        </w:rPr>
        <w:lastRenderedPageBreak/>
        <w:t>General &amp; 4 others; Muslims for Human Rights &amp; 2 others</w:t>
      </w:r>
      <w:r w:rsidRPr="000D1016">
        <w:rPr>
          <w:rStyle w:val="FootnoteReference"/>
          <w:rFonts w:ascii="Times New Roman" w:hAnsi="Times New Roman" w:cs="Times New Roman"/>
          <w:i/>
          <w:sz w:val="24"/>
          <w:szCs w:val="24"/>
        </w:rPr>
        <w:footnoteReference w:id="14"/>
      </w:r>
      <w:r w:rsidRPr="000D1016">
        <w:rPr>
          <w:rFonts w:ascii="Times New Roman" w:hAnsi="Times New Roman" w:cs="Times New Roman"/>
          <w:i/>
          <w:sz w:val="24"/>
          <w:szCs w:val="24"/>
        </w:rPr>
        <w:t xml:space="preserve">, </w:t>
      </w:r>
      <w:r w:rsidRPr="000D1016">
        <w:rPr>
          <w:rFonts w:ascii="Times New Roman" w:hAnsi="Times New Roman" w:cs="Times New Roman"/>
          <w:sz w:val="24"/>
          <w:szCs w:val="24"/>
        </w:rPr>
        <w:t>stated that, ‘the question of exhaustion of remedies arises when a litigant, aggrieved by an agency’s action, seeks redress from a court of law on an action without pursuing all available remedies before the agency itself’. Exhaustion of remedies means that even where a court may normally have jurisdiction in regards to certain matters/disputes, the courts will be wary of exercising such jurisdiction when parties have not explored other mechanisms if they are provided for in their terms of agreement or by law. The former may involve contractual terms such as arbitration clauses, agreements or internal dispute resolution mechanisms while the latter involves statutory provisions such as taking matters in their first instance before various tribunals (original jurisdiction of tribunals).</w:t>
      </w:r>
    </w:p>
    <w:p w14:paraId="5673CFCC"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Courts have consistently and adamantly held that where there are other remedies provided for in certain instances, these remedies need to be explored first and exhausted before approaching the courts. The reasons for these were provided in the case of </w:t>
      </w:r>
      <w:r w:rsidRPr="000D1016">
        <w:rPr>
          <w:rFonts w:ascii="Times New Roman" w:hAnsi="Times New Roman" w:cs="Times New Roman"/>
          <w:b/>
          <w:i/>
          <w:sz w:val="24"/>
          <w:szCs w:val="24"/>
        </w:rPr>
        <w:t xml:space="preserve">Geoffrey </w:t>
      </w:r>
      <w:proofErr w:type="spellStart"/>
      <w:r w:rsidRPr="000D1016">
        <w:rPr>
          <w:rFonts w:ascii="Times New Roman" w:hAnsi="Times New Roman" w:cs="Times New Roman"/>
          <w:b/>
          <w:i/>
          <w:sz w:val="24"/>
          <w:szCs w:val="24"/>
        </w:rPr>
        <w:t>Muthiga</w:t>
      </w:r>
      <w:proofErr w:type="spellEnd"/>
      <w:r w:rsidRPr="000D1016">
        <w:rPr>
          <w:rFonts w:ascii="Times New Roman" w:hAnsi="Times New Roman" w:cs="Times New Roman"/>
          <w:b/>
          <w:i/>
          <w:sz w:val="24"/>
          <w:szCs w:val="24"/>
        </w:rPr>
        <w:t xml:space="preserve"> Kabiru &amp; 2 others v Samuel </w:t>
      </w:r>
      <w:proofErr w:type="spellStart"/>
      <w:r w:rsidRPr="000D1016">
        <w:rPr>
          <w:rFonts w:ascii="Times New Roman" w:hAnsi="Times New Roman" w:cs="Times New Roman"/>
          <w:b/>
          <w:i/>
          <w:sz w:val="24"/>
          <w:szCs w:val="24"/>
        </w:rPr>
        <w:t>Munga</w:t>
      </w:r>
      <w:proofErr w:type="spellEnd"/>
      <w:r w:rsidRPr="000D1016">
        <w:rPr>
          <w:rFonts w:ascii="Times New Roman" w:hAnsi="Times New Roman" w:cs="Times New Roman"/>
          <w:b/>
          <w:i/>
          <w:sz w:val="24"/>
          <w:szCs w:val="24"/>
        </w:rPr>
        <w:t xml:space="preserve"> Henry &amp; 1756 others </w:t>
      </w:r>
      <w:r w:rsidRPr="000D1016">
        <w:rPr>
          <w:rStyle w:val="FootnoteReference"/>
          <w:rFonts w:ascii="Times New Roman" w:hAnsi="Times New Roman" w:cs="Times New Roman"/>
          <w:b/>
          <w:i/>
          <w:sz w:val="24"/>
          <w:szCs w:val="24"/>
        </w:rPr>
        <w:footnoteReference w:id="15"/>
      </w:r>
      <w:r w:rsidRPr="000D1016">
        <w:rPr>
          <w:rFonts w:ascii="Times New Roman" w:hAnsi="Times New Roman" w:cs="Times New Roman"/>
          <w:sz w:val="24"/>
          <w:szCs w:val="24"/>
        </w:rPr>
        <w:t xml:space="preserve"> where the court held that “</w:t>
      </w:r>
      <w:proofErr w:type="gramStart"/>
      <w:r w:rsidRPr="000D1016">
        <w:rPr>
          <w:rFonts w:ascii="Times New Roman" w:hAnsi="Times New Roman" w:cs="Times New Roman"/>
          <w:sz w:val="24"/>
          <w:szCs w:val="24"/>
        </w:rPr>
        <w:t>…..</w:t>
      </w:r>
      <w:proofErr w:type="gramEnd"/>
      <w:r w:rsidRPr="000D1016">
        <w:rPr>
          <w:rFonts w:ascii="Times New Roman" w:hAnsi="Times New Roman" w:cs="Times New Roman"/>
          <w:sz w:val="24"/>
          <w:szCs w:val="24"/>
        </w:rPr>
        <w:t xml:space="preserve">the doctrine of exhaustion is a sound one and serves the purpose of ensuring that there is postponement of judicial consideration of matters to ensure that is first of all diligent in the protection of his own interest within the mechanisms in place for resolution outside the courts.”  These reasons ensure that litigants do not engage in unnecessary litigation and abuse of the court process. </w:t>
      </w:r>
    </w:p>
    <w:p w14:paraId="384C47AA"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However, there are exceptions that bar the doctrine of exhaustion from being absolute. These exceptions are provided for indirectly by law especially in matters concerning the Bill of Rights and constitutional matters and these reasons are recognized by the courts. They include but are not limited to; </w:t>
      </w:r>
    </w:p>
    <w:p w14:paraId="6166215E" w14:textId="77777777" w:rsidR="00D12A3B" w:rsidRPr="000D1016" w:rsidRDefault="00D12A3B" w:rsidP="000D1016">
      <w:pPr>
        <w:pStyle w:val="ListParagraph"/>
        <w:numPr>
          <w:ilvl w:val="0"/>
          <w:numId w:val="4"/>
        </w:num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Infringement and violation of the rights in the Bill of Rights.</w:t>
      </w:r>
    </w:p>
    <w:p w14:paraId="261B0079" w14:textId="77777777" w:rsidR="00D12A3B" w:rsidRPr="000D1016" w:rsidRDefault="00D12A3B" w:rsidP="000D1016">
      <w:pPr>
        <w:pStyle w:val="ListParagraph"/>
        <w:numPr>
          <w:ilvl w:val="0"/>
          <w:numId w:val="4"/>
        </w:num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Matters of public interest such as constitutional matters.</w:t>
      </w:r>
    </w:p>
    <w:p w14:paraId="74EDD5F4" w14:textId="77777777" w:rsidR="00D12A3B" w:rsidRPr="000D1016" w:rsidRDefault="00D12A3B" w:rsidP="000D1016">
      <w:pPr>
        <w:pStyle w:val="ListParagraph"/>
        <w:numPr>
          <w:ilvl w:val="0"/>
          <w:numId w:val="4"/>
        </w:num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A flawed internal dispute resolution mechanism which would effectively rob a party of justice due to unreasonableness, unfairness and violations of the natural principles of justice.</w:t>
      </w:r>
    </w:p>
    <w:p w14:paraId="0BBAC4A6" w14:textId="3D95CEB2" w:rsidR="000D1016" w:rsidRDefault="00D12A3B" w:rsidP="000D1016">
      <w:pPr>
        <w:spacing w:line="360" w:lineRule="auto"/>
        <w:ind w:left="360"/>
        <w:jc w:val="both"/>
        <w:rPr>
          <w:rFonts w:ascii="Times New Roman" w:hAnsi="Times New Roman" w:cs="Times New Roman"/>
          <w:sz w:val="24"/>
          <w:szCs w:val="24"/>
        </w:rPr>
      </w:pPr>
      <w:r w:rsidRPr="000D1016">
        <w:rPr>
          <w:rFonts w:ascii="Times New Roman" w:hAnsi="Times New Roman" w:cs="Times New Roman"/>
          <w:sz w:val="24"/>
          <w:szCs w:val="24"/>
        </w:rPr>
        <w:lastRenderedPageBreak/>
        <w:t xml:space="preserve">These exceptions were noted in the case of </w:t>
      </w:r>
      <w:r w:rsidRPr="000D1016">
        <w:rPr>
          <w:rFonts w:ascii="Times New Roman" w:hAnsi="Times New Roman" w:cs="Times New Roman"/>
          <w:b/>
          <w:i/>
          <w:sz w:val="24"/>
          <w:szCs w:val="24"/>
        </w:rPr>
        <w:t xml:space="preserve">Geoffrey </w:t>
      </w:r>
      <w:proofErr w:type="spellStart"/>
      <w:r w:rsidRPr="000D1016">
        <w:rPr>
          <w:rFonts w:ascii="Times New Roman" w:hAnsi="Times New Roman" w:cs="Times New Roman"/>
          <w:b/>
          <w:i/>
          <w:sz w:val="24"/>
          <w:szCs w:val="24"/>
        </w:rPr>
        <w:t>Muthiga</w:t>
      </w:r>
      <w:proofErr w:type="spellEnd"/>
      <w:r w:rsidRPr="000D1016">
        <w:rPr>
          <w:rFonts w:ascii="Times New Roman" w:hAnsi="Times New Roman" w:cs="Times New Roman"/>
          <w:b/>
          <w:i/>
          <w:sz w:val="24"/>
          <w:szCs w:val="24"/>
        </w:rPr>
        <w:t xml:space="preserve"> Kabiru &amp; 2 others v Samuel </w:t>
      </w:r>
      <w:proofErr w:type="spellStart"/>
      <w:r w:rsidRPr="000D1016">
        <w:rPr>
          <w:rFonts w:ascii="Times New Roman" w:hAnsi="Times New Roman" w:cs="Times New Roman"/>
          <w:b/>
          <w:i/>
          <w:sz w:val="24"/>
          <w:szCs w:val="24"/>
        </w:rPr>
        <w:t>Munga</w:t>
      </w:r>
      <w:proofErr w:type="spellEnd"/>
      <w:r w:rsidRPr="000D1016">
        <w:rPr>
          <w:rFonts w:ascii="Times New Roman" w:hAnsi="Times New Roman" w:cs="Times New Roman"/>
          <w:b/>
          <w:i/>
          <w:sz w:val="24"/>
          <w:szCs w:val="24"/>
        </w:rPr>
        <w:t xml:space="preserve"> Henry &amp; 1756 others</w:t>
      </w:r>
      <w:r w:rsidRPr="000D1016">
        <w:rPr>
          <w:rStyle w:val="FootnoteReference"/>
          <w:rFonts w:ascii="Times New Roman" w:hAnsi="Times New Roman" w:cs="Times New Roman"/>
          <w:b/>
          <w:i/>
          <w:sz w:val="24"/>
          <w:szCs w:val="24"/>
        </w:rPr>
        <w:footnoteReference w:id="16"/>
      </w:r>
      <w:r w:rsidRPr="000D1016">
        <w:rPr>
          <w:rFonts w:ascii="Times New Roman" w:hAnsi="Times New Roman" w:cs="Times New Roman"/>
          <w:sz w:val="24"/>
          <w:szCs w:val="24"/>
        </w:rPr>
        <w:t>.</w:t>
      </w:r>
    </w:p>
    <w:p w14:paraId="5F403DBC" w14:textId="79005005" w:rsidR="000D1016" w:rsidRPr="000D1016" w:rsidRDefault="000D1016" w:rsidP="000D1016">
      <w:pPr>
        <w:pStyle w:val="ListParagraph"/>
        <w:numPr>
          <w:ilvl w:val="0"/>
          <w:numId w:val="2"/>
        </w:numPr>
        <w:spacing w:line="360" w:lineRule="auto"/>
        <w:jc w:val="both"/>
        <w:rPr>
          <w:rFonts w:ascii="Times New Roman" w:hAnsi="Times New Roman" w:cs="Times New Roman"/>
          <w:b/>
          <w:bCs/>
          <w:sz w:val="24"/>
          <w:szCs w:val="24"/>
        </w:rPr>
      </w:pPr>
      <w:r w:rsidRPr="000D1016">
        <w:rPr>
          <w:rFonts w:ascii="Times New Roman" w:hAnsi="Times New Roman" w:cs="Times New Roman"/>
          <w:b/>
          <w:bCs/>
          <w:sz w:val="24"/>
          <w:szCs w:val="24"/>
        </w:rPr>
        <w:t xml:space="preserve">Doctrine of Avoidance and </w:t>
      </w:r>
      <w:r>
        <w:rPr>
          <w:rFonts w:ascii="Times New Roman" w:hAnsi="Times New Roman" w:cs="Times New Roman"/>
          <w:b/>
          <w:bCs/>
          <w:sz w:val="24"/>
          <w:szCs w:val="24"/>
        </w:rPr>
        <w:t>G</w:t>
      </w:r>
      <w:r w:rsidRPr="000D1016">
        <w:rPr>
          <w:rFonts w:ascii="Times New Roman" w:hAnsi="Times New Roman" w:cs="Times New Roman"/>
          <w:b/>
          <w:bCs/>
          <w:sz w:val="24"/>
          <w:szCs w:val="24"/>
        </w:rPr>
        <w:t xml:space="preserve">eneral </w:t>
      </w:r>
      <w:r w:rsidR="003461EA">
        <w:rPr>
          <w:rFonts w:ascii="Times New Roman" w:hAnsi="Times New Roman" w:cs="Times New Roman"/>
          <w:b/>
          <w:bCs/>
          <w:sz w:val="24"/>
          <w:szCs w:val="24"/>
        </w:rPr>
        <w:t xml:space="preserve">and Supervisory </w:t>
      </w:r>
      <w:r w:rsidRPr="000D1016">
        <w:rPr>
          <w:rFonts w:ascii="Times New Roman" w:hAnsi="Times New Roman" w:cs="Times New Roman"/>
          <w:b/>
          <w:bCs/>
          <w:sz w:val="24"/>
          <w:szCs w:val="24"/>
        </w:rPr>
        <w:t>Powers of the High Court</w:t>
      </w:r>
    </w:p>
    <w:p w14:paraId="51760494" w14:textId="629EB3F6" w:rsidR="000D1016" w:rsidRPr="000D1016" w:rsidRDefault="000D101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The doctrine of </w:t>
      </w:r>
      <w:r>
        <w:rPr>
          <w:rFonts w:ascii="Times New Roman" w:hAnsi="Times New Roman" w:cs="Times New Roman"/>
          <w:sz w:val="24"/>
          <w:szCs w:val="24"/>
        </w:rPr>
        <w:t xml:space="preserve">avoidance stipulates that even when a court has jurisdiction it may refuse to entertain such a case in its first instance if original jurisdiction can be assumed by a junior court in the hierarchical pyramid. </w:t>
      </w:r>
      <w:r w:rsidRPr="000D1016">
        <w:rPr>
          <w:rFonts w:ascii="Times New Roman" w:hAnsi="Times New Roman" w:cs="Times New Roman"/>
          <w:sz w:val="24"/>
          <w:szCs w:val="24"/>
        </w:rPr>
        <w:t xml:space="preserve"> </w:t>
      </w:r>
      <w:r>
        <w:rPr>
          <w:rFonts w:ascii="Times New Roman" w:hAnsi="Times New Roman" w:cs="Times New Roman"/>
          <w:sz w:val="24"/>
          <w:szCs w:val="24"/>
        </w:rPr>
        <w:t>This is</w:t>
      </w:r>
      <w:r w:rsidRPr="000D1016">
        <w:rPr>
          <w:rFonts w:ascii="Times New Roman" w:hAnsi="Times New Roman" w:cs="Times New Roman"/>
          <w:sz w:val="24"/>
          <w:szCs w:val="24"/>
        </w:rPr>
        <w:t xml:space="preserve"> provided for in the Civil Procedure Act CAP 21 </w:t>
      </w:r>
      <w:r>
        <w:rPr>
          <w:rFonts w:ascii="Times New Roman" w:hAnsi="Times New Roman" w:cs="Times New Roman"/>
          <w:sz w:val="24"/>
          <w:szCs w:val="24"/>
        </w:rPr>
        <w:t xml:space="preserve">by </w:t>
      </w:r>
      <w:r w:rsidRPr="000D1016">
        <w:rPr>
          <w:rFonts w:ascii="Times New Roman" w:hAnsi="Times New Roman" w:cs="Times New Roman"/>
          <w:sz w:val="24"/>
          <w:szCs w:val="24"/>
        </w:rPr>
        <w:t xml:space="preserve">Section 11 of the Act </w:t>
      </w:r>
      <w:r>
        <w:rPr>
          <w:rFonts w:ascii="Times New Roman" w:hAnsi="Times New Roman" w:cs="Times New Roman"/>
          <w:sz w:val="24"/>
          <w:szCs w:val="24"/>
        </w:rPr>
        <w:t xml:space="preserve">which </w:t>
      </w:r>
      <w:r w:rsidRPr="000D1016">
        <w:rPr>
          <w:rFonts w:ascii="Times New Roman" w:hAnsi="Times New Roman" w:cs="Times New Roman"/>
          <w:sz w:val="24"/>
          <w:szCs w:val="24"/>
        </w:rPr>
        <w:t>states ‘that every suit shall be instituted in the court of the lowest grade competent to try it, except that where there are more subordinate courts than one with jurisdiction in the same county competent to try it, a suit may, if the party instituting the suit or his advocate certifies that he believes that a point of law is involved or that any other good and sufficient reason exists, be instituted in any one of such subordinate courts. Provided that— (</w:t>
      </w:r>
      <w:proofErr w:type="spellStart"/>
      <w:r w:rsidRPr="000D1016">
        <w:rPr>
          <w:rFonts w:ascii="Times New Roman" w:hAnsi="Times New Roman" w:cs="Times New Roman"/>
          <w:sz w:val="24"/>
          <w:szCs w:val="24"/>
        </w:rPr>
        <w:t>i</w:t>
      </w:r>
      <w:proofErr w:type="spellEnd"/>
      <w:r w:rsidRPr="000D1016">
        <w:rPr>
          <w:rFonts w:ascii="Times New Roman" w:hAnsi="Times New Roman" w:cs="Times New Roman"/>
          <w:sz w:val="24"/>
          <w:szCs w:val="24"/>
        </w:rPr>
        <w:t xml:space="preserve">)if a suit is instituted in a court other than a court of the lowest grade competent to try it, the magistrate holding such court shall return the plaint for presentation in the court of the lowest grade competent to try it if in his opinion there is no point of law involved or no other good and sufficient reason for instituting the suit in his court…’. </w:t>
      </w:r>
    </w:p>
    <w:p w14:paraId="2CF8A699" w14:textId="35DA6E85" w:rsidR="000D1016" w:rsidRDefault="000D101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This therefore means that before a </w:t>
      </w:r>
      <w:r w:rsidRPr="000D1016">
        <w:rPr>
          <w:rFonts w:ascii="Times New Roman" w:hAnsi="Times New Roman" w:cs="Times New Roman"/>
          <w:sz w:val="24"/>
          <w:szCs w:val="24"/>
        </w:rPr>
        <w:t>litigant institute</w:t>
      </w:r>
      <w:r w:rsidRPr="000D1016">
        <w:rPr>
          <w:rFonts w:ascii="Times New Roman" w:hAnsi="Times New Roman" w:cs="Times New Roman"/>
          <w:sz w:val="24"/>
          <w:szCs w:val="24"/>
        </w:rPr>
        <w:t xml:space="preserve"> a suit in the highest court competent to try it, they should exhaust all the courts of a lower grade competent to hear it. For instance, if Person X files a suit at the High Court on a claim that the Magistrate’s Court has jurisdiction to hear, the High Court can return Person X to the Magistrate’s Court if there are no extenuating circumstances requiring the High Court’s attention.</w:t>
      </w:r>
    </w:p>
    <w:p w14:paraId="17CEBEAF" w14:textId="1B09EADC" w:rsidR="000D1016" w:rsidRPr="000D1016" w:rsidRDefault="000D1016" w:rsidP="000D101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High Court which has </w:t>
      </w:r>
      <w:r w:rsidR="0098473B">
        <w:rPr>
          <w:rFonts w:ascii="Times New Roman" w:hAnsi="Times New Roman" w:cs="Times New Roman"/>
          <w:sz w:val="24"/>
          <w:szCs w:val="24"/>
        </w:rPr>
        <w:t xml:space="preserve">unlimited and residual jurisdiction in civil and criminal matters may also determine where a matter may be heard. It may transfer a suit from the lower court to </w:t>
      </w:r>
      <w:r w:rsidR="003461EA">
        <w:rPr>
          <w:rFonts w:ascii="Times New Roman" w:hAnsi="Times New Roman" w:cs="Times New Roman"/>
          <w:sz w:val="24"/>
          <w:szCs w:val="24"/>
        </w:rPr>
        <w:t>itself or</w:t>
      </w:r>
      <w:r w:rsidR="0098473B">
        <w:rPr>
          <w:rFonts w:ascii="Times New Roman" w:hAnsi="Times New Roman" w:cs="Times New Roman"/>
          <w:sz w:val="24"/>
          <w:szCs w:val="24"/>
        </w:rPr>
        <w:t xml:space="preserve"> transfer it to another subordinate Court </w:t>
      </w:r>
      <w:r w:rsidR="0098473B">
        <w:rPr>
          <w:rFonts w:ascii="Times New Roman" w:hAnsi="Times New Roman" w:cs="Times New Roman"/>
          <w:sz w:val="24"/>
          <w:szCs w:val="24"/>
        </w:rPr>
        <w:t>as provided under Section 18 of the Civil procedure Act,</w:t>
      </w:r>
      <w:r w:rsidR="0098473B">
        <w:rPr>
          <w:rFonts w:ascii="Times New Roman" w:hAnsi="Times New Roman" w:cs="Times New Roman"/>
          <w:sz w:val="24"/>
          <w:szCs w:val="24"/>
        </w:rPr>
        <w:t xml:space="preserve"> and in cases where multiple subordinate courts have jurisdiction in a matter, decide where the matter will be heard as per Section 17 of the Act. As such, the High </w:t>
      </w:r>
      <w:r w:rsidR="003461EA">
        <w:rPr>
          <w:rFonts w:ascii="Times New Roman" w:hAnsi="Times New Roman" w:cs="Times New Roman"/>
          <w:sz w:val="24"/>
          <w:szCs w:val="24"/>
        </w:rPr>
        <w:t>Court can</w:t>
      </w:r>
      <w:r w:rsidR="0098473B">
        <w:rPr>
          <w:rFonts w:ascii="Times New Roman" w:hAnsi="Times New Roman" w:cs="Times New Roman"/>
          <w:sz w:val="24"/>
          <w:szCs w:val="24"/>
        </w:rPr>
        <w:t xml:space="preserve"> interfere with and limit the jurisdiction of </w:t>
      </w:r>
      <w:r w:rsidR="003461EA">
        <w:rPr>
          <w:rFonts w:ascii="Times New Roman" w:hAnsi="Times New Roman" w:cs="Times New Roman"/>
          <w:sz w:val="24"/>
          <w:szCs w:val="24"/>
        </w:rPr>
        <w:t>subordinate</w:t>
      </w:r>
      <w:r w:rsidR="0098473B">
        <w:rPr>
          <w:rFonts w:ascii="Times New Roman" w:hAnsi="Times New Roman" w:cs="Times New Roman"/>
          <w:sz w:val="24"/>
          <w:szCs w:val="24"/>
        </w:rPr>
        <w:t xml:space="preserve"> courts pursuant to its powers under Article 165(</w:t>
      </w:r>
      <w:r w:rsidR="003461EA">
        <w:rPr>
          <w:rFonts w:ascii="Times New Roman" w:hAnsi="Times New Roman" w:cs="Times New Roman"/>
          <w:sz w:val="24"/>
          <w:szCs w:val="24"/>
        </w:rPr>
        <w:t>6</w:t>
      </w:r>
      <w:r w:rsidR="0098473B">
        <w:rPr>
          <w:rFonts w:ascii="Times New Roman" w:hAnsi="Times New Roman" w:cs="Times New Roman"/>
          <w:sz w:val="24"/>
          <w:szCs w:val="24"/>
        </w:rPr>
        <w:t>)</w:t>
      </w:r>
      <w:r w:rsidR="003461EA">
        <w:rPr>
          <w:rFonts w:ascii="Times New Roman" w:hAnsi="Times New Roman" w:cs="Times New Roman"/>
          <w:sz w:val="24"/>
          <w:szCs w:val="24"/>
        </w:rPr>
        <w:t xml:space="preserve"> and (7). </w:t>
      </w:r>
    </w:p>
    <w:p w14:paraId="27E1F956" w14:textId="77777777" w:rsidR="00D12A3B" w:rsidRPr="000D1016" w:rsidRDefault="00D12A3B" w:rsidP="000D1016">
      <w:pPr>
        <w:spacing w:line="360" w:lineRule="auto"/>
        <w:ind w:left="360"/>
        <w:jc w:val="both"/>
        <w:rPr>
          <w:rFonts w:ascii="Times New Roman" w:hAnsi="Times New Roman" w:cs="Times New Roman"/>
          <w:sz w:val="24"/>
          <w:szCs w:val="24"/>
        </w:rPr>
      </w:pPr>
    </w:p>
    <w:p w14:paraId="2327300F" w14:textId="77777777" w:rsidR="00D12A3B" w:rsidRPr="000D1016" w:rsidRDefault="00D12A3B" w:rsidP="000D1016">
      <w:pPr>
        <w:pStyle w:val="ListParagraph"/>
        <w:numPr>
          <w:ilvl w:val="0"/>
          <w:numId w:val="2"/>
        </w:numPr>
        <w:spacing w:line="360" w:lineRule="auto"/>
        <w:jc w:val="both"/>
        <w:rPr>
          <w:rFonts w:ascii="Times New Roman" w:hAnsi="Times New Roman" w:cs="Times New Roman"/>
          <w:b/>
          <w:sz w:val="24"/>
          <w:szCs w:val="24"/>
        </w:rPr>
      </w:pPr>
      <w:r w:rsidRPr="000D1016">
        <w:rPr>
          <w:rFonts w:ascii="Times New Roman" w:hAnsi="Times New Roman" w:cs="Times New Roman"/>
          <w:b/>
          <w:sz w:val="24"/>
          <w:szCs w:val="24"/>
        </w:rPr>
        <w:lastRenderedPageBreak/>
        <w:t>Pecuniary Factors.</w:t>
      </w:r>
    </w:p>
    <w:p w14:paraId="316B84CB" w14:textId="77777777" w:rsidR="00D12A3B" w:rsidRPr="000D1016" w:rsidRDefault="00D12A3B" w:rsidP="000D1016">
      <w:pPr>
        <w:spacing w:line="360" w:lineRule="auto"/>
        <w:jc w:val="both"/>
        <w:rPr>
          <w:rFonts w:ascii="Times New Roman" w:hAnsi="Times New Roman" w:cs="Times New Roman"/>
          <w:i/>
          <w:sz w:val="24"/>
          <w:szCs w:val="24"/>
        </w:rPr>
      </w:pPr>
      <w:r w:rsidRPr="000D1016">
        <w:rPr>
          <w:rFonts w:ascii="Times New Roman" w:hAnsi="Times New Roman" w:cs="Times New Roman"/>
          <w:sz w:val="24"/>
          <w:szCs w:val="24"/>
        </w:rPr>
        <w:t>In order to avoid overlap of courts’ jurisdiction and dispensation of their duties, there are pecuniary limits that are imposed on subordinate courts. Section 7 of the Magistrates’ Court states that, ‘</w:t>
      </w:r>
      <w:r w:rsidRPr="000D1016">
        <w:rPr>
          <w:rFonts w:ascii="Times New Roman" w:hAnsi="Times New Roman" w:cs="Times New Roman"/>
          <w:i/>
          <w:sz w:val="24"/>
          <w:szCs w:val="24"/>
        </w:rPr>
        <w:t>A magistrate's court shall have and exercise such jurisdiction and powers in proceedings of a civil nature in which the value of the subject matter does not exceed — (a) twenty million shillings, where the court is presided over by a chief magistrate; (b) fifteen million shillings, where the court is presided over by a senior principal magistrate; (c) ten million shillings, where the court is presided over by a principal magistrate; (d) seven million shillings, where the court is presided over by a senior resident magistrate; or (e) five million shillings, where the court is presided over by a resident magistrate.</w:t>
      </w:r>
      <w:r w:rsidRPr="000D1016">
        <w:rPr>
          <w:rFonts w:ascii="Times New Roman" w:hAnsi="Times New Roman" w:cs="Times New Roman"/>
          <w:sz w:val="24"/>
          <w:szCs w:val="24"/>
        </w:rPr>
        <w:t xml:space="preserve">’ </w:t>
      </w:r>
    </w:p>
    <w:p w14:paraId="04D23551"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This provision is however not final, as the pecuniary limits can be revised by the Chief Justice by notice in the Gazette, having taken into consideration current living conditions and inflation.</w:t>
      </w:r>
      <w:r w:rsidRPr="000D1016">
        <w:rPr>
          <w:rStyle w:val="FootnoteReference"/>
          <w:rFonts w:ascii="Times New Roman" w:hAnsi="Times New Roman" w:cs="Times New Roman"/>
          <w:sz w:val="24"/>
          <w:szCs w:val="24"/>
        </w:rPr>
        <w:footnoteReference w:id="17"/>
      </w:r>
    </w:p>
    <w:p w14:paraId="0F54288A"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The High Court’s jurisdiction is then provided for in Article 165(3) and (5) of the Constitution of Kenya 2010. Article 165(3) (a) bestows upon the High Court unlimited original jurisdiction in criminal and civil matters. However, for matters that fall under the jurisdiction of the Environmental and Land Court and the Employment and </w:t>
      </w:r>
      <w:proofErr w:type="spellStart"/>
      <w:r w:rsidRPr="000D1016">
        <w:rPr>
          <w:rFonts w:ascii="Times New Roman" w:hAnsi="Times New Roman" w:cs="Times New Roman"/>
          <w:sz w:val="24"/>
          <w:szCs w:val="24"/>
        </w:rPr>
        <w:t>Labour</w:t>
      </w:r>
      <w:proofErr w:type="spellEnd"/>
      <w:r w:rsidRPr="000D1016">
        <w:rPr>
          <w:rFonts w:ascii="Times New Roman" w:hAnsi="Times New Roman" w:cs="Times New Roman"/>
          <w:sz w:val="24"/>
          <w:szCs w:val="24"/>
        </w:rPr>
        <w:t xml:space="preserve"> Relations Court, the High Court has no jurisdiction over such matters as provided in Article 165(5) (b) read together with Article 162(2)</w:t>
      </w:r>
      <w:r w:rsidRPr="000D1016">
        <w:rPr>
          <w:rStyle w:val="FootnoteReference"/>
          <w:rFonts w:ascii="Times New Roman" w:hAnsi="Times New Roman" w:cs="Times New Roman"/>
          <w:sz w:val="24"/>
          <w:szCs w:val="24"/>
        </w:rPr>
        <w:footnoteReference w:id="18"/>
      </w:r>
      <w:r w:rsidRPr="000D1016">
        <w:rPr>
          <w:rFonts w:ascii="Times New Roman" w:hAnsi="Times New Roman" w:cs="Times New Roman"/>
          <w:sz w:val="24"/>
          <w:szCs w:val="24"/>
        </w:rPr>
        <w:t>.</w:t>
      </w:r>
    </w:p>
    <w:p w14:paraId="2AA3EDE2" w14:textId="77777777" w:rsidR="007519EF" w:rsidRPr="000D1016" w:rsidRDefault="00D12A3B" w:rsidP="000D1016">
      <w:pPr>
        <w:spacing w:line="360" w:lineRule="auto"/>
        <w:jc w:val="both"/>
        <w:rPr>
          <w:rFonts w:ascii="Times New Roman" w:hAnsi="Times New Roman" w:cs="Times New Roman"/>
          <w:b/>
          <w:sz w:val="24"/>
          <w:szCs w:val="24"/>
        </w:rPr>
      </w:pPr>
      <w:r w:rsidRPr="000D1016">
        <w:rPr>
          <w:rFonts w:ascii="Times New Roman" w:hAnsi="Times New Roman" w:cs="Times New Roman"/>
          <w:b/>
          <w:sz w:val="24"/>
          <w:szCs w:val="24"/>
        </w:rPr>
        <w:br w:type="page"/>
      </w:r>
      <w:r w:rsidR="007519EF" w:rsidRPr="000D1016">
        <w:rPr>
          <w:rFonts w:ascii="Times New Roman" w:hAnsi="Times New Roman" w:cs="Times New Roman"/>
          <w:b/>
          <w:sz w:val="24"/>
          <w:szCs w:val="24"/>
        </w:rPr>
        <w:lastRenderedPageBreak/>
        <w:t>QUESTION 2</w:t>
      </w:r>
    </w:p>
    <w:p w14:paraId="26F054E8" w14:textId="4A5E7A03" w:rsidR="003461EA" w:rsidRPr="003461EA" w:rsidRDefault="003461EA" w:rsidP="000D1016">
      <w:pPr>
        <w:spacing w:line="360" w:lineRule="auto"/>
        <w:jc w:val="both"/>
        <w:rPr>
          <w:rFonts w:ascii="Times New Roman" w:hAnsi="Times New Roman" w:cs="Times New Roman"/>
          <w:b/>
          <w:bCs/>
          <w:sz w:val="24"/>
          <w:szCs w:val="24"/>
        </w:rPr>
      </w:pPr>
      <w:r w:rsidRPr="003461EA">
        <w:rPr>
          <w:rFonts w:ascii="Times New Roman" w:hAnsi="Times New Roman" w:cs="Times New Roman"/>
          <w:b/>
          <w:bCs/>
          <w:sz w:val="24"/>
          <w:szCs w:val="24"/>
        </w:rPr>
        <w:t xml:space="preserve">Advice to </w:t>
      </w:r>
      <w:proofErr w:type="spellStart"/>
      <w:r w:rsidRPr="003461EA">
        <w:rPr>
          <w:rFonts w:ascii="Times New Roman" w:hAnsi="Times New Roman" w:cs="Times New Roman"/>
          <w:b/>
          <w:bCs/>
          <w:sz w:val="24"/>
          <w:szCs w:val="24"/>
        </w:rPr>
        <w:t>Mpenda</w:t>
      </w:r>
      <w:proofErr w:type="spellEnd"/>
      <w:r w:rsidRPr="003461EA">
        <w:rPr>
          <w:rFonts w:ascii="Times New Roman" w:hAnsi="Times New Roman" w:cs="Times New Roman"/>
          <w:b/>
          <w:bCs/>
          <w:sz w:val="24"/>
          <w:szCs w:val="24"/>
        </w:rPr>
        <w:t xml:space="preserve"> </w:t>
      </w:r>
      <w:proofErr w:type="spellStart"/>
      <w:r w:rsidRPr="003461EA">
        <w:rPr>
          <w:rFonts w:ascii="Times New Roman" w:hAnsi="Times New Roman" w:cs="Times New Roman"/>
          <w:b/>
          <w:bCs/>
          <w:sz w:val="24"/>
          <w:szCs w:val="24"/>
        </w:rPr>
        <w:t>Kesi</w:t>
      </w:r>
      <w:proofErr w:type="spellEnd"/>
      <w:r w:rsidRPr="003461EA">
        <w:rPr>
          <w:rFonts w:ascii="Times New Roman" w:hAnsi="Times New Roman" w:cs="Times New Roman"/>
          <w:b/>
          <w:bCs/>
          <w:sz w:val="24"/>
          <w:szCs w:val="24"/>
        </w:rPr>
        <w:t xml:space="preserve"> on Application of Judicial Review at the High Court due to the nature of proceedings at the Court of Appeal.</w:t>
      </w:r>
    </w:p>
    <w:p w14:paraId="6DE9AFF8" w14:textId="02AFA241" w:rsidR="00D12A3B" w:rsidRPr="003461EA" w:rsidRDefault="00D12A3B" w:rsidP="000D1016">
      <w:pPr>
        <w:spacing w:line="360" w:lineRule="auto"/>
        <w:jc w:val="both"/>
        <w:rPr>
          <w:rFonts w:ascii="Times New Roman" w:hAnsi="Times New Roman" w:cs="Times New Roman"/>
          <w:sz w:val="24"/>
          <w:szCs w:val="24"/>
        </w:rPr>
      </w:pPr>
      <w:r w:rsidRPr="003461EA">
        <w:rPr>
          <w:rFonts w:ascii="Times New Roman" w:hAnsi="Times New Roman" w:cs="Times New Roman"/>
          <w:sz w:val="24"/>
          <w:szCs w:val="24"/>
        </w:rPr>
        <w:t>The Constitution of Kenya under Art. 165(3)(a) provides that the high court shall have unlimited original jurisdiction over civil and criminal matters. It also has jurisdiction in determining matters regarding the question as to whether a right or fundamental freedom stipulated in the Bill of Rights has been violated, denied or otherwise infringed upon.</w:t>
      </w:r>
    </w:p>
    <w:p w14:paraId="3910B820"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In </w:t>
      </w:r>
      <w:r w:rsidRPr="000D1016">
        <w:rPr>
          <w:rFonts w:ascii="Times New Roman" w:hAnsi="Times New Roman" w:cs="Times New Roman"/>
          <w:b/>
          <w:bCs/>
          <w:i/>
          <w:sz w:val="24"/>
          <w:szCs w:val="24"/>
        </w:rPr>
        <w:t xml:space="preserve">Joyce </w:t>
      </w:r>
      <w:proofErr w:type="spellStart"/>
      <w:r w:rsidRPr="000D1016">
        <w:rPr>
          <w:rFonts w:ascii="Times New Roman" w:hAnsi="Times New Roman" w:cs="Times New Roman"/>
          <w:b/>
          <w:bCs/>
          <w:i/>
          <w:sz w:val="24"/>
          <w:szCs w:val="24"/>
        </w:rPr>
        <w:t>Jerop</w:t>
      </w:r>
      <w:proofErr w:type="spellEnd"/>
      <w:r w:rsidRPr="000D1016">
        <w:rPr>
          <w:rFonts w:ascii="Times New Roman" w:hAnsi="Times New Roman" w:cs="Times New Roman"/>
          <w:b/>
          <w:bCs/>
          <w:i/>
          <w:sz w:val="24"/>
          <w:szCs w:val="24"/>
        </w:rPr>
        <w:t xml:space="preserve"> </w:t>
      </w:r>
      <w:proofErr w:type="spellStart"/>
      <w:r w:rsidRPr="000D1016">
        <w:rPr>
          <w:rFonts w:ascii="Times New Roman" w:hAnsi="Times New Roman" w:cs="Times New Roman"/>
          <w:b/>
          <w:bCs/>
          <w:i/>
          <w:sz w:val="24"/>
          <w:szCs w:val="24"/>
        </w:rPr>
        <w:t>Kaspandoy</w:t>
      </w:r>
      <w:proofErr w:type="spellEnd"/>
      <w:r w:rsidRPr="000D1016">
        <w:rPr>
          <w:rFonts w:ascii="Times New Roman" w:hAnsi="Times New Roman" w:cs="Times New Roman"/>
          <w:b/>
          <w:bCs/>
          <w:i/>
          <w:sz w:val="24"/>
          <w:szCs w:val="24"/>
        </w:rPr>
        <w:t xml:space="preserve"> &amp; 609 others vs Kenya power and lighting company [2019] </w:t>
      </w:r>
      <w:proofErr w:type="spellStart"/>
      <w:r w:rsidRPr="000D1016">
        <w:rPr>
          <w:rFonts w:ascii="Times New Roman" w:hAnsi="Times New Roman" w:cs="Times New Roman"/>
          <w:b/>
          <w:bCs/>
          <w:i/>
          <w:sz w:val="24"/>
          <w:szCs w:val="24"/>
        </w:rPr>
        <w:t>eKLR</w:t>
      </w:r>
      <w:proofErr w:type="spellEnd"/>
      <w:r w:rsidRPr="000D1016">
        <w:rPr>
          <w:rFonts w:ascii="Times New Roman" w:hAnsi="Times New Roman" w:cs="Times New Roman"/>
          <w:i/>
          <w:sz w:val="24"/>
          <w:szCs w:val="24"/>
        </w:rPr>
        <w:t xml:space="preserve">, </w:t>
      </w:r>
      <w:r w:rsidRPr="000D1016">
        <w:rPr>
          <w:rFonts w:ascii="Times New Roman" w:hAnsi="Times New Roman" w:cs="Times New Roman"/>
          <w:sz w:val="24"/>
          <w:szCs w:val="24"/>
        </w:rPr>
        <w:t xml:space="preserve">judicial review was described as </w:t>
      </w:r>
      <w:r w:rsidRPr="000D1016">
        <w:rPr>
          <w:rFonts w:ascii="Times New Roman" w:hAnsi="Times New Roman" w:cs="Times New Roman"/>
          <w:i/>
          <w:iCs/>
          <w:sz w:val="24"/>
          <w:szCs w:val="24"/>
        </w:rPr>
        <w:t>“the power to scrutinize and executive aids, the power to test their conformity with the constitution and the power to strike them down if they are found to be inconsistent with the constitution…”</w:t>
      </w:r>
    </w:p>
    <w:p w14:paraId="5174875B"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In literal terms, judicial review refers to the revision of a decree or judgement of an inferior court, tribunal or other quasi-judicial administrative by a superior court.</w:t>
      </w:r>
    </w:p>
    <w:p w14:paraId="7E797ED4"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The </w:t>
      </w:r>
      <w:r w:rsidRPr="003461EA">
        <w:rPr>
          <w:rFonts w:ascii="Times New Roman" w:hAnsi="Times New Roman" w:cs="Times New Roman"/>
          <w:b/>
          <w:bCs/>
          <w:sz w:val="24"/>
          <w:szCs w:val="24"/>
        </w:rPr>
        <w:t>Civil procedure rules Order 53, rule 3</w:t>
      </w:r>
      <w:r w:rsidRPr="000D1016">
        <w:rPr>
          <w:rFonts w:ascii="Times New Roman" w:hAnsi="Times New Roman" w:cs="Times New Roman"/>
          <w:sz w:val="24"/>
          <w:szCs w:val="24"/>
        </w:rPr>
        <w:t xml:space="preserve"> provides that upon the granting of leave to apply for judicial review, the applicant has 21 days to motion the high court for the same.</w:t>
      </w:r>
    </w:p>
    <w:p w14:paraId="160383E1"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The right to fair administrative action is provided for under article 47 of the constitution of Kenya. It stipulates that the process should be expeditious, efficient, lawful, reasonable and procedurally fair.</w:t>
      </w:r>
    </w:p>
    <w:p w14:paraId="1FE701C4"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It also provides that a person who is adversely affected by an administrative action has the right to be given reasons in writing for the actions</w:t>
      </w:r>
    </w:p>
    <w:p w14:paraId="7C3B8A6D" w14:textId="77777777"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The principles of natural justice requires that every party to a case be a reasonable time to present their case for determination before a court of law, failure to which may form a ground for judicial review as it limits ones right to fair administrative action.</w:t>
      </w:r>
    </w:p>
    <w:p w14:paraId="133A69B7" w14:textId="039CB1A9" w:rsidR="00D12A3B" w:rsidRPr="000D1016"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Every person has the right to administrative action which is expeditious, efficient, lawful, reasonable and procedurally fair.</w:t>
      </w:r>
      <w:r w:rsidRPr="000D1016">
        <w:rPr>
          <w:rStyle w:val="FootnoteReference"/>
          <w:rFonts w:ascii="Times New Roman" w:hAnsi="Times New Roman" w:cs="Times New Roman"/>
          <w:sz w:val="24"/>
          <w:szCs w:val="24"/>
        </w:rPr>
        <w:footnoteReference w:id="19"/>
      </w:r>
      <w:r w:rsidRPr="000D1016">
        <w:rPr>
          <w:rFonts w:ascii="Times New Roman" w:hAnsi="Times New Roman" w:cs="Times New Roman"/>
          <w:sz w:val="24"/>
          <w:szCs w:val="24"/>
        </w:rPr>
        <w:t xml:space="preserve"> Additionally, the constitution of Kenya further speaks to the duty of the courts to uphold the bill of rights</w:t>
      </w:r>
      <w:r w:rsidRPr="000D1016">
        <w:rPr>
          <w:rStyle w:val="FootnoteReference"/>
          <w:rFonts w:ascii="Times New Roman" w:hAnsi="Times New Roman" w:cs="Times New Roman"/>
          <w:sz w:val="24"/>
          <w:szCs w:val="24"/>
        </w:rPr>
        <w:footnoteReference w:id="20"/>
      </w:r>
      <w:r w:rsidRPr="000D1016">
        <w:rPr>
          <w:rFonts w:ascii="Times New Roman" w:hAnsi="Times New Roman" w:cs="Times New Roman"/>
          <w:sz w:val="24"/>
          <w:szCs w:val="24"/>
        </w:rPr>
        <w:t xml:space="preserve">. In this particular instance, the appellant submitted </w:t>
      </w:r>
      <w:r w:rsidRPr="000D1016">
        <w:rPr>
          <w:rFonts w:ascii="Times New Roman" w:hAnsi="Times New Roman" w:cs="Times New Roman"/>
          <w:sz w:val="24"/>
          <w:szCs w:val="24"/>
        </w:rPr>
        <w:lastRenderedPageBreak/>
        <w:t xml:space="preserve">his appeal to the </w:t>
      </w:r>
      <w:r w:rsidR="00303338">
        <w:rPr>
          <w:rFonts w:ascii="Times New Roman" w:hAnsi="Times New Roman" w:cs="Times New Roman"/>
          <w:sz w:val="24"/>
          <w:szCs w:val="24"/>
        </w:rPr>
        <w:t>court of appeal and was aggrieved by the decision thereof</w:t>
      </w:r>
      <w:r w:rsidRPr="000D1016">
        <w:rPr>
          <w:rFonts w:ascii="Times New Roman" w:hAnsi="Times New Roman" w:cs="Times New Roman"/>
          <w:sz w:val="24"/>
          <w:szCs w:val="24"/>
        </w:rPr>
        <w:t xml:space="preserve">. </w:t>
      </w:r>
      <w:r w:rsidR="00303338" w:rsidRPr="000D1016">
        <w:rPr>
          <w:rFonts w:ascii="Times New Roman" w:hAnsi="Times New Roman" w:cs="Times New Roman"/>
          <w:sz w:val="24"/>
          <w:szCs w:val="24"/>
        </w:rPr>
        <w:t xml:space="preserve">In this case, </w:t>
      </w:r>
      <w:proofErr w:type="spellStart"/>
      <w:r w:rsidR="00303338" w:rsidRPr="000D1016">
        <w:rPr>
          <w:rFonts w:ascii="Times New Roman" w:hAnsi="Times New Roman" w:cs="Times New Roman"/>
          <w:sz w:val="24"/>
          <w:szCs w:val="24"/>
        </w:rPr>
        <w:t>Mpenda</w:t>
      </w:r>
      <w:proofErr w:type="spellEnd"/>
      <w:r w:rsidR="00303338" w:rsidRPr="000D1016">
        <w:rPr>
          <w:rFonts w:ascii="Times New Roman" w:hAnsi="Times New Roman" w:cs="Times New Roman"/>
          <w:sz w:val="24"/>
          <w:szCs w:val="24"/>
        </w:rPr>
        <w:t xml:space="preserve"> </w:t>
      </w:r>
      <w:proofErr w:type="spellStart"/>
      <w:r w:rsidR="00303338" w:rsidRPr="000D1016">
        <w:rPr>
          <w:rFonts w:ascii="Times New Roman" w:hAnsi="Times New Roman" w:cs="Times New Roman"/>
          <w:sz w:val="24"/>
          <w:szCs w:val="24"/>
        </w:rPr>
        <w:t>Kesi</w:t>
      </w:r>
      <w:proofErr w:type="spellEnd"/>
      <w:r w:rsidR="00303338" w:rsidRPr="000D1016">
        <w:rPr>
          <w:rFonts w:ascii="Times New Roman" w:hAnsi="Times New Roman" w:cs="Times New Roman"/>
          <w:sz w:val="24"/>
          <w:szCs w:val="24"/>
        </w:rPr>
        <w:t xml:space="preserve"> was only allocated 3 minutes to make his claim which does not constitute a fair opportunity and falls within the stipulated parameters required for one to seek judicial review.</w:t>
      </w:r>
    </w:p>
    <w:p w14:paraId="3D46B99B" w14:textId="52623F37" w:rsidR="00303338" w:rsidRDefault="00D12A3B"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The </w:t>
      </w:r>
      <w:r w:rsidR="00303338">
        <w:rPr>
          <w:rFonts w:ascii="Times New Roman" w:hAnsi="Times New Roman" w:cs="Times New Roman"/>
          <w:sz w:val="24"/>
          <w:szCs w:val="24"/>
        </w:rPr>
        <w:t>F</w:t>
      </w:r>
      <w:r w:rsidRPr="000D1016">
        <w:rPr>
          <w:rFonts w:ascii="Times New Roman" w:hAnsi="Times New Roman" w:cs="Times New Roman"/>
          <w:sz w:val="24"/>
          <w:szCs w:val="24"/>
        </w:rPr>
        <w:t xml:space="preserve">air </w:t>
      </w:r>
      <w:r w:rsidR="00303338">
        <w:rPr>
          <w:rFonts w:ascii="Times New Roman" w:hAnsi="Times New Roman" w:cs="Times New Roman"/>
          <w:sz w:val="24"/>
          <w:szCs w:val="24"/>
        </w:rPr>
        <w:t>A</w:t>
      </w:r>
      <w:r w:rsidRPr="000D1016">
        <w:rPr>
          <w:rFonts w:ascii="Times New Roman" w:hAnsi="Times New Roman" w:cs="Times New Roman"/>
          <w:sz w:val="24"/>
          <w:szCs w:val="24"/>
        </w:rPr>
        <w:t xml:space="preserve">dministrative </w:t>
      </w:r>
      <w:r w:rsidR="00303338">
        <w:rPr>
          <w:rFonts w:ascii="Times New Roman" w:hAnsi="Times New Roman" w:cs="Times New Roman"/>
          <w:sz w:val="24"/>
          <w:szCs w:val="24"/>
        </w:rPr>
        <w:t>A</w:t>
      </w:r>
      <w:r w:rsidRPr="000D1016">
        <w:rPr>
          <w:rFonts w:ascii="Times New Roman" w:hAnsi="Times New Roman" w:cs="Times New Roman"/>
          <w:sz w:val="24"/>
          <w:szCs w:val="24"/>
        </w:rPr>
        <w:t xml:space="preserve">ction </w:t>
      </w:r>
      <w:r w:rsidR="00303338">
        <w:rPr>
          <w:rFonts w:ascii="Times New Roman" w:hAnsi="Times New Roman" w:cs="Times New Roman"/>
          <w:sz w:val="24"/>
          <w:szCs w:val="24"/>
        </w:rPr>
        <w:t>A</w:t>
      </w:r>
      <w:r w:rsidRPr="000D1016">
        <w:rPr>
          <w:rFonts w:ascii="Times New Roman" w:hAnsi="Times New Roman" w:cs="Times New Roman"/>
          <w:sz w:val="24"/>
          <w:szCs w:val="24"/>
        </w:rPr>
        <w:t>ct provides that any aggrieved party can seek judicial review if they feel that were denied a fair opportunity to state their case</w:t>
      </w:r>
      <w:r w:rsidRPr="000D1016">
        <w:rPr>
          <w:rStyle w:val="FootnoteReference"/>
          <w:rFonts w:ascii="Times New Roman" w:hAnsi="Times New Roman" w:cs="Times New Roman"/>
          <w:sz w:val="24"/>
          <w:szCs w:val="24"/>
        </w:rPr>
        <w:footnoteReference w:id="21"/>
      </w:r>
      <w:r w:rsidRPr="000D1016">
        <w:rPr>
          <w:rFonts w:ascii="Times New Roman" w:hAnsi="Times New Roman" w:cs="Times New Roman"/>
          <w:sz w:val="24"/>
          <w:szCs w:val="24"/>
        </w:rPr>
        <w:t xml:space="preserve">. </w:t>
      </w:r>
      <w:r w:rsidR="00303338">
        <w:rPr>
          <w:rFonts w:ascii="Times New Roman" w:hAnsi="Times New Roman" w:cs="Times New Roman"/>
          <w:sz w:val="24"/>
          <w:szCs w:val="24"/>
        </w:rPr>
        <w:t>However, these are administrative decisions by both public or private bodies or judicial and quasi-judicial decisions whereby the High Court or a specified subordinate court may provide certain reliefs. When it comes to impugned deci</w:t>
      </w:r>
      <w:r w:rsidR="00AC5150">
        <w:rPr>
          <w:rFonts w:ascii="Times New Roman" w:hAnsi="Times New Roman" w:cs="Times New Roman"/>
          <w:sz w:val="24"/>
          <w:szCs w:val="24"/>
        </w:rPr>
        <w:t>si</w:t>
      </w:r>
      <w:r w:rsidR="00303338">
        <w:rPr>
          <w:rFonts w:ascii="Times New Roman" w:hAnsi="Times New Roman" w:cs="Times New Roman"/>
          <w:sz w:val="24"/>
          <w:szCs w:val="24"/>
        </w:rPr>
        <w:t xml:space="preserve">ons by courts, the two mechanisms provided for are a review or an appeal. The former is to the same court </w:t>
      </w:r>
      <w:r w:rsidR="00AC5150">
        <w:rPr>
          <w:rFonts w:ascii="Times New Roman" w:hAnsi="Times New Roman" w:cs="Times New Roman"/>
          <w:sz w:val="24"/>
          <w:szCs w:val="24"/>
        </w:rPr>
        <w:t xml:space="preserve">pursuant to </w:t>
      </w:r>
      <w:r w:rsidR="00AC5150" w:rsidRPr="00AC5150">
        <w:rPr>
          <w:rFonts w:ascii="Times New Roman" w:hAnsi="Times New Roman" w:cs="Times New Roman"/>
          <w:b/>
          <w:bCs/>
          <w:sz w:val="24"/>
          <w:szCs w:val="24"/>
        </w:rPr>
        <w:t>Section 80 of the Civil procedure Act</w:t>
      </w:r>
      <w:r w:rsidR="00AC5150">
        <w:rPr>
          <w:rFonts w:ascii="Times New Roman" w:hAnsi="Times New Roman" w:cs="Times New Roman"/>
          <w:sz w:val="24"/>
          <w:szCs w:val="24"/>
        </w:rPr>
        <w:t xml:space="preserve"> </w:t>
      </w:r>
      <w:r w:rsidR="00303338">
        <w:rPr>
          <w:rFonts w:ascii="Times New Roman" w:hAnsi="Times New Roman" w:cs="Times New Roman"/>
          <w:sz w:val="24"/>
          <w:szCs w:val="24"/>
        </w:rPr>
        <w:t xml:space="preserve">and preferably to the same judge if certain conditions provided for in </w:t>
      </w:r>
      <w:r w:rsidR="00303338" w:rsidRPr="00303338">
        <w:rPr>
          <w:rFonts w:ascii="Times New Roman" w:hAnsi="Times New Roman" w:cs="Times New Roman"/>
          <w:b/>
          <w:bCs/>
          <w:sz w:val="24"/>
          <w:szCs w:val="24"/>
        </w:rPr>
        <w:t>Order 45 Rule 2</w:t>
      </w:r>
      <w:r w:rsidR="00303338">
        <w:rPr>
          <w:rFonts w:ascii="Times New Roman" w:hAnsi="Times New Roman" w:cs="Times New Roman"/>
          <w:sz w:val="24"/>
          <w:szCs w:val="24"/>
        </w:rPr>
        <w:t xml:space="preserve"> of the Civil </w:t>
      </w:r>
      <w:r w:rsidR="00975451">
        <w:rPr>
          <w:rFonts w:ascii="Times New Roman" w:hAnsi="Times New Roman" w:cs="Times New Roman"/>
          <w:sz w:val="24"/>
          <w:szCs w:val="24"/>
        </w:rPr>
        <w:t>P</w:t>
      </w:r>
      <w:r w:rsidR="00303338">
        <w:rPr>
          <w:rFonts w:ascii="Times New Roman" w:hAnsi="Times New Roman" w:cs="Times New Roman"/>
          <w:sz w:val="24"/>
          <w:szCs w:val="24"/>
        </w:rPr>
        <w:t xml:space="preserve">rocedure </w:t>
      </w:r>
      <w:r w:rsidR="00975451">
        <w:rPr>
          <w:rFonts w:ascii="Times New Roman" w:hAnsi="Times New Roman" w:cs="Times New Roman"/>
          <w:sz w:val="24"/>
          <w:szCs w:val="24"/>
        </w:rPr>
        <w:t>Rules</w:t>
      </w:r>
      <w:r w:rsidR="00303338">
        <w:rPr>
          <w:rFonts w:ascii="Times New Roman" w:hAnsi="Times New Roman" w:cs="Times New Roman"/>
          <w:sz w:val="24"/>
          <w:szCs w:val="24"/>
        </w:rPr>
        <w:t xml:space="preserve"> are not met while the latter is to an appellate court. </w:t>
      </w:r>
    </w:p>
    <w:p w14:paraId="42F65D88" w14:textId="27D7C497" w:rsidR="00D12A3B" w:rsidRDefault="00303338" w:rsidP="000D1016">
      <w:p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In this case, </w:t>
      </w:r>
      <w:proofErr w:type="spellStart"/>
      <w:r>
        <w:rPr>
          <w:rFonts w:ascii="Times New Roman" w:hAnsi="Times New Roman" w:cs="Times New Roman"/>
          <w:sz w:val="24"/>
          <w:szCs w:val="24"/>
        </w:rPr>
        <w:t>Mpenda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w:t>
      </w:r>
      <w:proofErr w:type="spellEnd"/>
      <w:r>
        <w:rPr>
          <w:rFonts w:ascii="Times New Roman" w:hAnsi="Times New Roman" w:cs="Times New Roman"/>
          <w:sz w:val="24"/>
          <w:szCs w:val="24"/>
        </w:rPr>
        <w:t xml:space="preserve"> wants a review of the proceedings before the Court of Appeal which is superior to the High Court. As such a judicial review in the judicial review division of the High Court will not be feasible. The best advice would be that since he is aggrieved by the orders/decree of the Court of Appeal and does not prefer an appeal to the Supreme Court, he should seek a review under Order 45 Rule 1(a) under the ground of, </w:t>
      </w:r>
      <w:r w:rsidRPr="00303338">
        <w:rPr>
          <w:rFonts w:ascii="Times New Roman" w:hAnsi="Times New Roman" w:cs="Times New Roman"/>
          <w:i/>
          <w:iCs/>
          <w:sz w:val="24"/>
          <w:szCs w:val="24"/>
        </w:rPr>
        <w:t>“</w:t>
      </w:r>
      <w:r w:rsidR="006811C3">
        <w:rPr>
          <w:rFonts w:ascii="Times New Roman" w:hAnsi="Times New Roman" w:cs="Times New Roman"/>
          <w:i/>
          <w:iCs/>
          <w:sz w:val="24"/>
          <w:szCs w:val="24"/>
        </w:rPr>
        <w:t xml:space="preserve">……. </w:t>
      </w:r>
      <w:r w:rsidRPr="00303338">
        <w:rPr>
          <w:rFonts w:ascii="Times New Roman" w:hAnsi="Times New Roman" w:cs="Times New Roman"/>
          <w:i/>
          <w:iCs/>
          <w:sz w:val="24"/>
          <w:szCs w:val="24"/>
        </w:rPr>
        <w:t>or for any other sufficient reason, desires to obtain a review of the decree or order, may apply for a review of judgment to the court which passed the decree or made the order without unreasonable delay</w:t>
      </w:r>
      <w:r>
        <w:rPr>
          <w:rFonts w:ascii="Times New Roman" w:hAnsi="Times New Roman" w:cs="Times New Roman"/>
          <w:i/>
          <w:iCs/>
          <w:sz w:val="24"/>
          <w:szCs w:val="24"/>
        </w:rPr>
        <w:t>.”</w:t>
      </w:r>
    </w:p>
    <w:p w14:paraId="5E3C7176" w14:textId="77777777" w:rsidR="006811C3" w:rsidRDefault="006811C3" w:rsidP="000D1016">
      <w:pPr>
        <w:spacing w:line="360" w:lineRule="auto"/>
        <w:jc w:val="both"/>
        <w:rPr>
          <w:rFonts w:ascii="Times New Roman" w:hAnsi="Times New Roman" w:cs="Times New Roman"/>
          <w:i/>
          <w:iCs/>
          <w:sz w:val="24"/>
          <w:szCs w:val="24"/>
        </w:rPr>
      </w:pPr>
      <w:r w:rsidRPr="006811C3">
        <w:rPr>
          <w:rFonts w:ascii="Times New Roman" w:hAnsi="Times New Roman" w:cs="Times New Roman"/>
          <w:b/>
          <w:bCs/>
          <w:sz w:val="24"/>
          <w:szCs w:val="24"/>
        </w:rPr>
        <w:t>Order 45 Rule 2</w:t>
      </w:r>
      <w:r w:rsidRPr="006811C3">
        <w:rPr>
          <w:rFonts w:ascii="Times New Roman" w:hAnsi="Times New Roman" w:cs="Times New Roman"/>
          <w:sz w:val="24"/>
          <w:szCs w:val="24"/>
        </w:rPr>
        <w:t xml:space="preserve"> provides that</w:t>
      </w:r>
      <w:r>
        <w:rPr>
          <w:rFonts w:ascii="Times New Roman" w:hAnsi="Times New Roman" w:cs="Times New Roman"/>
          <w:i/>
          <w:iCs/>
          <w:sz w:val="24"/>
          <w:szCs w:val="24"/>
        </w:rPr>
        <w:t>, “</w:t>
      </w:r>
      <w:r w:rsidRPr="006811C3">
        <w:rPr>
          <w:rFonts w:ascii="Times New Roman" w:hAnsi="Times New Roman" w:cs="Times New Roman"/>
          <w:i/>
          <w:iCs/>
          <w:sz w:val="24"/>
          <w:szCs w:val="24"/>
        </w:rPr>
        <w:t xml:space="preserve">(1) An application for review of a decree or order of a court, upon some ground other than the discovery of such new and important matter or evidence as is referred to in rule 1, or the existence of a clerical or arithmetical mistake or error apparent on the face of the decree, shall be made only to the judge who passed the decree, or made the order sought to be reviewed. </w:t>
      </w:r>
    </w:p>
    <w:p w14:paraId="6AE9400F" w14:textId="77777777" w:rsidR="006811C3" w:rsidRDefault="006811C3" w:rsidP="000D1016">
      <w:pPr>
        <w:spacing w:line="360" w:lineRule="auto"/>
        <w:jc w:val="both"/>
        <w:rPr>
          <w:rFonts w:ascii="Times New Roman" w:hAnsi="Times New Roman" w:cs="Times New Roman"/>
          <w:i/>
          <w:iCs/>
          <w:sz w:val="24"/>
          <w:szCs w:val="24"/>
        </w:rPr>
      </w:pPr>
      <w:r w:rsidRPr="006811C3">
        <w:rPr>
          <w:rFonts w:ascii="Times New Roman" w:hAnsi="Times New Roman" w:cs="Times New Roman"/>
          <w:i/>
          <w:iCs/>
          <w:sz w:val="24"/>
          <w:szCs w:val="24"/>
        </w:rPr>
        <w:t xml:space="preserve">(2) If the judge who passed the decree or made the order is no longer attached to the court, the application may be heard by any other judge who is attached to that court at the time the application comes for hearing. </w:t>
      </w:r>
    </w:p>
    <w:p w14:paraId="1B9D9ED0" w14:textId="60C2002D" w:rsidR="006811C3" w:rsidRDefault="006811C3" w:rsidP="000D1016">
      <w:pPr>
        <w:spacing w:line="360" w:lineRule="auto"/>
        <w:jc w:val="both"/>
        <w:rPr>
          <w:rFonts w:ascii="Times New Roman" w:hAnsi="Times New Roman" w:cs="Times New Roman"/>
          <w:i/>
          <w:iCs/>
          <w:sz w:val="24"/>
          <w:szCs w:val="24"/>
        </w:rPr>
      </w:pPr>
      <w:r w:rsidRPr="006811C3">
        <w:rPr>
          <w:rFonts w:ascii="Times New Roman" w:hAnsi="Times New Roman" w:cs="Times New Roman"/>
          <w:i/>
          <w:iCs/>
          <w:sz w:val="24"/>
          <w:szCs w:val="24"/>
        </w:rPr>
        <w:lastRenderedPageBreak/>
        <w:t>(3) If the judge who passed the decree or made the order is still attached to the court but is precluded by absence or other cause for a period of 3 months next after the application for review is lodged, the application may be heard by such other judge as the Chief Justice may designate.</w:t>
      </w:r>
      <w:r>
        <w:rPr>
          <w:rFonts w:ascii="Times New Roman" w:hAnsi="Times New Roman" w:cs="Times New Roman"/>
          <w:i/>
          <w:iCs/>
          <w:sz w:val="24"/>
          <w:szCs w:val="24"/>
        </w:rPr>
        <w:t>”</w:t>
      </w:r>
    </w:p>
    <w:p w14:paraId="0D8D9D0F" w14:textId="4E19829D" w:rsidR="006811C3" w:rsidRPr="006811C3" w:rsidRDefault="006811C3" w:rsidP="000D101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Mpenda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Kesi’s</w:t>
      </w:r>
      <w:proofErr w:type="spellEnd"/>
      <w:r>
        <w:rPr>
          <w:rFonts w:ascii="Times New Roman" w:hAnsi="Times New Roman" w:cs="Times New Roman"/>
          <w:sz w:val="24"/>
          <w:szCs w:val="24"/>
        </w:rPr>
        <w:t xml:space="preserve"> remedy therefore lies in a review of the impugned decision before the Court of Appeal by the same judge/ judges who heard his case and, in their absence, any other judges as provided above. In </w:t>
      </w:r>
      <w:r w:rsidR="00AC5150" w:rsidRPr="00AC5150">
        <w:rPr>
          <w:rFonts w:ascii="Times New Roman" w:hAnsi="Times New Roman" w:cs="Times New Roman"/>
          <w:b/>
          <w:bCs/>
          <w:sz w:val="24"/>
          <w:szCs w:val="24"/>
        </w:rPr>
        <w:t xml:space="preserve">Robert Alai v Cabinet Secretary in Charge of Health &amp; 7 Others [2017] </w:t>
      </w:r>
      <w:proofErr w:type="spellStart"/>
      <w:r w:rsidR="00AC5150" w:rsidRPr="00AC5150">
        <w:rPr>
          <w:rFonts w:ascii="Times New Roman" w:hAnsi="Times New Roman" w:cs="Times New Roman"/>
          <w:b/>
          <w:bCs/>
          <w:sz w:val="24"/>
          <w:szCs w:val="24"/>
        </w:rPr>
        <w:t>eKLR</w:t>
      </w:r>
      <w:proofErr w:type="spellEnd"/>
      <w:r>
        <w:rPr>
          <w:rFonts w:ascii="Times New Roman" w:hAnsi="Times New Roman" w:cs="Times New Roman"/>
          <w:sz w:val="24"/>
          <w:szCs w:val="24"/>
        </w:rPr>
        <w:t xml:space="preserve">, </w:t>
      </w:r>
      <w:r w:rsidR="00AC5150">
        <w:rPr>
          <w:rFonts w:ascii="Times New Roman" w:hAnsi="Times New Roman" w:cs="Times New Roman"/>
          <w:sz w:val="24"/>
          <w:szCs w:val="24"/>
        </w:rPr>
        <w:t xml:space="preserve">E C </w:t>
      </w:r>
      <w:proofErr w:type="spellStart"/>
      <w:r w:rsidR="00AC5150">
        <w:rPr>
          <w:rFonts w:ascii="Times New Roman" w:hAnsi="Times New Roman" w:cs="Times New Roman"/>
          <w:sz w:val="24"/>
          <w:szCs w:val="24"/>
        </w:rPr>
        <w:t>Mwita</w:t>
      </w:r>
      <w:proofErr w:type="spellEnd"/>
      <w:r w:rsidR="00AC5150">
        <w:rPr>
          <w:rFonts w:ascii="Times New Roman" w:hAnsi="Times New Roman" w:cs="Times New Roman"/>
          <w:sz w:val="24"/>
          <w:szCs w:val="24"/>
        </w:rPr>
        <w:t xml:space="preserve"> J</w:t>
      </w:r>
      <w:r>
        <w:rPr>
          <w:rFonts w:ascii="Times New Roman" w:hAnsi="Times New Roman" w:cs="Times New Roman"/>
          <w:sz w:val="24"/>
          <w:szCs w:val="24"/>
        </w:rPr>
        <w:t xml:space="preserve"> stated that the assumption that the human rights division sitting as a constitutional court could supervise or interfere with the orders of other superior courts was a great misconception. </w:t>
      </w:r>
      <w:r w:rsidR="00AC5150">
        <w:rPr>
          <w:rFonts w:ascii="Times New Roman" w:hAnsi="Times New Roman" w:cs="Times New Roman"/>
          <w:sz w:val="24"/>
          <w:szCs w:val="24"/>
        </w:rPr>
        <w:t>The learned judge therein referred to Article 165(6) of the Constitution of Kenya and stated that as a division of the High Court which is a creature pf the Constitution, the Constitutional and Human Rights and Judicial Review division is limited by the stipulations provided for in the constitution</w:t>
      </w:r>
      <w:r w:rsidR="00975451">
        <w:rPr>
          <w:rFonts w:ascii="Times New Roman" w:hAnsi="Times New Roman" w:cs="Times New Roman"/>
          <w:sz w:val="24"/>
          <w:szCs w:val="24"/>
        </w:rPr>
        <w:t>.</w:t>
      </w:r>
      <w:r w:rsidR="00AC5150">
        <w:rPr>
          <w:rFonts w:ascii="Times New Roman" w:hAnsi="Times New Roman" w:cs="Times New Roman"/>
          <w:sz w:val="24"/>
          <w:szCs w:val="24"/>
        </w:rPr>
        <w:t xml:space="preserve"> As such it cannot make orders against superior courts thereby making judicial review in this present case unsustainable.   </w:t>
      </w:r>
    </w:p>
    <w:p w14:paraId="006F1243" w14:textId="77777777" w:rsidR="00D12A3B" w:rsidRPr="000D1016" w:rsidRDefault="00D12A3B" w:rsidP="000D1016">
      <w:pPr>
        <w:spacing w:line="360" w:lineRule="auto"/>
        <w:jc w:val="both"/>
        <w:rPr>
          <w:rFonts w:ascii="Times New Roman" w:hAnsi="Times New Roman" w:cs="Times New Roman"/>
          <w:sz w:val="24"/>
          <w:szCs w:val="24"/>
        </w:rPr>
      </w:pPr>
    </w:p>
    <w:p w14:paraId="401C3E60" w14:textId="77777777" w:rsidR="00D12A3B" w:rsidRPr="000D1016" w:rsidRDefault="00D12A3B" w:rsidP="000D1016">
      <w:pPr>
        <w:spacing w:line="360" w:lineRule="auto"/>
        <w:jc w:val="both"/>
        <w:rPr>
          <w:rFonts w:ascii="Times New Roman" w:hAnsi="Times New Roman" w:cs="Times New Roman"/>
          <w:sz w:val="24"/>
          <w:szCs w:val="24"/>
        </w:rPr>
      </w:pPr>
    </w:p>
    <w:p w14:paraId="1691BEE6" w14:textId="77777777" w:rsidR="00145BF6" w:rsidRPr="000D1016" w:rsidRDefault="00145BF6" w:rsidP="000D1016">
      <w:pPr>
        <w:spacing w:line="360" w:lineRule="auto"/>
        <w:jc w:val="both"/>
        <w:rPr>
          <w:rFonts w:ascii="Times New Roman" w:hAnsi="Times New Roman" w:cs="Times New Roman"/>
          <w:b/>
          <w:sz w:val="24"/>
          <w:szCs w:val="24"/>
        </w:rPr>
      </w:pPr>
    </w:p>
    <w:p w14:paraId="70552A36" w14:textId="77777777" w:rsidR="00145BF6" w:rsidRPr="000D1016" w:rsidRDefault="00145BF6" w:rsidP="000D1016">
      <w:pPr>
        <w:spacing w:line="360" w:lineRule="auto"/>
        <w:jc w:val="both"/>
        <w:rPr>
          <w:rFonts w:ascii="Times New Roman" w:hAnsi="Times New Roman" w:cs="Times New Roman"/>
          <w:b/>
          <w:sz w:val="24"/>
          <w:szCs w:val="24"/>
        </w:rPr>
      </w:pPr>
    </w:p>
    <w:p w14:paraId="0E413D5A" w14:textId="77777777" w:rsidR="00145BF6" w:rsidRPr="000D1016" w:rsidRDefault="00145BF6" w:rsidP="000D1016">
      <w:pPr>
        <w:spacing w:line="360" w:lineRule="auto"/>
        <w:jc w:val="both"/>
        <w:rPr>
          <w:rFonts w:ascii="Times New Roman" w:hAnsi="Times New Roman" w:cs="Times New Roman"/>
          <w:b/>
          <w:sz w:val="24"/>
          <w:szCs w:val="24"/>
        </w:rPr>
      </w:pPr>
    </w:p>
    <w:p w14:paraId="77DB502D" w14:textId="77777777" w:rsidR="00145BF6" w:rsidRPr="000D1016" w:rsidRDefault="00145BF6" w:rsidP="000D1016">
      <w:pPr>
        <w:spacing w:line="360" w:lineRule="auto"/>
        <w:jc w:val="both"/>
        <w:rPr>
          <w:rFonts w:ascii="Times New Roman" w:hAnsi="Times New Roman" w:cs="Times New Roman"/>
          <w:b/>
          <w:sz w:val="24"/>
          <w:szCs w:val="24"/>
        </w:rPr>
      </w:pPr>
    </w:p>
    <w:p w14:paraId="339FCE2D" w14:textId="77777777" w:rsidR="00145BF6" w:rsidRPr="000D1016" w:rsidRDefault="00145BF6" w:rsidP="000D1016">
      <w:pPr>
        <w:spacing w:line="360" w:lineRule="auto"/>
        <w:jc w:val="both"/>
        <w:rPr>
          <w:rFonts w:ascii="Times New Roman" w:hAnsi="Times New Roman" w:cs="Times New Roman"/>
          <w:b/>
          <w:sz w:val="24"/>
          <w:szCs w:val="24"/>
        </w:rPr>
      </w:pPr>
    </w:p>
    <w:p w14:paraId="14B569B2" w14:textId="77777777" w:rsidR="00145BF6" w:rsidRPr="000D1016" w:rsidRDefault="00145BF6" w:rsidP="000D1016">
      <w:pPr>
        <w:spacing w:line="360" w:lineRule="auto"/>
        <w:jc w:val="both"/>
        <w:rPr>
          <w:rFonts w:ascii="Times New Roman" w:hAnsi="Times New Roman" w:cs="Times New Roman"/>
          <w:b/>
          <w:sz w:val="24"/>
          <w:szCs w:val="24"/>
        </w:rPr>
      </w:pPr>
    </w:p>
    <w:p w14:paraId="0EA480DF" w14:textId="77777777" w:rsidR="00145BF6" w:rsidRPr="000D1016" w:rsidRDefault="00145BF6" w:rsidP="000D1016">
      <w:pPr>
        <w:spacing w:line="360" w:lineRule="auto"/>
        <w:jc w:val="both"/>
        <w:rPr>
          <w:rFonts w:ascii="Times New Roman" w:hAnsi="Times New Roman" w:cs="Times New Roman"/>
          <w:b/>
          <w:sz w:val="24"/>
          <w:szCs w:val="24"/>
        </w:rPr>
      </w:pPr>
    </w:p>
    <w:p w14:paraId="57F0AF1F" w14:textId="77777777" w:rsidR="00145BF6" w:rsidRPr="000D1016" w:rsidRDefault="00145BF6" w:rsidP="000D1016">
      <w:pPr>
        <w:spacing w:line="360" w:lineRule="auto"/>
        <w:jc w:val="both"/>
        <w:rPr>
          <w:rFonts w:ascii="Times New Roman" w:hAnsi="Times New Roman" w:cs="Times New Roman"/>
          <w:b/>
          <w:sz w:val="24"/>
          <w:szCs w:val="24"/>
        </w:rPr>
      </w:pPr>
    </w:p>
    <w:p w14:paraId="477B165F" w14:textId="77777777" w:rsidR="00145BF6" w:rsidRPr="000D1016" w:rsidRDefault="00145BF6" w:rsidP="000D1016">
      <w:pPr>
        <w:spacing w:line="360" w:lineRule="auto"/>
        <w:jc w:val="both"/>
        <w:rPr>
          <w:rFonts w:ascii="Times New Roman" w:hAnsi="Times New Roman" w:cs="Times New Roman"/>
          <w:b/>
          <w:sz w:val="24"/>
          <w:szCs w:val="24"/>
        </w:rPr>
      </w:pPr>
    </w:p>
    <w:p w14:paraId="581619BF" w14:textId="77777777" w:rsidR="00145BF6" w:rsidRPr="000D1016" w:rsidRDefault="00145BF6" w:rsidP="000D1016">
      <w:pPr>
        <w:spacing w:line="360" w:lineRule="auto"/>
        <w:jc w:val="both"/>
        <w:rPr>
          <w:rFonts w:ascii="Times New Roman" w:hAnsi="Times New Roman" w:cs="Times New Roman"/>
          <w:b/>
          <w:sz w:val="24"/>
          <w:szCs w:val="24"/>
        </w:rPr>
      </w:pPr>
    </w:p>
    <w:p w14:paraId="78309B15" w14:textId="77777777" w:rsidR="00975451" w:rsidRDefault="00975451">
      <w:pPr>
        <w:rPr>
          <w:rFonts w:ascii="Times New Roman" w:hAnsi="Times New Roman" w:cs="Times New Roman"/>
          <w:b/>
          <w:sz w:val="24"/>
          <w:szCs w:val="24"/>
        </w:rPr>
      </w:pPr>
      <w:r>
        <w:rPr>
          <w:rFonts w:ascii="Times New Roman" w:hAnsi="Times New Roman" w:cs="Times New Roman"/>
          <w:b/>
          <w:sz w:val="24"/>
          <w:szCs w:val="24"/>
        </w:rPr>
        <w:br w:type="page"/>
      </w:r>
    </w:p>
    <w:p w14:paraId="7225C8EE" w14:textId="1CBF7678" w:rsidR="008B4AE0" w:rsidRPr="000D1016" w:rsidRDefault="007519EF" w:rsidP="00975451">
      <w:pPr>
        <w:rPr>
          <w:rFonts w:ascii="Times New Roman" w:hAnsi="Times New Roman" w:cs="Times New Roman"/>
          <w:b/>
          <w:sz w:val="24"/>
          <w:szCs w:val="24"/>
        </w:rPr>
      </w:pPr>
      <w:r w:rsidRPr="000D1016">
        <w:rPr>
          <w:rFonts w:ascii="Times New Roman" w:hAnsi="Times New Roman" w:cs="Times New Roman"/>
          <w:b/>
          <w:sz w:val="24"/>
          <w:szCs w:val="24"/>
        </w:rPr>
        <w:lastRenderedPageBreak/>
        <w:t>QUESTION 3</w:t>
      </w:r>
    </w:p>
    <w:p w14:paraId="2E9A3704" w14:textId="77777777" w:rsidR="00737E66" w:rsidRPr="000D1016" w:rsidRDefault="008B4AE0" w:rsidP="000D1016">
      <w:pPr>
        <w:spacing w:line="360" w:lineRule="auto"/>
        <w:jc w:val="both"/>
        <w:rPr>
          <w:rFonts w:ascii="Times New Roman" w:hAnsi="Times New Roman" w:cs="Times New Roman"/>
          <w:b/>
          <w:sz w:val="24"/>
          <w:szCs w:val="24"/>
        </w:rPr>
      </w:pPr>
      <w:r w:rsidRPr="000D1016">
        <w:rPr>
          <w:rFonts w:ascii="Times New Roman" w:hAnsi="Times New Roman" w:cs="Times New Roman"/>
          <w:b/>
          <w:sz w:val="24"/>
          <w:szCs w:val="24"/>
        </w:rPr>
        <w:t xml:space="preserve"> A client </w:t>
      </w:r>
      <w:r w:rsidR="00737E66" w:rsidRPr="000D1016">
        <w:rPr>
          <w:rFonts w:ascii="Times New Roman" w:hAnsi="Times New Roman" w:cs="Times New Roman"/>
          <w:b/>
          <w:sz w:val="24"/>
          <w:szCs w:val="24"/>
        </w:rPr>
        <w:t xml:space="preserve">was forced to work long hours without pay and eventually </w:t>
      </w:r>
      <w:r w:rsidRPr="000D1016">
        <w:rPr>
          <w:rFonts w:ascii="Times New Roman" w:hAnsi="Times New Roman" w:cs="Times New Roman"/>
          <w:b/>
          <w:sz w:val="24"/>
          <w:szCs w:val="24"/>
        </w:rPr>
        <w:t xml:space="preserve">unlawfully </w:t>
      </w:r>
      <w:r w:rsidR="00737E66" w:rsidRPr="000D1016">
        <w:rPr>
          <w:rFonts w:ascii="Times New Roman" w:hAnsi="Times New Roman" w:cs="Times New Roman"/>
          <w:b/>
          <w:sz w:val="24"/>
          <w:szCs w:val="24"/>
        </w:rPr>
        <w:t>terminate</w:t>
      </w:r>
      <w:r w:rsidRPr="000D1016">
        <w:rPr>
          <w:rFonts w:ascii="Times New Roman" w:hAnsi="Times New Roman" w:cs="Times New Roman"/>
          <w:b/>
          <w:sz w:val="24"/>
          <w:szCs w:val="24"/>
        </w:rPr>
        <w:t xml:space="preserve">d without any due </w:t>
      </w:r>
      <w:r w:rsidR="00CD35D8" w:rsidRPr="000D1016">
        <w:rPr>
          <w:rFonts w:ascii="Times New Roman" w:hAnsi="Times New Roman" w:cs="Times New Roman"/>
          <w:b/>
          <w:sz w:val="24"/>
          <w:szCs w:val="24"/>
        </w:rPr>
        <w:t>process. Two</w:t>
      </w:r>
      <w:r w:rsidRPr="000D1016">
        <w:rPr>
          <w:rFonts w:ascii="Times New Roman" w:hAnsi="Times New Roman" w:cs="Times New Roman"/>
          <w:b/>
          <w:sz w:val="24"/>
          <w:szCs w:val="24"/>
        </w:rPr>
        <w:t xml:space="preserve"> days before termination of her employment she was </w:t>
      </w:r>
      <w:r w:rsidR="00737E66" w:rsidRPr="000D1016">
        <w:rPr>
          <w:rFonts w:ascii="Times New Roman" w:hAnsi="Times New Roman" w:cs="Times New Roman"/>
          <w:b/>
          <w:sz w:val="24"/>
          <w:szCs w:val="24"/>
        </w:rPr>
        <w:t xml:space="preserve">kept in a dark room without food and water for </w:t>
      </w:r>
      <w:r w:rsidR="00CD35D8" w:rsidRPr="000D1016">
        <w:rPr>
          <w:rFonts w:ascii="Times New Roman" w:hAnsi="Times New Roman" w:cs="Times New Roman"/>
          <w:b/>
          <w:sz w:val="24"/>
          <w:szCs w:val="24"/>
        </w:rPr>
        <w:t>forty-eight</w:t>
      </w:r>
      <w:r w:rsidR="00737E66" w:rsidRPr="000D1016">
        <w:rPr>
          <w:rFonts w:ascii="Times New Roman" w:hAnsi="Times New Roman" w:cs="Times New Roman"/>
          <w:b/>
          <w:sz w:val="24"/>
          <w:szCs w:val="24"/>
        </w:rPr>
        <w:t xml:space="preserve"> hours on accusation of having stolen</w:t>
      </w:r>
      <w:r w:rsidRPr="000D1016">
        <w:rPr>
          <w:rFonts w:ascii="Times New Roman" w:hAnsi="Times New Roman" w:cs="Times New Roman"/>
          <w:b/>
          <w:sz w:val="24"/>
          <w:szCs w:val="24"/>
        </w:rPr>
        <w:t xml:space="preserve"> some money.</w:t>
      </w:r>
    </w:p>
    <w:p w14:paraId="6D3D654C"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The material issues in question in this matter that we shall address are;</w:t>
      </w:r>
    </w:p>
    <w:p w14:paraId="6764146F" w14:textId="77777777" w:rsidR="00737E66" w:rsidRPr="000D1016" w:rsidRDefault="00737E66" w:rsidP="000D1016">
      <w:pPr>
        <w:pStyle w:val="ListParagraph"/>
        <w:numPr>
          <w:ilvl w:val="0"/>
          <w:numId w:val="8"/>
        </w:num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Whether the afore-mentioned incidences give rise to infringement of any rights?</w:t>
      </w:r>
    </w:p>
    <w:p w14:paraId="0570E209" w14:textId="77777777" w:rsidR="00737E66" w:rsidRPr="000D1016" w:rsidRDefault="00737E66" w:rsidP="000D1016">
      <w:pPr>
        <w:pStyle w:val="ListParagraph"/>
        <w:numPr>
          <w:ilvl w:val="0"/>
          <w:numId w:val="8"/>
        </w:num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On confirmation of the first issue, whether the Employment and </w:t>
      </w:r>
      <w:proofErr w:type="spellStart"/>
      <w:r w:rsidRPr="000D1016">
        <w:rPr>
          <w:rFonts w:ascii="Times New Roman" w:hAnsi="Times New Roman" w:cs="Times New Roman"/>
          <w:sz w:val="24"/>
          <w:szCs w:val="24"/>
        </w:rPr>
        <w:t>Labour</w:t>
      </w:r>
      <w:proofErr w:type="spellEnd"/>
      <w:r w:rsidRPr="000D1016">
        <w:rPr>
          <w:rFonts w:ascii="Times New Roman" w:hAnsi="Times New Roman" w:cs="Times New Roman"/>
          <w:sz w:val="24"/>
          <w:szCs w:val="24"/>
        </w:rPr>
        <w:t xml:space="preserve"> Relations Court has jurisdiction to entertain the matter? </w:t>
      </w:r>
    </w:p>
    <w:p w14:paraId="569C2279" w14:textId="77777777" w:rsidR="008B4AE0" w:rsidRPr="000D1016" w:rsidRDefault="008B4AE0" w:rsidP="000D1016">
      <w:pPr>
        <w:pStyle w:val="ListParagraph"/>
        <w:spacing w:line="360" w:lineRule="auto"/>
        <w:jc w:val="both"/>
        <w:rPr>
          <w:rFonts w:ascii="Times New Roman" w:hAnsi="Times New Roman" w:cs="Times New Roman"/>
          <w:sz w:val="24"/>
          <w:szCs w:val="24"/>
        </w:rPr>
      </w:pPr>
    </w:p>
    <w:p w14:paraId="3EE3666E"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Human rights being inalienable privileges possessed by every human being, they are heavily guarded by international instruments on human rights, the Constitution of Kenya 2010 and various statutes enacted by Parliament. These legislations try to adequately and effectively protect people from any kind of inhumane treatment. Human rights ought not to be negated at any point in time. </w:t>
      </w:r>
    </w:p>
    <w:p w14:paraId="34DD6812"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The Constitution of Kenya 2010 in Article 30(2) states that;</w:t>
      </w:r>
    </w:p>
    <w:p w14:paraId="2CEE59C6" w14:textId="77777777" w:rsidR="00737E66" w:rsidRPr="003461EA" w:rsidRDefault="00737E66" w:rsidP="000D1016">
      <w:pPr>
        <w:spacing w:line="360" w:lineRule="auto"/>
        <w:jc w:val="both"/>
        <w:rPr>
          <w:rFonts w:ascii="Times New Roman" w:hAnsi="Times New Roman" w:cs="Times New Roman"/>
          <w:i/>
          <w:iCs/>
          <w:sz w:val="24"/>
          <w:szCs w:val="24"/>
        </w:rPr>
      </w:pPr>
      <w:r w:rsidRPr="003461EA">
        <w:rPr>
          <w:rFonts w:ascii="Times New Roman" w:hAnsi="Times New Roman" w:cs="Times New Roman"/>
          <w:i/>
          <w:iCs/>
          <w:sz w:val="24"/>
          <w:szCs w:val="24"/>
        </w:rPr>
        <w:t xml:space="preserve">“A person shall not be required to perform forced </w:t>
      </w:r>
      <w:proofErr w:type="spellStart"/>
      <w:r w:rsidRPr="003461EA">
        <w:rPr>
          <w:rFonts w:ascii="Times New Roman" w:hAnsi="Times New Roman" w:cs="Times New Roman"/>
          <w:i/>
          <w:iCs/>
          <w:sz w:val="24"/>
          <w:szCs w:val="24"/>
        </w:rPr>
        <w:t>labour</w:t>
      </w:r>
      <w:proofErr w:type="spellEnd"/>
      <w:r w:rsidRPr="003461EA">
        <w:rPr>
          <w:rFonts w:ascii="Times New Roman" w:hAnsi="Times New Roman" w:cs="Times New Roman"/>
          <w:i/>
          <w:iCs/>
          <w:sz w:val="24"/>
          <w:szCs w:val="24"/>
        </w:rPr>
        <w:t>.”</w:t>
      </w:r>
    </w:p>
    <w:p w14:paraId="4EF6D599" w14:textId="77777777" w:rsidR="00737E66" w:rsidRPr="003461EA" w:rsidRDefault="00737E66" w:rsidP="000D1016">
      <w:pPr>
        <w:spacing w:line="360" w:lineRule="auto"/>
        <w:jc w:val="both"/>
        <w:rPr>
          <w:rFonts w:ascii="Times New Roman" w:hAnsi="Times New Roman" w:cs="Times New Roman"/>
          <w:i/>
          <w:iCs/>
          <w:sz w:val="24"/>
          <w:szCs w:val="24"/>
        </w:rPr>
      </w:pPr>
      <w:r w:rsidRPr="000D1016">
        <w:rPr>
          <w:rFonts w:ascii="Times New Roman" w:hAnsi="Times New Roman" w:cs="Times New Roman"/>
          <w:sz w:val="24"/>
          <w:szCs w:val="24"/>
        </w:rPr>
        <w:t>Article 41</w:t>
      </w:r>
      <w:r w:rsidRPr="000D1016">
        <w:rPr>
          <w:rStyle w:val="FootnoteReference"/>
          <w:rFonts w:ascii="Times New Roman" w:hAnsi="Times New Roman" w:cs="Times New Roman"/>
          <w:sz w:val="24"/>
          <w:szCs w:val="24"/>
        </w:rPr>
        <w:footnoteReference w:id="22"/>
      </w:r>
      <w:r w:rsidRPr="000D1016">
        <w:rPr>
          <w:rFonts w:ascii="Times New Roman" w:hAnsi="Times New Roman" w:cs="Times New Roman"/>
          <w:sz w:val="24"/>
          <w:szCs w:val="24"/>
        </w:rPr>
        <w:t xml:space="preserve">stipulates rights relating to </w:t>
      </w:r>
      <w:proofErr w:type="spellStart"/>
      <w:r w:rsidRPr="000D1016">
        <w:rPr>
          <w:rFonts w:ascii="Times New Roman" w:hAnsi="Times New Roman" w:cs="Times New Roman"/>
          <w:sz w:val="24"/>
          <w:szCs w:val="24"/>
        </w:rPr>
        <w:t>Labour</w:t>
      </w:r>
      <w:proofErr w:type="spellEnd"/>
      <w:r w:rsidRPr="000D1016">
        <w:rPr>
          <w:rFonts w:ascii="Times New Roman" w:hAnsi="Times New Roman" w:cs="Times New Roman"/>
          <w:sz w:val="24"/>
          <w:szCs w:val="24"/>
        </w:rPr>
        <w:t xml:space="preserve"> Relations. Sub article 1 provides that; </w:t>
      </w:r>
      <w:r w:rsidRPr="003461EA">
        <w:rPr>
          <w:rFonts w:ascii="Times New Roman" w:hAnsi="Times New Roman" w:cs="Times New Roman"/>
          <w:i/>
          <w:iCs/>
          <w:sz w:val="24"/>
          <w:szCs w:val="24"/>
        </w:rPr>
        <w:t xml:space="preserve">“Every person has the right to fair </w:t>
      </w:r>
      <w:proofErr w:type="spellStart"/>
      <w:r w:rsidRPr="003461EA">
        <w:rPr>
          <w:rFonts w:ascii="Times New Roman" w:hAnsi="Times New Roman" w:cs="Times New Roman"/>
          <w:i/>
          <w:iCs/>
          <w:sz w:val="24"/>
          <w:szCs w:val="24"/>
        </w:rPr>
        <w:t>labour</w:t>
      </w:r>
      <w:proofErr w:type="spellEnd"/>
      <w:r w:rsidRPr="003461EA">
        <w:rPr>
          <w:rFonts w:ascii="Times New Roman" w:hAnsi="Times New Roman" w:cs="Times New Roman"/>
          <w:i/>
          <w:iCs/>
          <w:sz w:val="24"/>
          <w:szCs w:val="24"/>
        </w:rPr>
        <w:t xml:space="preserve"> practices.” </w:t>
      </w:r>
    </w:p>
    <w:p w14:paraId="6E6D3229"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Part II of the Employment Act of 2007 lays down the General Principles and among them is Prohibition against forced </w:t>
      </w:r>
      <w:proofErr w:type="spellStart"/>
      <w:r w:rsidRPr="000D1016">
        <w:rPr>
          <w:rFonts w:ascii="Times New Roman" w:hAnsi="Times New Roman" w:cs="Times New Roman"/>
          <w:sz w:val="24"/>
          <w:szCs w:val="24"/>
        </w:rPr>
        <w:t>labour</w:t>
      </w:r>
      <w:proofErr w:type="spellEnd"/>
      <w:r w:rsidRPr="000D1016">
        <w:rPr>
          <w:rFonts w:ascii="Times New Roman" w:hAnsi="Times New Roman" w:cs="Times New Roman"/>
          <w:sz w:val="24"/>
          <w:szCs w:val="24"/>
        </w:rPr>
        <w:t>. Section 4(1)</w:t>
      </w:r>
      <w:r w:rsidRPr="000D1016">
        <w:rPr>
          <w:rStyle w:val="FootnoteReference"/>
          <w:rFonts w:ascii="Times New Roman" w:hAnsi="Times New Roman" w:cs="Times New Roman"/>
          <w:sz w:val="24"/>
          <w:szCs w:val="24"/>
        </w:rPr>
        <w:footnoteReference w:id="23"/>
      </w:r>
      <w:r w:rsidRPr="000D1016">
        <w:rPr>
          <w:rFonts w:ascii="Times New Roman" w:hAnsi="Times New Roman" w:cs="Times New Roman"/>
          <w:sz w:val="24"/>
          <w:szCs w:val="24"/>
        </w:rPr>
        <w:t xml:space="preserve"> requires that </w:t>
      </w:r>
    </w:p>
    <w:p w14:paraId="6E2A3817" w14:textId="77777777" w:rsidR="00737E66" w:rsidRPr="003461EA" w:rsidRDefault="00737E66" w:rsidP="000D1016">
      <w:pPr>
        <w:spacing w:line="360" w:lineRule="auto"/>
        <w:jc w:val="both"/>
        <w:rPr>
          <w:rFonts w:ascii="Times New Roman" w:hAnsi="Times New Roman" w:cs="Times New Roman"/>
          <w:i/>
          <w:iCs/>
          <w:sz w:val="24"/>
          <w:szCs w:val="24"/>
        </w:rPr>
      </w:pPr>
      <w:r w:rsidRPr="003461EA">
        <w:rPr>
          <w:rFonts w:ascii="Times New Roman" w:hAnsi="Times New Roman" w:cs="Times New Roman"/>
          <w:i/>
          <w:iCs/>
          <w:sz w:val="24"/>
          <w:szCs w:val="24"/>
        </w:rPr>
        <w:t xml:space="preserve">“No person shall use or assist any other person in recruiting, trafficking or using forced </w:t>
      </w:r>
      <w:proofErr w:type="spellStart"/>
      <w:r w:rsidRPr="003461EA">
        <w:rPr>
          <w:rFonts w:ascii="Times New Roman" w:hAnsi="Times New Roman" w:cs="Times New Roman"/>
          <w:i/>
          <w:iCs/>
          <w:sz w:val="24"/>
          <w:szCs w:val="24"/>
        </w:rPr>
        <w:t>labour</w:t>
      </w:r>
      <w:proofErr w:type="spellEnd"/>
      <w:r w:rsidRPr="003461EA">
        <w:rPr>
          <w:rFonts w:ascii="Times New Roman" w:hAnsi="Times New Roman" w:cs="Times New Roman"/>
          <w:i/>
          <w:iCs/>
          <w:sz w:val="24"/>
          <w:szCs w:val="24"/>
        </w:rPr>
        <w:t>.”</w:t>
      </w:r>
    </w:p>
    <w:p w14:paraId="64B6CB74"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The Act goes further to provide for sanctions in case of breach of the above-mentioned law. Section 4(3) illustrates that;</w:t>
      </w:r>
    </w:p>
    <w:p w14:paraId="53A82025" w14:textId="77777777" w:rsidR="00737E66" w:rsidRPr="003461EA" w:rsidRDefault="00737E66" w:rsidP="000D1016">
      <w:pPr>
        <w:spacing w:line="360" w:lineRule="auto"/>
        <w:jc w:val="both"/>
        <w:rPr>
          <w:rFonts w:ascii="Times New Roman" w:hAnsi="Times New Roman" w:cs="Times New Roman"/>
          <w:i/>
          <w:iCs/>
          <w:sz w:val="24"/>
          <w:szCs w:val="24"/>
        </w:rPr>
      </w:pPr>
      <w:r w:rsidRPr="003461EA">
        <w:rPr>
          <w:rFonts w:ascii="Times New Roman" w:hAnsi="Times New Roman" w:cs="Times New Roman"/>
          <w:i/>
          <w:iCs/>
          <w:sz w:val="24"/>
          <w:szCs w:val="24"/>
        </w:rPr>
        <w:lastRenderedPageBreak/>
        <w:t>“A person who contravenes the provisions of this section commits an offence and shall, on conviction be liable to a fine not exceeding five hundred thousand shillings or to imprisonment for a term not exceeding two years or to both.”</w:t>
      </w:r>
    </w:p>
    <w:p w14:paraId="73E600B5"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In addition to that, the Employment Act in Part V and VI describes the Rights and Duties in Employment with provisions therein constituting the basic minimum terms and conditions of contract of service. This potently draws attention to Section 32 of the Act which provides that;</w:t>
      </w:r>
    </w:p>
    <w:p w14:paraId="59B614B7"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“An employer shall provide a sufficient supply of wholesome water for the use of his employees at the place of employment and, as the case may be, within a reasonable distance of any housing accommodation provided for the employees by the employer.”</w:t>
      </w:r>
    </w:p>
    <w:p w14:paraId="39459F26"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In the same spirit, Section 43(1)</w:t>
      </w:r>
      <w:r w:rsidRPr="000D1016">
        <w:rPr>
          <w:rStyle w:val="FootnoteReference"/>
          <w:rFonts w:ascii="Times New Roman" w:hAnsi="Times New Roman" w:cs="Times New Roman"/>
          <w:sz w:val="24"/>
          <w:szCs w:val="24"/>
        </w:rPr>
        <w:footnoteReference w:id="24"/>
      </w:r>
      <w:r w:rsidRPr="000D1016">
        <w:rPr>
          <w:rFonts w:ascii="Times New Roman" w:hAnsi="Times New Roman" w:cs="Times New Roman"/>
          <w:sz w:val="24"/>
          <w:szCs w:val="24"/>
        </w:rPr>
        <w:t xml:space="preserve"> provides that;</w:t>
      </w:r>
    </w:p>
    <w:p w14:paraId="3EF75982" w14:textId="77777777" w:rsidR="00B67DCD"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“In any claim arising out of termination of a contract, the employer shall be required to prove the reason or reasons for the termination, and where the employer fails to do so, the termination shall be deemed to have been unfair within the meaning of section 45.”</w:t>
      </w:r>
    </w:p>
    <w:p w14:paraId="3231AEDD"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The Employment and </w:t>
      </w:r>
      <w:proofErr w:type="spellStart"/>
      <w:r w:rsidRPr="000D1016">
        <w:rPr>
          <w:rFonts w:ascii="Times New Roman" w:hAnsi="Times New Roman" w:cs="Times New Roman"/>
          <w:sz w:val="24"/>
          <w:szCs w:val="24"/>
        </w:rPr>
        <w:t>Labour</w:t>
      </w:r>
      <w:proofErr w:type="spellEnd"/>
      <w:r w:rsidRPr="000D1016">
        <w:rPr>
          <w:rFonts w:ascii="Times New Roman" w:hAnsi="Times New Roman" w:cs="Times New Roman"/>
          <w:sz w:val="24"/>
          <w:szCs w:val="24"/>
        </w:rPr>
        <w:t xml:space="preserve"> Relations Court has exclusive and original jurisdiction to hear and determine all disputes referred to it in accordance with Article 162(2) of the Constitution. Section 12 (a) of the Employment and </w:t>
      </w:r>
      <w:proofErr w:type="spellStart"/>
      <w:r w:rsidRPr="000D1016">
        <w:rPr>
          <w:rFonts w:ascii="Times New Roman" w:hAnsi="Times New Roman" w:cs="Times New Roman"/>
          <w:sz w:val="24"/>
          <w:szCs w:val="24"/>
        </w:rPr>
        <w:t>Labour</w:t>
      </w:r>
      <w:proofErr w:type="spellEnd"/>
      <w:r w:rsidRPr="000D1016">
        <w:rPr>
          <w:rFonts w:ascii="Times New Roman" w:hAnsi="Times New Roman" w:cs="Times New Roman"/>
          <w:sz w:val="24"/>
          <w:szCs w:val="24"/>
        </w:rPr>
        <w:t xml:space="preserve"> Relation Court Act confers jurisdiction on the court to hear and determine disputes relating to or arising out of employment between an employer and an employee.</w:t>
      </w:r>
    </w:p>
    <w:p w14:paraId="370E1792"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In respect to </w:t>
      </w:r>
      <w:r w:rsidR="00B67DCD" w:rsidRPr="000D1016">
        <w:rPr>
          <w:rFonts w:ascii="Times New Roman" w:hAnsi="Times New Roman" w:cs="Times New Roman"/>
          <w:sz w:val="24"/>
          <w:szCs w:val="24"/>
        </w:rPr>
        <w:t xml:space="preserve">the matter first </w:t>
      </w:r>
      <w:proofErr w:type="gramStart"/>
      <w:r w:rsidR="00CD35D8" w:rsidRPr="000D1016">
        <w:rPr>
          <w:rFonts w:ascii="Times New Roman" w:hAnsi="Times New Roman" w:cs="Times New Roman"/>
          <w:sz w:val="24"/>
          <w:szCs w:val="24"/>
        </w:rPr>
        <w:t>issue</w:t>
      </w:r>
      <w:proofErr w:type="gramEnd"/>
      <w:r w:rsidRPr="000D1016">
        <w:rPr>
          <w:rFonts w:ascii="Times New Roman" w:hAnsi="Times New Roman" w:cs="Times New Roman"/>
          <w:sz w:val="24"/>
          <w:szCs w:val="24"/>
        </w:rPr>
        <w:t xml:space="preserve"> it is prudent to establish that the incidences presented in the facts amount to violation of both employment rights as well as constitutional rights by the employer. The facts surrounding the matter suggest unfair </w:t>
      </w:r>
      <w:proofErr w:type="spellStart"/>
      <w:r w:rsidRPr="000D1016">
        <w:rPr>
          <w:rFonts w:ascii="Times New Roman" w:hAnsi="Times New Roman" w:cs="Times New Roman"/>
          <w:sz w:val="24"/>
          <w:szCs w:val="24"/>
        </w:rPr>
        <w:t>labour</w:t>
      </w:r>
      <w:proofErr w:type="spellEnd"/>
      <w:r w:rsidRPr="000D1016">
        <w:rPr>
          <w:rFonts w:ascii="Times New Roman" w:hAnsi="Times New Roman" w:cs="Times New Roman"/>
          <w:sz w:val="24"/>
          <w:szCs w:val="24"/>
        </w:rPr>
        <w:t xml:space="preserve"> practices which is inconsistent with Article 41(1) of the Constitution. Additionally, it is explicit from the facts that article 30(2)</w:t>
      </w:r>
      <w:r w:rsidRPr="000D1016">
        <w:rPr>
          <w:rStyle w:val="FootnoteReference"/>
          <w:rFonts w:ascii="Times New Roman" w:hAnsi="Times New Roman" w:cs="Times New Roman"/>
          <w:sz w:val="24"/>
          <w:szCs w:val="24"/>
        </w:rPr>
        <w:footnoteReference w:id="25"/>
      </w:r>
      <w:r w:rsidRPr="000D1016">
        <w:rPr>
          <w:rFonts w:ascii="Times New Roman" w:hAnsi="Times New Roman" w:cs="Times New Roman"/>
          <w:sz w:val="24"/>
          <w:szCs w:val="24"/>
        </w:rPr>
        <w:t xml:space="preserve"> was negated. </w:t>
      </w:r>
    </w:p>
    <w:p w14:paraId="32AB1A3A"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While considering other rights that may have been infringed, it is our humble opinion to elucidate that several rights under the Employment Act were violated. The requirements of section 4(1) which discourages against forced </w:t>
      </w:r>
      <w:proofErr w:type="spellStart"/>
      <w:r w:rsidRPr="000D1016">
        <w:rPr>
          <w:rFonts w:ascii="Times New Roman" w:hAnsi="Times New Roman" w:cs="Times New Roman"/>
          <w:sz w:val="24"/>
          <w:szCs w:val="24"/>
        </w:rPr>
        <w:t>labour</w:t>
      </w:r>
      <w:proofErr w:type="spellEnd"/>
      <w:r w:rsidRPr="000D1016">
        <w:rPr>
          <w:rFonts w:ascii="Times New Roman" w:hAnsi="Times New Roman" w:cs="Times New Roman"/>
          <w:sz w:val="24"/>
          <w:szCs w:val="24"/>
        </w:rPr>
        <w:t xml:space="preserve"> and section 43 which makes it an offence to unfairly terminate an employee were utterly disregarded by your employer.</w:t>
      </w:r>
    </w:p>
    <w:p w14:paraId="6919E2E8"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lastRenderedPageBreak/>
        <w:t>It is</w:t>
      </w:r>
      <w:r w:rsidR="00B67DCD" w:rsidRPr="000D1016">
        <w:rPr>
          <w:rFonts w:ascii="Times New Roman" w:hAnsi="Times New Roman" w:cs="Times New Roman"/>
          <w:sz w:val="24"/>
          <w:szCs w:val="24"/>
        </w:rPr>
        <w:t xml:space="preserve"> noteworthy to mention that the</w:t>
      </w:r>
      <w:r w:rsidRPr="000D1016">
        <w:rPr>
          <w:rFonts w:ascii="Times New Roman" w:hAnsi="Times New Roman" w:cs="Times New Roman"/>
          <w:sz w:val="24"/>
          <w:szCs w:val="24"/>
        </w:rPr>
        <w:t xml:space="preserve"> employer failed to follow the basic minimum terms and conditions of contract of service as provided for in Part V and VI of the Employment Act. It is therefore our opinion that, the above matters require legal redress in a court of law.</w:t>
      </w:r>
    </w:p>
    <w:p w14:paraId="2122D532"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In </w:t>
      </w:r>
      <w:r w:rsidRPr="000D1016">
        <w:rPr>
          <w:rFonts w:ascii="Times New Roman" w:hAnsi="Times New Roman" w:cs="Times New Roman"/>
          <w:b/>
          <w:i/>
          <w:sz w:val="24"/>
          <w:szCs w:val="24"/>
        </w:rPr>
        <w:t xml:space="preserve">Constantine Joseph Advocates LL vs The Hon. Attorney </w:t>
      </w:r>
      <w:proofErr w:type="gramStart"/>
      <w:r w:rsidRPr="000D1016">
        <w:rPr>
          <w:rFonts w:ascii="Times New Roman" w:hAnsi="Times New Roman" w:cs="Times New Roman"/>
          <w:b/>
          <w:i/>
          <w:sz w:val="24"/>
          <w:szCs w:val="24"/>
        </w:rPr>
        <w:t>General{</w:t>
      </w:r>
      <w:proofErr w:type="gramEnd"/>
      <w:r w:rsidRPr="000D1016">
        <w:rPr>
          <w:rFonts w:ascii="Times New Roman" w:hAnsi="Times New Roman" w:cs="Times New Roman"/>
          <w:b/>
          <w:i/>
          <w:sz w:val="24"/>
          <w:szCs w:val="24"/>
        </w:rPr>
        <w:t xml:space="preserve">2022} </w:t>
      </w:r>
      <w:proofErr w:type="spellStart"/>
      <w:r w:rsidRPr="000D1016">
        <w:rPr>
          <w:rFonts w:ascii="Times New Roman" w:hAnsi="Times New Roman" w:cs="Times New Roman"/>
          <w:b/>
          <w:i/>
          <w:sz w:val="24"/>
          <w:szCs w:val="24"/>
        </w:rPr>
        <w:t>eKLR</w:t>
      </w:r>
      <w:proofErr w:type="spellEnd"/>
      <w:r w:rsidRPr="000D1016">
        <w:rPr>
          <w:rFonts w:ascii="Times New Roman" w:hAnsi="Times New Roman" w:cs="Times New Roman"/>
          <w:sz w:val="24"/>
          <w:szCs w:val="24"/>
        </w:rPr>
        <w:t xml:space="preserve"> the learned Judge reaffirmed the findings in the famous case of </w:t>
      </w:r>
      <w:proofErr w:type="spellStart"/>
      <w:r w:rsidRPr="000D1016">
        <w:rPr>
          <w:rFonts w:ascii="Times New Roman" w:hAnsi="Times New Roman" w:cs="Times New Roman"/>
          <w:b/>
          <w:i/>
          <w:sz w:val="24"/>
          <w:szCs w:val="24"/>
        </w:rPr>
        <w:t>Karisa</w:t>
      </w:r>
      <w:proofErr w:type="spellEnd"/>
      <w:r w:rsidRPr="000D1016">
        <w:rPr>
          <w:rFonts w:ascii="Times New Roman" w:hAnsi="Times New Roman" w:cs="Times New Roman"/>
          <w:b/>
          <w:i/>
          <w:sz w:val="24"/>
          <w:szCs w:val="24"/>
        </w:rPr>
        <w:t xml:space="preserve"> </w:t>
      </w:r>
      <w:proofErr w:type="spellStart"/>
      <w:r w:rsidRPr="000D1016">
        <w:rPr>
          <w:rFonts w:ascii="Times New Roman" w:hAnsi="Times New Roman" w:cs="Times New Roman"/>
          <w:b/>
          <w:i/>
          <w:sz w:val="24"/>
          <w:szCs w:val="24"/>
        </w:rPr>
        <w:t>Chengo</w:t>
      </w:r>
      <w:proofErr w:type="spellEnd"/>
      <w:r w:rsidRPr="000D1016">
        <w:rPr>
          <w:rFonts w:ascii="Times New Roman" w:hAnsi="Times New Roman" w:cs="Times New Roman"/>
          <w:b/>
          <w:i/>
          <w:sz w:val="24"/>
          <w:szCs w:val="24"/>
        </w:rPr>
        <w:t xml:space="preserve"> &amp; 2 others v Republic</w:t>
      </w:r>
      <w:r w:rsidRPr="000D1016">
        <w:rPr>
          <w:rStyle w:val="FootnoteReference"/>
          <w:rFonts w:ascii="Times New Roman" w:hAnsi="Times New Roman" w:cs="Times New Roman"/>
          <w:sz w:val="24"/>
          <w:szCs w:val="24"/>
        </w:rPr>
        <w:footnoteReference w:id="26"/>
      </w:r>
      <w:r w:rsidRPr="000D1016">
        <w:rPr>
          <w:rFonts w:ascii="Times New Roman" w:hAnsi="Times New Roman" w:cs="Times New Roman"/>
          <w:sz w:val="24"/>
          <w:szCs w:val="24"/>
        </w:rPr>
        <w:t xml:space="preserve"> where the jurisdiction of the specialized Courts was determined with finality. In both cases, the lea</w:t>
      </w:r>
      <w:r w:rsidR="0089027A" w:rsidRPr="000D1016">
        <w:rPr>
          <w:rFonts w:ascii="Times New Roman" w:hAnsi="Times New Roman" w:cs="Times New Roman"/>
          <w:sz w:val="24"/>
          <w:szCs w:val="24"/>
        </w:rPr>
        <w:t>rned judges relied on the Pre- D</w:t>
      </w:r>
      <w:r w:rsidRPr="000D1016">
        <w:rPr>
          <w:rFonts w:ascii="Times New Roman" w:hAnsi="Times New Roman" w:cs="Times New Roman"/>
          <w:sz w:val="24"/>
          <w:szCs w:val="24"/>
        </w:rPr>
        <w:t>ominant Purpose Test.</w:t>
      </w:r>
    </w:p>
    <w:p w14:paraId="50599CC1"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In this test, the court determines whether it has jurisdiction by evaluating whether a matter primarily concerns the subject matter in which it has exclusive jurisdiction. Essentially, the court weighs whether the issue is more of what it normally deals with or not. If yes, then a court has jurisdiction hence can hear and determine such a matter.</w:t>
      </w:r>
    </w:p>
    <w:p w14:paraId="18DF7DCB" w14:textId="77777777" w:rsidR="00737E66" w:rsidRPr="000D1016" w:rsidRDefault="0089027A"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t xml:space="preserve">Justice </w:t>
      </w:r>
      <w:proofErr w:type="spellStart"/>
      <w:r w:rsidRPr="000D1016">
        <w:rPr>
          <w:rFonts w:ascii="Times New Roman" w:hAnsi="Times New Roman" w:cs="Times New Roman"/>
          <w:sz w:val="24"/>
          <w:szCs w:val="24"/>
        </w:rPr>
        <w:t>Mrim</w:t>
      </w:r>
      <w:r w:rsidR="00737E66" w:rsidRPr="000D1016">
        <w:rPr>
          <w:rFonts w:ascii="Times New Roman" w:hAnsi="Times New Roman" w:cs="Times New Roman"/>
          <w:sz w:val="24"/>
          <w:szCs w:val="24"/>
        </w:rPr>
        <w:t>a</w:t>
      </w:r>
      <w:proofErr w:type="spellEnd"/>
      <w:r w:rsidR="00737E66" w:rsidRPr="000D1016">
        <w:rPr>
          <w:rFonts w:ascii="Times New Roman" w:hAnsi="Times New Roman" w:cs="Times New Roman"/>
          <w:sz w:val="24"/>
          <w:szCs w:val="24"/>
        </w:rPr>
        <w:t xml:space="preserve"> when delivering the Ruling of the Constantine Joseph Case noted that … “As such, the appropriate Court to deal with any constitutional issue on the said provisions, like the one raised in the Petition herein is the </w:t>
      </w:r>
      <w:proofErr w:type="spellStart"/>
      <w:r w:rsidR="00737E66" w:rsidRPr="000D1016">
        <w:rPr>
          <w:rFonts w:ascii="Times New Roman" w:hAnsi="Times New Roman" w:cs="Times New Roman"/>
          <w:sz w:val="24"/>
          <w:szCs w:val="24"/>
        </w:rPr>
        <w:t>Labour</w:t>
      </w:r>
      <w:proofErr w:type="spellEnd"/>
      <w:r w:rsidR="00737E66" w:rsidRPr="000D1016">
        <w:rPr>
          <w:rFonts w:ascii="Times New Roman" w:hAnsi="Times New Roman" w:cs="Times New Roman"/>
          <w:sz w:val="24"/>
          <w:szCs w:val="24"/>
        </w:rPr>
        <w:t xml:space="preserve"> Court.” Equally, the ELRC has jurisdiction to hear and determine the issue on violation of the constitutional rights {article 30(2) and 41(1)} since it predominantly </w:t>
      </w:r>
      <w:r w:rsidRPr="000D1016">
        <w:rPr>
          <w:rFonts w:ascii="Times New Roman" w:hAnsi="Times New Roman" w:cs="Times New Roman"/>
          <w:sz w:val="24"/>
          <w:szCs w:val="24"/>
        </w:rPr>
        <w:t xml:space="preserve">concerns </w:t>
      </w:r>
      <w:r w:rsidR="00737E66" w:rsidRPr="000D1016">
        <w:rPr>
          <w:rFonts w:ascii="Times New Roman" w:hAnsi="Times New Roman" w:cs="Times New Roman"/>
          <w:sz w:val="24"/>
          <w:szCs w:val="24"/>
        </w:rPr>
        <w:t>employment, a matter which it has exclusive and original jurisdiction over.</w:t>
      </w:r>
    </w:p>
    <w:p w14:paraId="50E99AE1" w14:textId="77777777" w:rsidR="00737E66" w:rsidRPr="000D1016" w:rsidRDefault="00737E66" w:rsidP="000D1016">
      <w:pPr>
        <w:spacing w:line="360" w:lineRule="auto"/>
        <w:jc w:val="both"/>
        <w:rPr>
          <w:rFonts w:ascii="Times New Roman" w:hAnsi="Times New Roman" w:cs="Times New Roman"/>
          <w:b/>
          <w:i/>
          <w:sz w:val="24"/>
          <w:szCs w:val="24"/>
        </w:rPr>
      </w:pPr>
      <w:r w:rsidRPr="000D1016">
        <w:rPr>
          <w:rFonts w:ascii="Times New Roman" w:hAnsi="Times New Roman" w:cs="Times New Roman"/>
          <w:sz w:val="24"/>
          <w:szCs w:val="24"/>
        </w:rPr>
        <w:t xml:space="preserve">The courts have settled in the affirmative that specialized courts have jurisdiction to deal with any constitutional issues in a matter they have jurisdiction over. This is the position held in </w:t>
      </w:r>
      <w:r w:rsidRPr="000D1016">
        <w:rPr>
          <w:rFonts w:ascii="Times New Roman" w:hAnsi="Times New Roman" w:cs="Times New Roman"/>
          <w:b/>
          <w:i/>
          <w:sz w:val="24"/>
          <w:szCs w:val="24"/>
        </w:rPr>
        <w:t xml:space="preserve">United States International University v Attorney General &amp; 2 others (2012) </w:t>
      </w:r>
      <w:proofErr w:type="spellStart"/>
      <w:r w:rsidRPr="000D1016">
        <w:rPr>
          <w:rFonts w:ascii="Times New Roman" w:hAnsi="Times New Roman" w:cs="Times New Roman"/>
          <w:b/>
          <w:i/>
          <w:sz w:val="24"/>
          <w:szCs w:val="24"/>
        </w:rPr>
        <w:t>eKLR</w:t>
      </w:r>
      <w:proofErr w:type="spellEnd"/>
      <w:r w:rsidRPr="000D1016">
        <w:rPr>
          <w:rFonts w:ascii="Times New Roman" w:hAnsi="Times New Roman" w:cs="Times New Roman"/>
          <w:sz w:val="24"/>
          <w:szCs w:val="24"/>
        </w:rPr>
        <w:t xml:space="preserve">, </w:t>
      </w:r>
      <w:r w:rsidRPr="000D1016">
        <w:rPr>
          <w:rFonts w:ascii="Times New Roman" w:hAnsi="Times New Roman" w:cs="Times New Roman"/>
          <w:b/>
          <w:i/>
          <w:sz w:val="24"/>
          <w:szCs w:val="24"/>
        </w:rPr>
        <w:t xml:space="preserve">Christopher </w:t>
      </w:r>
      <w:proofErr w:type="spellStart"/>
      <w:r w:rsidRPr="000D1016">
        <w:rPr>
          <w:rFonts w:ascii="Times New Roman" w:hAnsi="Times New Roman" w:cs="Times New Roman"/>
          <w:b/>
          <w:i/>
          <w:sz w:val="24"/>
          <w:szCs w:val="24"/>
        </w:rPr>
        <w:t>Gatuiri</w:t>
      </w:r>
      <w:proofErr w:type="spellEnd"/>
      <w:r w:rsidRPr="000D1016">
        <w:rPr>
          <w:rFonts w:ascii="Times New Roman" w:hAnsi="Times New Roman" w:cs="Times New Roman"/>
          <w:b/>
          <w:i/>
          <w:sz w:val="24"/>
          <w:szCs w:val="24"/>
        </w:rPr>
        <w:t xml:space="preserve"> v Commissioner of Police (2008) </w:t>
      </w:r>
      <w:proofErr w:type="spellStart"/>
      <w:r w:rsidRPr="000D1016">
        <w:rPr>
          <w:rFonts w:ascii="Times New Roman" w:hAnsi="Times New Roman" w:cs="Times New Roman"/>
          <w:b/>
          <w:i/>
          <w:sz w:val="24"/>
          <w:szCs w:val="24"/>
        </w:rPr>
        <w:t>eKLR</w:t>
      </w:r>
      <w:proofErr w:type="spellEnd"/>
      <w:r w:rsidRPr="000D1016">
        <w:rPr>
          <w:rFonts w:ascii="Times New Roman" w:hAnsi="Times New Roman" w:cs="Times New Roman"/>
          <w:b/>
          <w:i/>
          <w:sz w:val="24"/>
          <w:szCs w:val="24"/>
        </w:rPr>
        <w:t xml:space="preserve"> and in Jane Frances </w:t>
      </w:r>
      <w:proofErr w:type="spellStart"/>
      <w:r w:rsidRPr="000D1016">
        <w:rPr>
          <w:rFonts w:ascii="Times New Roman" w:hAnsi="Times New Roman" w:cs="Times New Roman"/>
          <w:b/>
          <w:i/>
          <w:sz w:val="24"/>
          <w:szCs w:val="24"/>
        </w:rPr>
        <w:t>Angalia</w:t>
      </w:r>
      <w:proofErr w:type="spellEnd"/>
      <w:r w:rsidRPr="000D1016">
        <w:rPr>
          <w:rFonts w:ascii="Times New Roman" w:hAnsi="Times New Roman" w:cs="Times New Roman"/>
          <w:b/>
          <w:i/>
          <w:sz w:val="24"/>
          <w:szCs w:val="24"/>
        </w:rPr>
        <w:t xml:space="preserve"> v Masinde </w:t>
      </w:r>
      <w:proofErr w:type="spellStart"/>
      <w:r w:rsidRPr="000D1016">
        <w:rPr>
          <w:rFonts w:ascii="Times New Roman" w:hAnsi="Times New Roman" w:cs="Times New Roman"/>
          <w:b/>
          <w:i/>
          <w:sz w:val="24"/>
          <w:szCs w:val="24"/>
        </w:rPr>
        <w:t>Muliro</w:t>
      </w:r>
      <w:proofErr w:type="spellEnd"/>
      <w:r w:rsidRPr="000D1016">
        <w:rPr>
          <w:rFonts w:ascii="Times New Roman" w:hAnsi="Times New Roman" w:cs="Times New Roman"/>
          <w:b/>
          <w:i/>
          <w:sz w:val="24"/>
          <w:szCs w:val="24"/>
        </w:rPr>
        <w:t xml:space="preserve"> University of Science and Technology &amp; others (2010) </w:t>
      </w:r>
      <w:proofErr w:type="spellStart"/>
      <w:r w:rsidRPr="000D1016">
        <w:rPr>
          <w:rFonts w:ascii="Times New Roman" w:hAnsi="Times New Roman" w:cs="Times New Roman"/>
          <w:b/>
          <w:i/>
          <w:sz w:val="24"/>
          <w:szCs w:val="24"/>
        </w:rPr>
        <w:t>eKLR</w:t>
      </w:r>
      <w:proofErr w:type="spellEnd"/>
      <w:r w:rsidRPr="000D1016">
        <w:rPr>
          <w:rFonts w:ascii="Times New Roman" w:hAnsi="Times New Roman" w:cs="Times New Roman"/>
          <w:b/>
          <w:i/>
          <w:sz w:val="24"/>
          <w:szCs w:val="24"/>
        </w:rPr>
        <w:t xml:space="preserve">. </w:t>
      </w:r>
    </w:p>
    <w:p w14:paraId="2CE7842E" w14:textId="77777777" w:rsidR="0089027A" w:rsidRPr="000D1016" w:rsidRDefault="00CD35D8" w:rsidP="000D1016">
      <w:pPr>
        <w:spacing w:line="360" w:lineRule="auto"/>
        <w:jc w:val="both"/>
        <w:rPr>
          <w:rFonts w:ascii="Times New Roman" w:hAnsi="Times New Roman" w:cs="Times New Roman"/>
          <w:sz w:val="24"/>
          <w:szCs w:val="24"/>
        </w:rPr>
      </w:pPr>
      <w:r w:rsidRPr="000D1016">
        <w:rPr>
          <w:rFonts w:ascii="Times New Roman" w:hAnsi="Times New Roman" w:cs="Times New Roman"/>
          <w:b/>
          <w:i/>
          <w:sz w:val="24"/>
          <w:szCs w:val="24"/>
        </w:rPr>
        <w:t>The Court</w:t>
      </w:r>
      <w:r w:rsidR="0089027A" w:rsidRPr="000D1016">
        <w:rPr>
          <w:rFonts w:ascii="Times New Roman" w:hAnsi="Times New Roman" w:cs="Times New Roman"/>
          <w:b/>
          <w:i/>
          <w:sz w:val="24"/>
          <w:szCs w:val="24"/>
        </w:rPr>
        <w:t xml:space="preserve"> of Appeal in Civil Appeal No. 656 of 2022</w:t>
      </w:r>
      <w:r w:rsidR="001C1E24" w:rsidRPr="000D1016">
        <w:rPr>
          <w:rFonts w:ascii="Times New Roman" w:hAnsi="Times New Roman" w:cs="Times New Roman"/>
          <w:b/>
          <w:i/>
          <w:sz w:val="24"/>
          <w:szCs w:val="24"/>
        </w:rPr>
        <w:t xml:space="preserve"> The National Social Security Fund Board of Trustees v Kenya Tea Growers Association and 14 others</w:t>
      </w:r>
      <w:r w:rsidR="001C1E24" w:rsidRPr="000D1016">
        <w:rPr>
          <w:rFonts w:ascii="Times New Roman" w:hAnsi="Times New Roman" w:cs="Times New Roman"/>
          <w:sz w:val="24"/>
          <w:szCs w:val="24"/>
        </w:rPr>
        <w:t xml:space="preserve"> held that the Employment and </w:t>
      </w:r>
      <w:proofErr w:type="spellStart"/>
      <w:r w:rsidR="001C1E24" w:rsidRPr="000D1016">
        <w:rPr>
          <w:rFonts w:ascii="Times New Roman" w:hAnsi="Times New Roman" w:cs="Times New Roman"/>
          <w:sz w:val="24"/>
          <w:szCs w:val="24"/>
        </w:rPr>
        <w:t>Labour</w:t>
      </w:r>
      <w:proofErr w:type="spellEnd"/>
      <w:r w:rsidR="001C1E24" w:rsidRPr="000D1016">
        <w:rPr>
          <w:rFonts w:ascii="Times New Roman" w:hAnsi="Times New Roman" w:cs="Times New Roman"/>
          <w:sz w:val="24"/>
          <w:szCs w:val="24"/>
        </w:rPr>
        <w:t xml:space="preserve"> Relations Court has no jurisdiction to determine the constitutionality of a statute unless the dispute arises out of an employer-employee relationship.</w:t>
      </w:r>
    </w:p>
    <w:p w14:paraId="48C69567" w14:textId="77777777" w:rsidR="00737E66" w:rsidRPr="000D1016" w:rsidRDefault="00737E66" w:rsidP="000D1016">
      <w:pPr>
        <w:spacing w:line="360" w:lineRule="auto"/>
        <w:jc w:val="both"/>
        <w:rPr>
          <w:rFonts w:ascii="Times New Roman" w:hAnsi="Times New Roman" w:cs="Times New Roman"/>
          <w:sz w:val="24"/>
          <w:szCs w:val="24"/>
        </w:rPr>
      </w:pPr>
      <w:r w:rsidRPr="000D1016">
        <w:rPr>
          <w:rFonts w:ascii="Times New Roman" w:hAnsi="Times New Roman" w:cs="Times New Roman"/>
          <w:sz w:val="24"/>
          <w:szCs w:val="24"/>
        </w:rPr>
        <w:lastRenderedPageBreak/>
        <w:t>Conclusively</w:t>
      </w:r>
      <w:r w:rsidR="001C1E24" w:rsidRPr="000D1016">
        <w:rPr>
          <w:rFonts w:ascii="Times New Roman" w:hAnsi="Times New Roman" w:cs="Times New Roman"/>
          <w:sz w:val="24"/>
          <w:szCs w:val="24"/>
        </w:rPr>
        <w:t xml:space="preserve">, the first determination is whether the </w:t>
      </w:r>
      <w:proofErr w:type="gramStart"/>
      <w:r w:rsidR="001C1E24" w:rsidRPr="000D1016">
        <w:rPr>
          <w:rFonts w:ascii="Times New Roman" w:hAnsi="Times New Roman" w:cs="Times New Roman"/>
          <w:sz w:val="24"/>
          <w:szCs w:val="24"/>
        </w:rPr>
        <w:t>Pre-Dominant</w:t>
      </w:r>
      <w:proofErr w:type="gramEnd"/>
      <w:r w:rsidR="001C1E24" w:rsidRPr="000D1016">
        <w:rPr>
          <w:rFonts w:ascii="Times New Roman" w:hAnsi="Times New Roman" w:cs="Times New Roman"/>
          <w:sz w:val="24"/>
          <w:szCs w:val="24"/>
        </w:rPr>
        <w:t xml:space="preserve"> purpose is her being unfairly dismissed in her workplace or being detained for 48 hours in relation to her employer’s allegations of stealing which infringed on her constitutional and human </w:t>
      </w:r>
      <w:r w:rsidR="00CD35D8" w:rsidRPr="000D1016">
        <w:rPr>
          <w:rFonts w:ascii="Times New Roman" w:hAnsi="Times New Roman" w:cs="Times New Roman"/>
          <w:sz w:val="24"/>
          <w:szCs w:val="24"/>
        </w:rPr>
        <w:t>rights. We</w:t>
      </w:r>
      <w:r w:rsidR="001C1E24" w:rsidRPr="000D1016">
        <w:rPr>
          <w:rFonts w:ascii="Times New Roman" w:hAnsi="Times New Roman" w:cs="Times New Roman"/>
          <w:sz w:val="24"/>
          <w:szCs w:val="24"/>
        </w:rPr>
        <w:t xml:space="preserve"> note that the alleged infringement on her rights and fundamental freedoms are ancillary to the main </w:t>
      </w:r>
      <w:r w:rsidR="00CD35D8" w:rsidRPr="000D1016">
        <w:rPr>
          <w:rFonts w:ascii="Times New Roman" w:hAnsi="Times New Roman" w:cs="Times New Roman"/>
          <w:sz w:val="24"/>
          <w:szCs w:val="24"/>
        </w:rPr>
        <w:t>issues. From</w:t>
      </w:r>
      <w:r w:rsidR="001C1E24" w:rsidRPr="000D1016">
        <w:rPr>
          <w:rFonts w:ascii="Times New Roman" w:hAnsi="Times New Roman" w:cs="Times New Roman"/>
          <w:sz w:val="24"/>
          <w:szCs w:val="24"/>
        </w:rPr>
        <w:t xml:space="preserve"> the above analysis there is no doubt that this case deals with Employment and </w:t>
      </w:r>
      <w:proofErr w:type="spellStart"/>
      <w:r w:rsidR="001C1E24" w:rsidRPr="000D1016">
        <w:rPr>
          <w:rFonts w:ascii="Times New Roman" w:hAnsi="Times New Roman" w:cs="Times New Roman"/>
          <w:sz w:val="24"/>
          <w:szCs w:val="24"/>
        </w:rPr>
        <w:t>Labour</w:t>
      </w:r>
      <w:proofErr w:type="spellEnd"/>
      <w:r w:rsidR="001C1E24" w:rsidRPr="000D1016">
        <w:rPr>
          <w:rFonts w:ascii="Times New Roman" w:hAnsi="Times New Roman" w:cs="Times New Roman"/>
          <w:sz w:val="24"/>
          <w:szCs w:val="24"/>
        </w:rPr>
        <w:t xml:space="preserve"> issues and thus the case should be filed at the Employment and </w:t>
      </w:r>
      <w:proofErr w:type="spellStart"/>
      <w:r w:rsidR="001C1E24" w:rsidRPr="000D1016">
        <w:rPr>
          <w:rFonts w:ascii="Times New Roman" w:hAnsi="Times New Roman" w:cs="Times New Roman"/>
          <w:sz w:val="24"/>
          <w:szCs w:val="24"/>
        </w:rPr>
        <w:t>Labo</w:t>
      </w:r>
      <w:r w:rsidR="00CD35D8" w:rsidRPr="000D1016">
        <w:rPr>
          <w:rFonts w:ascii="Times New Roman" w:hAnsi="Times New Roman" w:cs="Times New Roman"/>
          <w:sz w:val="24"/>
          <w:szCs w:val="24"/>
        </w:rPr>
        <w:t>u</w:t>
      </w:r>
      <w:r w:rsidR="001C1E24" w:rsidRPr="000D1016">
        <w:rPr>
          <w:rFonts w:ascii="Times New Roman" w:hAnsi="Times New Roman" w:cs="Times New Roman"/>
          <w:sz w:val="24"/>
          <w:szCs w:val="24"/>
        </w:rPr>
        <w:t>r</w:t>
      </w:r>
      <w:proofErr w:type="spellEnd"/>
      <w:r w:rsidR="001C1E24" w:rsidRPr="000D1016">
        <w:rPr>
          <w:rFonts w:ascii="Times New Roman" w:hAnsi="Times New Roman" w:cs="Times New Roman"/>
          <w:sz w:val="24"/>
          <w:szCs w:val="24"/>
        </w:rPr>
        <w:t xml:space="preserve"> </w:t>
      </w:r>
      <w:r w:rsidR="00CD35D8" w:rsidRPr="000D1016">
        <w:rPr>
          <w:rFonts w:ascii="Times New Roman" w:hAnsi="Times New Roman" w:cs="Times New Roman"/>
          <w:sz w:val="24"/>
          <w:szCs w:val="24"/>
        </w:rPr>
        <w:t>Relations</w:t>
      </w:r>
      <w:r w:rsidR="001C1E24" w:rsidRPr="000D1016">
        <w:rPr>
          <w:rFonts w:ascii="Times New Roman" w:hAnsi="Times New Roman" w:cs="Times New Roman"/>
          <w:sz w:val="24"/>
          <w:szCs w:val="24"/>
        </w:rPr>
        <w:t xml:space="preserve"> Court.</w:t>
      </w:r>
    </w:p>
    <w:p w14:paraId="055E6F35"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12DCEF1E"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40CE017A"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3A1B8C46"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4DE122EF"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51060BEE"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700492E2"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7A83D7BE"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2EF886BD" w14:textId="77777777" w:rsidR="00737E66" w:rsidRPr="000D1016" w:rsidRDefault="00737E66" w:rsidP="000D1016">
      <w:pPr>
        <w:spacing w:after="0" w:line="360" w:lineRule="auto"/>
        <w:jc w:val="both"/>
        <w:rPr>
          <w:rFonts w:ascii="Times New Roman" w:eastAsia="Calibri" w:hAnsi="Times New Roman" w:cs="Times New Roman"/>
          <w:b/>
          <w:bCs/>
          <w:sz w:val="24"/>
          <w:szCs w:val="24"/>
          <w:lang w:val="en-GB"/>
        </w:rPr>
      </w:pPr>
    </w:p>
    <w:p w14:paraId="0F55DE19" w14:textId="77777777" w:rsidR="00145BF6" w:rsidRPr="000D1016" w:rsidRDefault="00145BF6" w:rsidP="000D1016">
      <w:pPr>
        <w:spacing w:after="0" w:line="360" w:lineRule="auto"/>
        <w:jc w:val="both"/>
        <w:rPr>
          <w:rFonts w:ascii="Times New Roman" w:eastAsia="Calibri" w:hAnsi="Times New Roman" w:cs="Times New Roman"/>
          <w:b/>
          <w:bCs/>
          <w:sz w:val="24"/>
          <w:szCs w:val="24"/>
          <w:lang w:val="en-GB"/>
        </w:rPr>
      </w:pPr>
    </w:p>
    <w:p w14:paraId="19113B79" w14:textId="77777777" w:rsidR="003461EA" w:rsidRDefault="003461EA">
      <w:pPr>
        <w:rPr>
          <w:rFonts w:ascii="Times New Roman" w:eastAsia="Calibri" w:hAnsi="Times New Roman" w:cs="Times New Roman"/>
          <w:b/>
          <w:bCs/>
          <w:sz w:val="24"/>
          <w:szCs w:val="24"/>
          <w:lang w:val="en-GB"/>
        </w:rPr>
      </w:pPr>
      <w:r>
        <w:rPr>
          <w:rFonts w:ascii="Times New Roman" w:eastAsia="Calibri" w:hAnsi="Times New Roman" w:cs="Times New Roman"/>
          <w:b/>
          <w:bCs/>
          <w:sz w:val="24"/>
          <w:szCs w:val="24"/>
          <w:lang w:val="en-GB"/>
        </w:rPr>
        <w:br w:type="page"/>
      </w:r>
    </w:p>
    <w:p w14:paraId="6C362BF6" w14:textId="4A7C2E83" w:rsidR="007519EF" w:rsidRPr="000D1016" w:rsidRDefault="007519EF" w:rsidP="000D1016">
      <w:pPr>
        <w:spacing w:after="0" w:line="360" w:lineRule="auto"/>
        <w:jc w:val="both"/>
        <w:rPr>
          <w:rFonts w:ascii="Times New Roman" w:eastAsia="Calibri" w:hAnsi="Times New Roman" w:cs="Times New Roman"/>
          <w:b/>
          <w:bCs/>
          <w:sz w:val="24"/>
          <w:szCs w:val="24"/>
          <w:lang w:val="en-GB"/>
        </w:rPr>
      </w:pPr>
      <w:r w:rsidRPr="000D1016">
        <w:rPr>
          <w:rFonts w:ascii="Times New Roman" w:eastAsia="Calibri" w:hAnsi="Times New Roman" w:cs="Times New Roman"/>
          <w:b/>
          <w:bCs/>
          <w:sz w:val="24"/>
          <w:szCs w:val="24"/>
          <w:lang w:val="en-GB"/>
        </w:rPr>
        <w:lastRenderedPageBreak/>
        <w:t>QUESTION 4</w:t>
      </w:r>
    </w:p>
    <w:p w14:paraId="7541761F" w14:textId="77777777" w:rsidR="00737E66" w:rsidRPr="000D1016" w:rsidRDefault="00737E66" w:rsidP="000D1016">
      <w:pPr>
        <w:spacing w:after="0" w:line="360" w:lineRule="auto"/>
        <w:jc w:val="both"/>
        <w:rPr>
          <w:rFonts w:ascii="Times New Roman" w:eastAsia="Calibri" w:hAnsi="Times New Roman" w:cs="Times New Roman"/>
          <w:sz w:val="24"/>
          <w:szCs w:val="24"/>
          <w:lang w:val="en-GB"/>
        </w:rPr>
      </w:pPr>
      <w:r w:rsidRPr="000D1016">
        <w:rPr>
          <w:rFonts w:ascii="Times New Roman" w:eastAsia="Calibri" w:hAnsi="Times New Roman" w:cs="Times New Roman"/>
          <w:b/>
          <w:bCs/>
          <w:sz w:val="24"/>
          <w:szCs w:val="24"/>
          <w:lang w:val="en-GB"/>
        </w:rPr>
        <w:t>The doctrine of exhaustion may be a complete bar to the jurisdiction of a court if the exceptions thereto do not apply. Discuss</w:t>
      </w:r>
    </w:p>
    <w:p w14:paraId="6B5D89E8" w14:textId="77777777" w:rsidR="00737E66" w:rsidRPr="000D1016" w:rsidRDefault="00737E66" w:rsidP="000D1016">
      <w:pPr>
        <w:spacing w:after="0" w:line="360" w:lineRule="auto"/>
        <w:jc w:val="both"/>
        <w:rPr>
          <w:rFonts w:ascii="Times New Roman" w:eastAsia="Calibri" w:hAnsi="Times New Roman" w:cs="Times New Roman"/>
          <w:sz w:val="24"/>
          <w:szCs w:val="24"/>
          <w:lang w:val="en-GB"/>
        </w:rPr>
      </w:pPr>
      <w:r w:rsidRPr="000D1016">
        <w:rPr>
          <w:rFonts w:ascii="Times New Roman" w:eastAsia="Calibri" w:hAnsi="Times New Roman" w:cs="Times New Roman"/>
          <w:sz w:val="24"/>
          <w:szCs w:val="24"/>
          <w:lang w:val="en-GB"/>
        </w:rPr>
        <w:t>Under Article 159(2)(c) of the Constitution of Kenya (</w:t>
      </w:r>
      <w:proofErr w:type="spellStart"/>
      <w:r w:rsidRPr="000D1016">
        <w:rPr>
          <w:rFonts w:ascii="Times New Roman" w:eastAsia="Calibri" w:hAnsi="Times New Roman" w:cs="Times New Roman"/>
          <w:sz w:val="24"/>
          <w:szCs w:val="24"/>
          <w:lang w:val="en-GB"/>
        </w:rPr>
        <w:t>CoK</w:t>
      </w:r>
      <w:proofErr w:type="spellEnd"/>
      <w:r w:rsidRPr="000D1016">
        <w:rPr>
          <w:rFonts w:ascii="Times New Roman" w:eastAsia="Calibri" w:hAnsi="Times New Roman" w:cs="Times New Roman"/>
          <w:sz w:val="24"/>
          <w:szCs w:val="24"/>
          <w:lang w:val="en-GB"/>
        </w:rPr>
        <w:t xml:space="preserve">) 2010, alternative dispute resolution (ADR) mechanisms are some of the modes of administration of justice which courts should uphold. As such, litigation before the courts is not the first instant remedy available to parties in a dispute and the courts are required to uphold those other mechanisms where they exist. </w:t>
      </w:r>
    </w:p>
    <w:p w14:paraId="7E8072DA" w14:textId="77777777" w:rsidR="00737E66" w:rsidRPr="000D1016" w:rsidRDefault="00737E66" w:rsidP="000D1016">
      <w:pPr>
        <w:spacing w:after="0" w:line="360" w:lineRule="auto"/>
        <w:jc w:val="both"/>
        <w:rPr>
          <w:rFonts w:ascii="Times New Roman" w:eastAsia="Calibri" w:hAnsi="Times New Roman" w:cs="Times New Roman"/>
          <w:sz w:val="24"/>
          <w:szCs w:val="24"/>
          <w:lang w:val="en-GB"/>
        </w:rPr>
      </w:pPr>
      <w:r w:rsidRPr="000D1016">
        <w:rPr>
          <w:rFonts w:ascii="Times New Roman" w:eastAsia="Calibri" w:hAnsi="Times New Roman" w:cs="Times New Roman"/>
          <w:sz w:val="24"/>
          <w:szCs w:val="24"/>
          <w:lang w:val="en-GB"/>
        </w:rPr>
        <w:t xml:space="preserve">Exhaustion of remedies means that even where a court may normally have jurisdiction in regards to certain matters/disputes, the courts will be wary of exercising such jurisdiction when parties have not explored other mechanisms if they are provided for in their terms of agreement or by law. The former may involve contractual terms such as arbitration clauses or agreements or internal dispute resolution mechanisms while the latter involve statutory provisions such as taking matters in their first instance before various tribunals (original jurisdiction of tribunals). </w:t>
      </w:r>
    </w:p>
    <w:p w14:paraId="20C312DA" w14:textId="77777777" w:rsidR="00737E66" w:rsidRPr="000D1016" w:rsidRDefault="00737E66" w:rsidP="000D1016">
      <w:pPr>
        <w:spacing w:after="0" w:line="360" w:lineRule="auto"/>
        <w:jc w:val="both"/>
        <w:rPr>
          <w:rFonts w:ascii="Times New Roman" w:eastAsia="Calibri" w:hAnsi="Times New Roman" w:cs="Times New Roman"/>
          <w:sz w:val="24"/>
          <w:szCs w:val="24"/>
          <w:lang w:val="en-GB"/>
        </w:rPr>
      </w:pPr>
      <w:r w:rsidRPr="000D1016">
        <w:rPr>
          <w:rFonts w:ascii="Times New Roman" w:eastAsia="Calibri" w:hAnsi="Times New Roman" w:cs="Times New Roman"/>
          <w:sz w:val="24"/>
          <w:szCs w:val="24"/>
          <w:lang w:val="en-GB"/>
        </w:rPr>
        <w:t xml:space="preserve">Courts have consistently upheld that where there exist other remedies specifically provided for in certain disputes, then parties need to explore those mechanisms before approaching them. This doctrine has been upheld by courts in their own motion when deciding whether they have jurisdiction and also at the insistence of parties through objections particularly preliminary objections as to jurisdiction. In </w:t>
      </w:r>
      <w:bookmarkStart w:id="1" w:name="_Hlk128206434"/>
      <w:r w:rsidRPr="000D1016">
        <w:rPr>
          <w:rFonts w:ascii="Times New Roman" w:eastAsia="Calibri" w:hAnsi="Times New Roman" w:cs="Times New Roman"/>
          <w:b/>
          <w:bCs/>
          <w:sz w:val="24"/>
          <w:szCs w:val="24"/>
          <w:lang w:val="en-GB"/>
        </w:rPr>
        <w:t xml:space="preserve">Mustafa Tobiko Ole </w:t>
      </w:r>
      <w:proofErr w:type="spellStart"/>
      <w:r w:rsidRPr="000D1016">
        <w:rPr>
          <w:rFonts w:ascii="Times New Roman" w:eastAsia="Calibri" w:hAnsi="Times New Roman" w:cs="Times New Roman"/>
          <w:b/>
          <w:bCs/>
          <w:sz w:val="24"/>
          <w:szCs w:val="24"/>
          <w:lang w:val="en-GB"/>
        </w:rPr>
        <w:t>Tampul</w:t>
      </w:r>
      <w:proofErr w:type="spellEnd"/>
      <w:r w:rsidRPr="000D1016">
        <w:rPr>
          <w:rFonts w:ascii="Times New Roman" w:eastAsia="Calibri" w:hAnsi="Times New Roman" w:cs="Times New Roman"/>
          <w:b/>
          <w:bCs/>
          <w:sz w:val="24"/>
          <w:szCs w:val="24"/>
          <w:lang w:val="en-GB"/>
        </w:rPr>
        <w:t xml:space="preserve"> v Hassan Ole </w:t>
      </w:r>
      <w:proofErr w:type="spellStart"/>
      <w:r w:rsidRPr="000D1016">
        <w:rPr>
          <w:rFonts w:ascii="Times New Roman" w:eastAsia="Calibri" w:hAnsi="Times New Roman" w:cs="Times New Roman"/>
          <w:b/>
          <w:bCs/>
          <w:sz w:val="24"/>
          <w:szCs w:val="24"/>
          <w:lang w:val="en-GB"/>
        </w:rPr>
        <w:t>Naado</w:t>
      </w:r>
      <w:proofErr w:type="spellEnd"/>
      <w:r w:rsidRPr="000D1016">
        <w:rPr>
          <w:rFonts w:ascii="Times New Roman" w:eastAsia="Calibri" w:hAnsi="Times New Roman" w:cs="Times New Roman"/>
          <w:b/>
          <w:bCs/>
          <w:sz w:val="24"/>
          <w:szCs w:val="24"/>
          <w:lang w:val="en-GB"/>
        </w:rPr>
        <w:t xml:space="preserve"> &amp; 17 others</w:t>
      </w:r>
      <w:bookmarkEnd w:id="1"/>
      <w:r w:rsidRPr="000D1016">
        <w:rPr>
          <w:rFonts w:ascii="Times New Roman" w:eastAsia="Calibri" w:hAnsi="Times New Roman" w:cs="Times New Roman"/>
          <w:b/>
          <w:bCs/>
          <w:sz w:val="24"/>
          <w:szCs w:val="24"/>
          <w:lang w:val="en-GB"/>
        </w:rPr>
        <w:t xml:space="preserve"> [2021] </w:t>
      </w:r>
      <w:proofErr w:type="spellStart"/>
      <w:r w:rsidRPr="000D1016">
        <w:rPr>
          <w:rFonts w:ascii="Times New Roman" w:eastAsia="Calibri" w:hAnsi="Times New Roman" w:cs="Times New Roman"/>
          <w:b/>
          <w:bCs/>
          <w:sz w:val="24"/>
          <w:szCs w:val="24"/>
          <w:lang w:val="en-GB"/>
        </w:rPr>
        <w:t>eKLR</w:t>
      </w:r>
      <w:proofErr w:type="spellEnd"/>
      <w:r w:rsidRPr="000D1016">
        <w:rPr>
          <w:rFonts w:ascii="Times New Roman" w:eastAsia="Calibri" w:hAnsi="Times New Roman" w:cs="Times New Roman"/>
          <w:sz w:val="24"/>
          <w:szCs w:val="24"/>
          <w:lang w:val="en-GB"/>
        </w:rPr>
        <w:t xml:space="preserve">, A. C. </w:t>
      </w:r>
      <w:proofErr w:type="spellStart"/>
      <w:r w:rsidRPr="000D1016">
        <w:rPr>
          <w:rFonts w:ascii="Times New Roman" w:eastAsia="Calibri" w:hAnsi="Times New Roman" w:cs="Times New Roman"/>
          <w:sz w:val="24"/>
          <w:szCs w:val="24"/>
          <w:lang w:val="en-GB"/>
        </w:rPr>
        <w:t>Mrima</w:t>
      </w:r>
      <w:proofErr w:type="spellEnd"/>
      <w:r w:rsidRPr="000D1016">
        <w:rPr>
          <w:rFonts w:ascii="Times New Roman" w:eastAsia="Calibri" w:hAnsi="Times New Roman" w:cs="Times New Roman"/>
          <w:sz w:val="24"/>
          <w:szCs w:val="24"/>
          <w:lang w:val="en-GB"/>
        </w:rPr>
        <w:t xml:space="preserve"> J. of the High Court referred to the doctrine by stating that:</w:t>
      </w:r>
    </w:p>
    <w:p w14:paraId="76B70032" w14:textId="77777777" w:rsidR="00737E66" w:rsidRPr="000D1016" w:rsidRDefault="00737E66" w:rsidP="000D1016">
      <w:pPr>
        <w:spacing w:after="0" w:line="360" w:lineRule="auto"/>
        <w:ind w:left="720"/>
        <w:jc w:val="both"/>
        <w:rPr>
          <w:rFonts w:ascii="Times New Roman" w:eastAsia="Calibri" w:hAnsi="Times New Roman" w:cs="Times New Roman"/>
          <w:i/>
          <w:iCs/>
          <w:sz w:val="24"/>
          <w:szCs w:val="24"/>
        </w:rPr>
      </w:pPr>
      <w:r w:rsidRPr="000D1016">
        <w:rPr>
          <w:rFonts w:ascii="Times New Roman" w:eastAsia="Calibri" w:hAnsi="Times New Roman" w:cs="Times New Roman"/>
          <w:i/>
          <w:iCs/>
          <w:sz w:val="24"/>
          <w:szCs w:val="24"/>
        </w:rPr>
        <w:t xml:space="preserve">“19. In interrogating the doctrine of exhaustion and its applicability in </w:t>
      </w:r>
      <w:proofErr w:type="spellStart"/>
      <w:r w:rsidRPr="000D1016">
        <w:rPr>
          <w:rFonts w:ascii="Times New Roman" w:eastAsia="Calibri" w:hAnsi="Times New Roman" w:cs="Times New Roman"/>
          <w:b/>
          <w:bCs/>
          <w:i/>
          <w:iCs/>
          <w:sz w:val="24"/>
          <w:szCs w:val="24"/>
        </w:rPr>
        <w:t>Borniface</w:t>
      </w:r>
      <w:proofErr w:type="spellEnd"/>
      <w:r w:rsidRPr="000D1016">
        <w:rPr>
          <w:rFonts w:ascii="Times New Roman" w:eastAsia="Calibri" w:hAnsi="Times New Roman" w:cs="Times New Roman"/>
          <w:b/>
          <w:bCs/>
          <w:i/>
          <w:iCs/>
          <w:sz w:val="24"/>
          <w:szCs w:val="24"/>
        </w:rPr>
        <w:t xml:space="preserve"> </w:t>
      </w:r>
      <w:proofErr w:type="spellStart"/>
      <w:r w:rsidRPr="000D1016">
        <w:rPr>
          <w:rFonts w:ascii="Times New Roman" w:eastAsia="Calibri" w:hAnsi="Times New Roman" w:cs="Times New Roman"/>
          <w:b/>
          <w:bCs/>
          <w:i/>
          <w:iCs/>
          <w:sz w:val="24"/>
          <w:szCs w:val="24"/>
        </w:rPr>
        <w:t>Akusala</w:t>
      </w:r>
      <w:proofErr w:type="spellEnd"/>
      <w:r w:rsidRPr="000D1016">
        <w:rPr>
          <w:rFonts w:ascii="Times New Roman" w:eastAsia="Calibri" w:hAnsi="Times New Roman" w:cs="Times New Roman"/>
          <w:b/>
          <w:bCs/>
          <w:i/>
          <w:iCs/>
          <w:sz w:val="24"/>
          <w:szCs w:val="24"/>
        </w:rPr>
        <w:t xml:space="preserve"> &amp; Another v. The Law Society of Kenya &amp; 12 Others</w:t>
      </w:r>
      <w:r w:rsidRPr="000D1016">
        <w:rPr>
          <w:rFonts w:ascii="Times New Roman" w:eastAsia="Calibri" w:hAnsi="Times New Roman" w:cs="Times New Roman"/>
          <w:i/>
          <w:iCs/>
          <w:sz w:val="24"/>
          <w:szCs w:val="24"/>
        </w:rPr>
        <w:t xml:space="preserve"> case (supra), the Court traced its origin as follows: - </w:t>
      </w:r>
    </w:p>
    <w:p w14:paraId="658F778C" w14:textId="77777777" w:rsidR="00737E66" w:rsidRPr="000D1016" w:rsidRDefault="00737E66" w:rsidP="000D1016">
      <w:pPr>
        <w:spacing w:after="0" w:line="360" w:lineRule="auto"/>
        <w:ind w:left="720"/>
        <w:jc w:val="both"/>
        <w:rPr>
          <w:rFonts w:ascii="Times New Roman" w:eastAsia="Calibri" w:hAnsi="Times New Roman" w:cs="Times New Roman"/>
          <w:i/>
          <w:iCs/>
          <w:sz w:val="24"/>
          <w:szCs w:val="24"/>
        </w:rPr>
      </w:pPr>
      <w:r w:rsidRPr="000D1016">
        <w:rPr>
          <w:rFonts w:ascii="Times New Roman" w:eastAsia="Calibri" w:hAnsi="Times New Roman" w:cs="Times New Roman"/>
          <w:i/>
          <w:iCs/>
          <w:sz w:val="24"/>
          <w:szCs w:val="24"/>
        </w:rPr>
        <w:t xml:space="preserve">25. The doctrine of exhaustion in Kenya </w:t>
      </w:r>
      <w:r w:rsidRPr="000D1016">
        <w:rPr>
          <w:rFonts w:ascii="Times New Roman" w:eastAsia="Calibri" w:hAnsi="Times New Roman" w:cs="Times New Roman"/>
          <w:b/>
          <w:bCs/>
          <w:i/>
          <w:iCs/>
          <w:sz w:val="24"/>
          <w:szCs w:val="24"/>
          <w:u w:val="single"/>
        </w:rPr>
        <w:t>traces its origin from Article 159(2)(c)</w:t>
      </w:r>
      <w:r w:rsidRPr="000D1016">
        <w:rPr>
          <w:rFonts w:ascii="Times New Roman" w:eastAsia="Calibri" w:hAnsi="Times New Roman" w:cs="Times New Roman"/>
          <w:i/>
          <w:iCs/>
          <w:sz w:val="24"/>
          <w:szCs w:val="24"/>
        </w:rPr>
        <w:t xml:space="preserve"> of the Constitution which recognizes and entrenches the use of alternative mechanisms of dispute resolution…</w:t>
      </w:r>
      <w:proofErr w:type="gramStart"/>
      <w:r w:rsidRPr="000D1016">
        <w:rPr>
          <w:rFonts w:ascii="Times New Roman" w:eastAsia="Calibri" w:hAnsi="Times New Roman" w:cs="Times New Roman"/>
          <w:i/>
          <w:iCs/>
          <w:sz w:val="24"/>
          <w:szCs w:val="24"/>
        </w:rPr>
        <w:t>…..</w:t>
      </w:r>
      <w:proofErr w:type="gramEnd"/>
    </w:p>
    <w:p w14:paraId="4BEA1997" w14:textId="77777777" w:rsidR="00737E66" w:rsidRPr="000D1016" w:rsidRDefault="00737E66" w:rsidP="000D1016">
      <w:pPr>
        <w:spacing w:after="0" w:line="360" w:lineRule="auto"/>
        <w:ind w:left="720"/>
        <w:jc w:val="both"/>
        <w:rPr>
          <w:rFonts w:ascii="Times New Roman" w:eastAsia="Calibri" w:hAnsi="Times New Roman" w:cs="Times New Roman"/>
          <w:sz w:val="24"/>
          <w:szCs w:val="24"/>
        </w:rPr>
      </w:pPr>
      <w:r w:rsidRPr="000D1016">
        <w:rPr>
          <w:rFonts w:ascii="Times New Roman" w:eastAsia="Calibri" w:hAnsi="Times New Roman" w:cs="Times New Roman"/>
          <w:i/>
          <w:iCs/>
          <w:sz w:val="24"/>
          <w:szCs w:val="24"/>
        </w:rPr>
        <w:t xml:space="preserve">20. The doctrine of exhaustion was comprehensively dealt with by a 5-Judge Bench in Mombasa High Court Constitutional Petition No. 159 of 2018 consolidated with Constitutional Petition No. 201 of 2019 </w:t>
      </w:r>
      <w:r w:rsidRPr="000D1016">
        <w:rPr>
          <w:rFonts w:ascii="Times New Roman" w:eastAsia="Calibri" w:hAnsi="Times New Roman" w:cs="Times New Roman"/>
          <w:b/>
          <w:bCs/>
          <w:i/>
          <w:iCs/>
          <w:sz w:val="24"/>
          <w:szCs w:val="24"/>
        </w:rPr>
        <w:t xml:space="preserve">William Odhiambo </w:t>
      </w:r>
      <w:proofErr w:type="spellStart"/>
      <w:r w:rsidRPr="000D1016">
        <w:rPr>
          <w:rFonts w:ascii="Times New Roman" w:eastAsia="Calibri" w:hAnsi="Times New Roman" w:cs="Times New Roman"/>
          <w:b/>
          <w:bCs/>
          <w:i/>
          <w:iCs/>
          <w:sz w:val="24"/>
          <w:szCs w:val="24"/>
        </w:rPr>
        <w:t>Ramogi</w:t>
      </w:r>
      <w:proofErr w:type="spellEnd"/>
      <w:r w:rsidRPr="000D1016">
        <w:rPr>
          <w:rFonts w:ascii="Times New Roman" w:eastAsia="Calibri" w:hAnsi="Times New Roman" w:cs="Times New Roman"/>
          <w:b/>
          <w:bCs/>
          <w:i/>
          <w:iCs/>
          <w:sz w:val="24"/>
          <w:szCs w:val="24"/>
        </w:rPr>
        <w:t xml:space="preserve"> &amp; 3 others v </w:t>
      </w:r>
    </w:p>
    <w:p w14:paraId="6EE486A0" w14:textId="77777777" w:rsidR="00737E66" w:rsidRPr="000D1016" w:rsidRDefault="00737E66" w:rsidP="000D1016">
      <w:pPr>
        <w:spacing w:after="0" w:line="360" w:lineRule="auto"/>
        <w:ind w:left="720"/>
        <w:jc w:val="both"/>
        <w:rPr>
          <w:rFonts w:ascii="Times New Roman" w:eastAsia="Calibri" w:hAnsi="Times New Roman" w:cs="Times New Roman"/>
          <w:sz w:val="24"/>
          <w:szCs w:val="24"/>
        </w:rPr>
      </w:pPr>
      <w:r w:rsidRPr="000D1016">
        <w:rPr>
          <w:rFonts w:ascii="Times New Roman" w:eastAsia="Calibri" w:hAnsi="Times New Roman" w:cs="Times New Roman"/>
          <w:b/>
          <w:bCs/>
          <w:i/>
          <w:iCs/>
          <w:sz w:val="24"/>
          <w:szCs w:val="24"/>
        </w:rPr>
        <w:t>Attorney General &amp; 4 others; Muslims for Human Rights &amp; 2 others (Interested Parties)</w:t>
      </w:r>
      <w:r w:rsidRPr="000D1016">
        <w:rPr>
          <w:rFonts w:ascii="Times New Roman" w:eastAsia="Calibri" w:hAnsi="Times New Roman" w:cs="Times New Roman"/>
          <w:sz w:val="24"/>
          <w:szCs w:val="24"/>
        </w:rPr>
        <w:t xml:space="preserve"> (2020) </w:t>
      </w:r>
      <w:proofErr w:type="spellStart"/>
      <w:r w:rsidRPr="000D1016">
        <w:rPr>
          <w:rFonts w:ascii="Times New Roman" w:eastAsia="Calibri" w:hAnsi="Times New Roman" w:cs="Times New Roman"/>
          <w:sz w:val="24"/>
          <w:szCs w:val="24"/>
        </w:rPr>
        <w:t>eKLR</w:t>
      </w:r>
      <w:proofErr w:type="spellEnd"/>
      <w:r w:rsidRPr="000D1016">
        <w:rPr>
          <w:rFonts w:ascii="Times New Roman" w:eastAsia="Calibri" w:hAnsi="Times New Roman" w:cs="Times New Roman"/>
          <w:b/>
          <w:bCs/>
          <w:i/>
          <w:iCs/>
          <w:sz w:val="24"/>
          <w:szCs w:val="24"/>
        </w:rPr>
        <w:t>.</w:t>
      </w:r>
      <w:r w:rsidRPr="000D1016">
        <w:rPr>
          <w:rFonts w:ascii="Times New Roman" w:eastAsia="Calibri" w:hAnsi="Times New Roman" w:cs="Times New Roman"/>
          <w:sz w:val="24"/>
          <w:szCs w:val="24"/>
        </w:rPr>
        <w:t xml:space="preserve"> The Court stated as follows: - </w:t>
      </w:r>
    </w:p>
    <w:p w14:paraId="500DA0FC" w14:textId="77777777" w:rsidR="00737E66" w:rsidRPr="000D1016" w:rsidRDefault="00737E66" w:rsidP="000D1016">
      <w:pPr>
        <w:spacing w:after="0" w:line="360" w:lineRule="auto"/>
        <w:ind w:left="720"/>
        <w:jc w:val="both"/>
        <w:rPr>
          <w:rFonts w:ascii="Times New Roman" w:eastAsia="Calibri" w:hAnsi="Times New Roman" w:cs="Times New Roman"/>
          <w:sz w:val="24"/>
          <w:szCs w:val="24"/>
        </w:rPr>
      </w:pPr>
      <w:r w:rsidRPr="000D1016">
        <w:rPr>
          <w:rFonts w:ascii="Times New Roman" w:eastAsia="Calibri" w:hAnsi="Times New Roman" w:cs="Times New Roman"/>
          <w:i/>
          <w:iCs/>
          <w:sz w:val="24"/>
          <w:szCs w:val="24"/>
        </w:rPr>
        <w:lastRenderedPageBreak/>
        <w:t xml:space="preserve">52. The question of exhaustion of administrative remedies arises when a litigant, aggrieved by an agency's action, seeks redress from a Court of law on an action without pursuing available remedies before the agency itself. The exhaustion doctrine serves the purpose of ensuring that there is a postponement of judicial consideration of matters to ensure </w:t>
      </w:r>
      <w:r w:rsidRPr="000D1016">
        <w:rPr>
          <w:rFonts w:ascii="Times New Roman" w:eastAsia="Calibri" w:hAnsi="Times New Roman" w:cs="Times New Roman"/>
          <w:b/>
          <w:bCs/>
          <w:i/>
          <w:iCs/>
          <w:sz w:val="24"/>
          <w:szCs w:val="24"/>
          <w:u w:val="single"/>
        </w:rPr>
        <w:t>that a party is, first of all, diligent in the protection of his own interest within the mechanisms in place for resolution outside the Courts. This encourages alternative dispute resolution mechanisms in line with Article 159 of the Constitution</w:t>
      </w:r>
      <w:r w:rsidRPr="000D1016">
        <w:rPr>
          <w:rFonts w:ascii="Times New Roman" w:eastAsia="Calibri" w:hAnsi="Times New Roman" w:cs="Times New Roman"/>
          <w:i/>
          <w:iCs/>
          <w:sz w:val="24"/>
          <w:szCs w:val="24"/>
        </w:rPr>
        <w:t xml:space="preserve"> and was aptly elucidated by the High Court in </w:t>
      </w:r>
      <w:r w:rsidRPr="000D1016">
        <w:rPr>
          <w:rFonts w:ascii="Times New Roman" w:eastAsia="Calibri" w:hAnsi="Times New Roman" w:cs="Times New Roman"/>
          <w:b/>
          <w:bCs/>
          <w:i/>
          <w:iCs/>
          <w:sz w:val="24"/>
          <w:szCs w:val="24"/>
        </w:rPr>
        <w:t xml:space="preserve">R vs. Independent Electoral and Boundaries Commission (I.E.B.C) Ex Parte National Super Alliance (NASA) Kenya and 6 others [2017] </w:t>
      </w:r>
      <w:proofErr w:type="spellStart"/>
      <w:r w:rsidRPr="000D1016">
        <w:rPr>
          <w:rFonts w:ascii="Times New Roman" w:eastAsia="Calibri" w:hAnsi="Times New Roman" w:cs="Times New Roman"/>
          <w:b/>
          <w:bCs/>
          <w:i/>
          <w:iCs/>
          <w:sz w:val="24"/>
          <w:szCs w:val="24"/>
        </w:rPr>
        <w:t>eKLR</w:t>
      </w:r>
      <w:proofErr w:type="spellEnd"/>
      <w:r w:rsidRPr="000D1016">
        <w:rPr>
          <w:rFonts w:ascii="Times New Roman" w:eastAsia="Calibri" w:hAnsi="Times New Roman" w:cs="Times New Roman"/>
          <w:b/>
          <w:bCs/>
          <w:i/>
          <w:iCs/>
          <w:sz w:val="24"/>
          <w:szCs w:val="24"/>
        </w:rPr>
        <w:t>,</w:t>
      </w:r>
      <w:r w:rsidRPr="000D1016">
        <w:rPr>
          <w:rFonts w:ascii="Times New Roman" w:eastAsia="Calibri" w:hAnsi="Times New Roman" w:cs="Times New Roman"/>
          <w:i/>
          <w:iCs/>
          <w:sz w:val="24"/>
          <w:szCs w:val="24"/>
        </w:rPr>
        <w:t xml:space="preserve"> where the Court opined thus: </w:t>
      </w:r>
    </w:p>
    <w:p w14:paraId="35E5BCF0" w14:textId="77777777" w:rsidR="00737E66" w:rsidRPr="000D1016" w:rsidRDefault="00737E66" w:rsidP="000D1016">
      <w:pPr>
        <w:spacing w:after="0" w:line="360" w:lineRule="auto"/>
        <w:ind w:left="720"/>
        <w:jc w:val="both"/>
        <w:rPr>
          <w:rFonts w:ascii="Times New Roman" w:eastAsia="Calibri" w:hAnsi="Times New Roman" w:cs="Times New Roman"/>
          <w:sz w:val="24"/>
          <w:szCs w:val="24"/>
        </w:rPr>
      </w:pPr>
      <w:r w:rsidRPr="000D1016">
        <w:rPr>
          <w:rFonts w:ascii="Times New Roman" w:eastAsia="Calibri" w:hAnsi="Times New Roman" w:cs="Times New Roman"/>
          <w:i/>
          <w:iCs/>
          <w:sz w:val="24"/>
          <w:szCs w:val="24"/>
        </w:rPr>
        <w:t xml:space="preserve">42. This doctrine is now of esteemed juridical lineage in Kenya. It was perhaps most felicitously stated by the Court of Appeal in </w:t>
      </w:r>
      <w:r w:rsidRPr="000D1016">
        <w:rPr>
          <w:rFonts w:ascii="Times New Roman" w:eastAsia="Calibri" w:hAnsi="Times New Roman" w:cs="Times New Roman"/>
          <w:b/>
          <w:bCs/>
          <w:i/>
          <w:iCs/>
          <w:sz w:val="24"/>
          <w:szCs w:val="24"/>
        </w:rPr>
        <w:t xml:space="preserve">Speaker of National Assembly v </w:t>
      </w:r>
      <w:proofErr w:type="spellStart"/>
      <w:r w:rsidRPr="000D1016">
        <w:rPr>
          <w:rFonts w:ascii="Times New Roman" w:eastAsia="Calibri" w:hAnsi="Times New Roman" w:cs="Times New Roman"/>
          <w:b/>
          <w:bCs/>
          <w:i/>
          <w:iCs/>
          <w:sz w:val="24"/>
          <w:szCs w:val="24"/>
        </w:rPr>
        <w:t>Karume</w:t>
      </w:r>
      <w:proofErr w:type="spellEnd"/>
      <w:r w:rsidRPr="000D1016">
        <w:rPr>
          <w:rFonts w:ascii="Times New Roman" w:eastAsia="Calibri" w:hAnsi="Times New Roman" w:cs="Times New Roman"/>
          <w:b/>
          <w:bCs/>
          <w:i/>
          <w:iCs/>
          <w:sz w:val="24"/>
          <w:szCs w:val="24"/>
        </w:rPr>
        <w:t xml:space="preserve"> [1992] KLR 21</w:t>
      </w:r>
      <w:r w:rsidRPr="000D1016">
        <w:rPr>
          <w:rFonts w:ascii="Times New Roman" w:eastAsia="Calibri" w:hAnsi="Times New Roman" w:cs="Times New Roman"/>
          <w:i/>
          <w:iCs/>
          <w:sz w:val="24"/>
          <w:szCs w:val="24"/>
        </w:rPr>
        <w:t xml:space="preserve"> in the following oft-repeated words: </w:t>
      </w:r>
    </w:p>
    <w:p w14:paraId="498E116A" w14:textId="77777777" w:rsidR="00737E66" w:rsidRPr="000D1016" w:rsidRDefault="00737E66" w:rsidP="000D1016">
      <w:pPr>
        <w:spacing w:after="0" w:line="360" w:lineRule="auto"/>
        <w:ind w:left="720"/>
        <w:jc w:val="both"/>
        <w:rPr>
          <w:rFonts w:ascii="Times New Roman" w:eastAsia="Calibri" w:hAnsi="Times New Roman" w:cs="Times New Roman"/>
          <w:sz w:val="24"/>
          <w:szCs w:val="24"/>
        </w:rPr>
      </w:pPr>
      <w:r w:rsidRPr="000D1016">
        <w:rPr>
          <w:rFonts w:ascii="Times New Roman" w:eastAsia="Calibri" w:hAnsi="Times New Roman" w:cs="Times New Roman"/>
          <w:b/>
          <w:bCs/>
          <w:i/>
          <w:iCs/>
          <w:sz w:val="24"/>
          <w:szCs w:val="24"/>
          <w:u w:val="single"/>
        </w:rPr>
        <w:t>Where there is a clear procedure for redress of any particular grievance prescribed by the Constitution or an Act of Parliament, that procedure should be strictly followed.</w:t>
      </w:r>
      <w:r w:rsidRPr="000D1016">
        <w:rPr>
          <w:rFonts w:ascii="Times New Roman" w:eastAsia="Calibri" w:hAnsi="Times New Roman" w:cs="Times New Roman"/>
          <w:i/>
          <w:iCs/>
          <w:sz w:val="24"/>
          <w:szCs w:val="24"/>
        </w:rPr>
        <w:t xml:space="preserve"> Accordingly, the special procedure provided by any law must be strictly adhered to since there are good reasons for such special procedures. </w:t>
      </w:r>
    </w:p>
    <w:p w14:paraId="6A3EDB42" w14:textId="77777777" w:rsidR="00737E66" w:rsidRPr="000D1016" w:rsidRDefault="00737E66" w:rsidP="000D1016">
      <w:pPr>
        <w:spacing w:after="0" w:line="360" w:lineRule="auto"/>
        <w:ind w:left="720"/>
        <w:jc w:val="both"/>
        <w:rPr>
          <w:rFonts w:ascii="Times New Roman" w:eastAsia="Calibri" w:hAnsi="Times New Roman" w:cs="Times New Roman"/>
          <w:i/>
          <w:iCs/>
          <w:sz w:val="24"/>
          <w:szCs w:val="24"/>
        </w:rPr>
      </w:pPr>
      <w:r w:rsidRPr="000D1016">
        <w:rPr>
          <w:rFonts w:ascii="Times New Roman" w:eastAsia="Calibri" w:hAnsi="Times New Roman" w:cs="Times New Roman"/>
          <w:i/>
          <w:iCs/>
          <w:sz w:val="24"/>
          <w:szCs w:val="24"/>
        </w:rPr>
        <w:t>43. While this case was decided before the Constitution of Kenya 2010 was promulgated, many cases in the post-2010 era have</w:t>
      </w:r>
      <w:r w:rsidRPr="000D1016">
        <w:rPr>
          <w:rFonts w:ascii="Times New Roman" w:eastAsia="Times New Roman" w:hAnsi="Times New Roman" w:cs="Times New Roman"/>
          <w:i/>
          <w:iCs/>
          <w:color w:val="000000"/>
          <w:sz w:val="24"/>
          <w:szCs w:val="24"/>
        </w:rPr>
        <w:t xml:space="preserve"> </w:t>
      </w:r>
      <w:r w:rsidRPr="000D1016">
        <w:rPr>
          <w:rFonts w:ascii="Times New Roman" w:eastAsia="Calibri" w:hAnsi="Times New Roman" w:cs="Times New Roman"/>
          <w:i/>
          <w:iCs/>
          <w:sz w:val="24"/>
          <w:szCs w:val="24"/>
        </w:rPr>
        <w:t xml:space="preserve">found the reasoning sound and provided justification and rationale for the doctrine under the 2010 Constitution. We can do no better in this regard than cite another Court of Appeal decision which provides the Constitutional rationale and basis for the doctrine. </w:t>
      </w:r>
    </w:p>
    <w:p w14:paraId="086E6552" w14:textId="77777777" w:rsidR="00737E66" w:rsidRPr="000D1016" w:rsidRDefault="00737E66" w:rsidP="000D1016">
      <w:pPr>
        <w:spacing w:after="0" w:line="360" w:lineRule="auto"/>
        <w:ind w:left="720"/>
        <w:jc w:val="both"/>
        <w:rPr>
          <w:rFonts w:ascii="Times New Roman" w:eastAsia="Calibri" w:hAnsi="Times New Roman" w:cs="Times New Roman"/>
          <w:i/>
          <w:iCs/>
          <w:sz w:val="24"/>
          <w:szCs w:val="24"/>
        </w:rPr>
      </w:pPr>
      <w:r w:rsidRPr="000D1016">
        <w:rPr>
          <w:rFonts w:ascii="Times New Roman" w:eastAsia="Calibri" w:hAnsi="Times New Roman" w:cs="Times New Roman"/>
          <w:i/>
          <w:iCs/>
          <w:sz w:val="24"/>
          <w:szCs w:val="24"/>
        </w:rPr>
        <w:t xml:space="preserve">This is </w:t>
      </w:r>
      <w:r w:rsidRPr="000D1016">
        <w:rPr>
          <w:rFonts w:ascii="Times New Roman" w:eastAsia="Calibri" w:hAnsi="Times New Roman" w:cs="Times New Roman"/>
          <w:b/>
          <w:bCs/>
          <w:i/>
          <w:iCs/>
          <w:sz w:val="24"/>
          <w:szCs w:val="24"/>
        </w:rPr>
        <w:t xml:space="preserve">Geoffrey </w:t>
      </w:r>
      <w:proofErr w:type="spellStart"/>
      <w:r w:rsidRPr="000D1016">
        <w:rPr>
          <w:rFonts w:ascii="Times New Roman" w:eastAsia="Calibri" w:hAnsi="Times New Roman" w:cs="Times New Roman"/>
          <w:b/>
          <w:bCs/>
          <w:i/>
          <w:iCs/>
          <w:sz w:val="24"/>
          <w:szCs w:val="24"/>
        </w:rPr>
        <w:t>Muthiga</w:t>
      </w:r>
      <w:proofErr w:type="spellEnd"/>
      <w:r w:rsidRPr="000D1016">
        <w:rPr>
          <w:rFonts w:ascii="Times New Roman" w:eastAsia="Calibri" w:hAnsi="Times New Roman" w:cs="Times New Roman"/>
          <w:b/>
          <w:bCs/>
          <w:i/>
          <w:iCs/>
          <w:sz w:val="24"/>
          <w:szCs w:val="24"/>
        </w:rPr>
        <w:t xml:space="preserve"> Kabiru &amp; 2 others – vs- Samuel </w:t>
      </w:r>
      <w:proofErr w:type="spellStart"/>
      <w:r w:rsidRPr="000D1016">
        <w:rPr>
          <w:rFonts w:ascii="Times New Roman" w:eastAsia="Calibri" w:hAnsi="Times New Roman" w:cs="Times New Roman"/>
          <w:b/>
          <w:bCs/>
          <w:i/>
          <w:iCs/>
          <w:sz w:val="24"/>
          <w:szCs w:val="24"/>
        </w:rPr>
        <w:t>Munga</w:t>
      </w:r>
      <w:proofErr w:type="spellEnd"/>
      <w:r w:rsidRPr="000D1016">
        <w:rPr>
          <w:rFonts w:ascii="Times New Roman" w:eastAsia="Calibri" w:hAnsi="Times New Roman" w:cs="Times New Roman"/>
          <w:b/>
          <w:bCs/>
          <w:i/>
          <w:iCs/>
          <w:sz w:val="24"/>
          <w:szCs w:val="24"/>
        </w:rPr>
        <w:t xml:space="preserve"> Henry &amp; 1756 others [2015] </w:t>
      </w:r>
      <w:proofErr w:type="spellStart"/>
      <w:r w:rsidRPr="000D1016">
        <w:rPr>
          <w:rFonts w:ascii="Times New Roman" w:eastAsia="Calibri" w:hAnsi="Times New Roman" w:cs="Times New Roman"/>
          <w:b/>
          <w:bCs/>
          <w:i/>
          <w:iCs/>
          <w:sz w:val="24"/>
          <w:szCs w:val="24"/>
        </w:rPr>
        <w:t>eKLR</w:t>
      </w:r>
      <w:proofErr w:type="spellEnd"/>
      <w:r w:rsidRPr="000D1016">
        <w:rPr>
          <w:rFonts w:ascii="Times New Roman" w:eastAsia="Calibri" w:hAnsi="Times New Roman" w:cs="Times New Roman"/>
          <w:b/>
          <w:bCs/>
          <w:i/>
          <w:iCs/>
          <w:sz w:val="24"/>
          <w:szCs w:val="24"/>
        </w:rPr>
        <w:t>,</w:t>
      </w:r>
      <w:r w:rsidRPr="000D1016">
        <w:rPr>
          <w:rFonts w:ascii="Times New Roman" w:eastAsia="Calibri" w:hAnsi="Times New Roman" w:cs="Times New Roman"/>
          <w:i/>
          <w:iCs/>
          <w:sz w:val="24"/>
          <w:szCs w:val="24"/>
        </w:rPr>
        <w:t xml:space="preserve"> where the Court of Appeal stated that: </w:t>
      </w:r>
    </w:p>
    <w:p w14:paraId="0E31B550" w14:textId="77777777" w:rsidR="00737E66" w:rsidRPr="000D1016" w:rsidRDefault="00737E66" w:rsidP="000D1016">
      <w:pPr>
        <w:spacing w:after="0" w:line="360" w:lineRule="auto"/>
        <w:ind w:left="720"/>
        <w:jc w:val="both"/>
        <w:rPr>
          <w:rFonts w:ascii="Times New Roman" w:eastAsia="Calibri" w:hAnsi="Times New Roman" w:cs="Times New Roman"/>
          <w:i/>
          <w:iCs/>
          <w:sz w:val="24"/>
          <w:szCs w:val="24"/>
        </w:rPr>
      </w:pPr>
      <w:r w:rsidRPr="000D1016">
        <w:rPr>
          <w:rFonts w:ascii="Times New Roman" w:eastAsia="Calibri" w:hAnsi="Times New Roman" w:cs="Times New Roman"/>
          <w:b/>
          <w:bCs/>
          <w:i/>
          <w:iCs/>
          <w:sz w:val="24"/>
          <w:szCs w:val="24"/>
          <w:u w:val="single"/>
        </w:rPr>
        <w:t>It is imperative that where a dispute resolution mechanism exists outside Courts, the same be exhausted before the jurisdiction of the Courts is invoked. Courts ought to be fora of last resort and not the first port of call the moment a storm brews</w:t>
      </w:r>
      <w:r w:rsidRPr="000D1016">
        <w:rPr>
          <w:rFonts w:ascii="Times New Roman" w:eastAsia="Calibri" w:hAnsi="Times New Roman" w:cs="Times New Roman"/>
          <w:i/>
          <w:iCs/>
          <w:sz w:val="24"/>
          <w:szCs w:val="24"/>
        </w:rPr>
        <w:t xml:space="preserve">…The exhaustion doctrine is a sound one and serves the purpose of ensuring that there is a postponement of judicial consideration of matters </w:t>
      </w:r>
      <w:r w:rsidRPr="000D1016">
        <w:rPr>
          <w:rFonts w:ascii="Times New Roman" w:eastAsia="Calibri" w:hAnsi="Times New Roman" w:cs="Times New Roman"/>
          <w:b/>
          <w:bCs/>
          <w:i/>
          <w:iCs/>
          <w:sz w:val="24"/>
          <w:szCs w:val="24"/>
          <w:u w:val="single"/>
        </w:rPr>
        <w:t>to ensure that a party is first of all diligent in the protection of his own interest within the mechanisms in place for resolution outside the Courts.</w:t>
      </w:r>
      <w:r w:rsidRPr="000D1016">
        <w:rPr>
          <w:rFonts w:ascii="Times New Roman" w:eastAsia="Calibri" w:hAnsi="Times New Roman" w:cs="Times New Roman"/>
          <w:i/>
          <w:iCs/>
          <w:sz w:val="24"/>
          <w:szCs w:val="24"/>
        </w:rPr>
        <w:t xml:space="preserve"> The Ex Parte Applicants argue that this accords with Article 159 of the </w:t>
      </w:r>
      <w:r w:rsidRPr="000D1016">
        <w:rPr>
          <w:rFonts w:ascii="Times New Roman" w:eastAsia="Calibri" w:hAnsi="Times New Roman" w:cs="Times New Roman"/>
          <w:i/>
          <w:iCs/>
          <w:sz w:val="24"/>
          <w:szCs w:val="24"/>
        </w:rPr>
        <w:lastRenderedPageBreak/>
        <w:t>Constitution which commands Courts to encourage alternative means of dispute resolution.”</w:t>
      </w:r>
    </w:p>
    <w:p w14:paraId="24056C38" w14:textId="77777777" w:rsidR="00737E66" w:rsidRPr="000D1016" w:rsidRDefault="00737E66" w:rsidP="000D1016">
      <w:pPr>
        <w:spacing w:after="0" w:line="360" w:lineRule="auto"/>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The case law above show that courts are bound to set aside a matter until the dispute goes through any remedy provided for by law. The reasons given are:</w:t>
      </w:r>
    </w:p>
    <w:p w14:paraId="7F1575FC" w14:textId="77777777" w:rsidR="00737E66" w:rsidRPr="000D1016" w:rsidRDefault="00737E66" w:rsidP="000D1016">
      <w:pPr>
        <w:numPr>
          <w:ilvl w:val="0"/>
          <w:numId w:val="6"/>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 xml:space="preserve">firstly, to ensure a party is diligent in protecting their rights; and </w:t>
      </w:r>
    </w:p>
    <w:p w14:paraId="755C35FC" w14:textId="77777777" w:rsidR="00737E66" w:rsidRPr="000D1016" w:rsidRDefault="00737E66" w:rsidP="000D1016">
      <w:pPr>
        <w:numPr>
          <w:ilvl w:val="0"/>
          <w:numId w:val="6"/>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 xml:space="preserve">secondly it is provided by law to operationalize Article 159(2)(c) on ADR. </w:t>
      </w:r>
    </w:p>
    <w:p w14:paraId="6D90050C" w14:textId="77777777" w:rsidR="00737E66" w:rsidRPr="000D1016" w:rsidRDefault="00737E66" w:rsidP="000D1016">
      <w:pPr>
        <w:spacing w:after="0" w:line="360" w:lineRule="auto"/>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 xml:space="preserve">Moreover, closely tied to the former is the need to stop frivolous litigation, abuse of the court process, and consequently reduce backlog of cases in courts. </w:t>
      </w:r>
    </w:p>
    <w:p w14:paraId="491E8AFB" w14:textId="77777777" w:rsidR="00737E66" w:rsidRPr="000D1016" w:rsidRDefault="00737E66" w:rsidP="000D1016">
      <w:pPr>
        <w:spacing w:after="0" w:line="360" w:lineRule="auto"/>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However, the doctrine is not absolute as there exists exceptions provided for indirectly by law especially in constitutional and Bill of Rights matters and recognized by courts. These limitations include among others:</w:t>
      </w:r>
    </w:p>
    <w:p w14:paraId="33C68F22" w14:textId="77777777" w:rsidR="00737E66" w:rsidRPr="000D1016" w:rsidRDefault="00737E66" w:rsidP="000D1016">
      <w:pPr>
        <w:numPr>
          <w:ilvl w:val="0"/>
          <w:numId w:val="5"/>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 xml:space="preserve">matters of public interest such as constitutional matters; </w:t>
      </w:r>
    </w:p>
    <w:p w14:paraId="636DDDEC" w14:textId="77777777" w:rsidR="00737E66" w:rsidRPr="000D1016" w:rsidRDefault="00737E66" w:rsidP="000D1016">
      <w:pPr>
        <w:numPr>
          <w:ilvl w:val="0"/>
          <w:numId w:val="5"/>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 xml:space="preserve">contraventions of the bill of rights; and </w:t>
      </w:r>
    </w:p>
    <w:p w14:paraId="08E78705" w14:textId="77777777" w:rsidR="00737E66" w:rsidRPr="000D1016" w:rsidRDefault="00737E66" w:rsidP="000D1016">
      <w:pPr>
        <w:numPr>
          <w:ilvl w:val="0"/>
          <w:numId w:val="5"/>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a flawed internal dispute resolution mechanism which would effectively rob a party of justice due to unfairness, unreasonableness, and violations of the natural principles of justice.</w:t>
      </w:r>
    </w:p>
    <w:p w14:paraId="35338DF4" w14:textId="77777777" w:rsidR="00737E66" w:rsidRPr="000D1016" w:rsidRDefault="00737E66" w:rsidP="000D1016">
      <w:pPr>
        <w:spacing w:after="0" w:line="360" w:lineRule="auto"/>
        <w:jc w:val="both"/>
        <w:rPr>
          <w:rFonts w:ascii="Times New Roman" w:eastAsia="Calibri" w:hAnsi="Times New Roman" w:cs="Times New Roman"/>
          <w:sz w:val="24"/>
          <w:szCs w:val="24"/>
          <w:lang w:val="en-GB"/>
        </w:rPr>
      </w:pPr>
      <w:r w:rsidRPr="000D1016">
        <w:rPr>
          <w:rFonts w:ascii="Times New Roman" w:eastAsia="Calibri" w:hAnsi="Times New Roman" w:cs="Times New Roman"/>
          <w:sz w:val="24"/>
          <w:szCs w:val="24"/>
        </w:rPr>
        <w:t xml:space="preserve">In </w:t>
      </w:r>
      <w:r w:rsidRPr="000D1016">
        <w:rPr>
          <w:rFonts w:ascii="Times New Roman" w:eastAsia="Calibri" w:hAnsi="Times New Roman" w:cs="Times New Roman"/>
          <w:b/>
          <w:bCs/>
          <w:sz w:val="24"/>
          <w:szCs w:val="24"/>
          <w:lang w:val="en-GB"/>
        </w:rPr>
        <w:t xml:space="preserve">Mustafa Tobiko Ole </w:t>
      </w:r>
      <w:proofErr w:type="spellStart"/>
      <w:r w:rsidRPr="000D1016">
        <w:rPr>
          <w:rFonts w:ascii="Times New Roman" w:eastAsia="Calibri" w:hAnsi="Times New Roman" w:cs="Times New Roman"/>
          <w:b/>
          <w:bCs/>
          <w:sz w:val="24"/>
          <w:szCs w:val="24"/>
          <w:lang w:val="en-GB"/>
        </w:rPr>
        <w:t>Tampul</w:t>
      </w:r>
      <w:proofErr w:type="spellEnd"/>
      <w:r w:rsidRPr="000D1016">
        <w:rPr>
          <w:rFonts w:ascii="Times New Roman" w:eastAsia="Calibri" w:hAnsi="Times New Roman" w:cs="Times New Roman"/>
          <w:b/>
          <w:bCs/>
          <w:sz w:val="24"/>
          <w:szCs w:val="24"/>
          <w:lang w:val="en-GB"/>
        </w:rPr>
        <w:t xml:space="preserve"> v Hassan Ole </w:t>
      </w:r>
      <w:proofErr w:type="spellStart"/>
      <w:r w:rsidRPr="000D1016">
        <w:rPr>
          <w:rFonts w:ascii="Times New Roman" w:eastAsia="Calibri" w:hAnsi="Times New Roman" w:cs="Times New Roman"/>
          <w:b/>
          <w:bCs/>
          <w:sz w:val="24"/>
          <w:szCs w:val="24"/>
          <w:lang w:val="en-GB"/>
        </w:rPr>
        <w:t>Naado</w:t>
      </w:r>
      <w:proofErr w:type="spellEnd"/>
      <w:r w:rsidRPr="000D1016">
        <w:rPr>
          <w:rFonts w:ascii="Times New Roman" w:eastAsia="Calibri" w:hAnsi="Times New Roman" w:cs="Times New Roman"/>
          <w:b/>
          <w:bCs/>
          <w:sz w:val="24"/>
          <w:szCs w:val="24"/>
          <w:lang w:val="en-GB"/>
        </w:rPr>
        <w:t xml:space="preserve"> &amp; 17 others, </w:t>
      </w:r>
      <w:r w:rsidRPr="000D1016">
        <w:rPr>
          <w:rFonts w:ascii="Times New Roman" w:eastAsia="Calibri" w:hAnsi="Times New Roman" w:cs="Times New Roman"/>
          <w:sz w:val="24"/>
          <w:szCs w:val="24"/>
          <w:lang w:val="en-GB"/>
        </w:rPr>
        <w:t xml:space="preserve">the learned judge noted these exceptions as provided in the case of </w:t>
      </w:r>
      <w:r w:rsidRPr="000D1016">
        <w:rPr>
          <w:rFonts w:ascii="Times New Roman" w:eastAsia="Calibri" w:hAnsi="Times New Roman" w:cs="Times New Roman"/>
          <w:b/>
          <w:bCs/>
          <w:sz w:val="24"/>
          <w:szCs w:val="24"/>
          <w:lang w:val="en-GB"/>
        </w:rPr>
        <w:t xml:space="preserve">Geoffrey </w:t>
      </w:r>
      <w:proofErr w:type="spellStart"/>
      <w:r w:rsidRPr="000D1016">
        <w:rPr>
          <w:rFonts w:ascii="Times New Roman" w:eastAsia="Calibri" w:hAnsi="Times New Roman" w:cs="Times New Roman"/>
          <w:b/>
          <w:bCs/>
          <w:sz w:val="24"/>
          <w:szCs w:val="24"/>
          <w:lang w:val="en-GB"/>
        </w:rPr>
        <w:t>Muthiga</w:t>
      </w:r>
      <w:proofErr w:type="spellEnd"/>
      <w:r w:rsidRPr="000D1016">
        <w:rPr>
          <w:rFonts w:ascii="Times New Roman" w:eastAsia="Calibri" w:hAnsi="Times New Roman" w:cs="Times New Roman"/>
          <w:b/>
          <w:bCs/>
          <w:sz w:val="24"/>
          <w:szCs w:val="24"/>
          <w:lang w:val="en-GB"/>
        </w:rPr>
        <w:t xml:space="preserve"> Kabiru &amp; 2 others – vs- Samuel </w:t>
      </w:r>
      <w:proofErr w:type="spellStart"/>
      <w:r w:rsidRPr="000D1016">
        <w:rPr>
          <w:rFonts w:ascii="Times New Roman" w:eastAsia="Calibri" w:hAnsi="Times New Roman" w:cs="Times New Roman"/>
          <w:b/>
          <w:bCs/>
          <w:sz w:val="24"/>
          <w:szCs w:val="24"/>
          <w:lang w:val="en-GB"/>
        </w:rPr>
        <w:t>Munga</w:t>
      </w:r>
      <w:proofErr w:type="spellEnd"/>
      <w:r w:rsidRPr="000D1016">
        <w:rPr>
          <w:rFonts w:ascii="Times New Roman" w:eastAsia="Calibri" w:hAnsi="Times New Roman" w:cs="Times New Roman"/>
          <w:b/>
          <w:bCs/>
          <w:sz w:val="24"/>
          <w:szCs w:val="24"/>
          <w:lang w:val="en-GB"/>
        </w:rPr>
        <w:t xml:space="preserve"> Henry &amp; 1756 others [2015] </w:t>
      </w:r>
      <w:proofErr w:type="spellStart"/>
      <w:r w:rsidRPr="000D1016">
        <w:rPr>
          <w:rFonts w:ascii="Times New Roman" w:eastAsia="Calibri" w:hAnsi="Times New Roman" w:cs="Times New Roman"/>
          <w:b/>
          <w:bCs/>
          <w:sz w:val="24"/>
          <w:szCs w:val="24"/>
          <w:lang w:val="en-GB"/>
        </w:rPr>
        <w:t>eKLR</w:t>
      </w:r>
      <w:proofErr w:type="spellEnd"/>
      <w:r w:rsidRPr="000D1016">
        <w:rPr>
          <w:rFonts w:ascii="Times New Roman" w:eastAsia="Calibri" w:hAnsi="Times New Roman" w:cs="Times New Roman"/>
          <w:sz w:val="24"/>
          <w:szCs w:val="24"/>
          <w:lang w:val="en-GB"/>
        </w:rPr>
        <w:t xml:space="preserve"> by stating as follows,</w:t>
      </w:r>
    </w:p>
    <w:p w14:paraId="15D999E4" w14:textId="77777777" w:rsidR="00737E66" w:rsidRPr="000D1016" w:rsidRDefault="00737E66" w:rsidP="000D1016">
      <w:pPr>
        <w:spacing w:after="0" w:line="360" w:lineRule="auto"/>
        <w:ind w:left="720"/>
        <w:jc w:val="both"/>
        <w:rPr>
          <w:rFonts w:ascii="Times New Roman" w:eastAsia="Calibri" w:hAnsi="Times New Roman" w:cs="Times New Roman"/>
          <w:sz w:val="24"/>
          <w:szCs w:val="24"/>
        </w:rPr>
      </w:pPr>
      <w:r w:rsidRPr="000D1016">
        <w:rPr>
          <w:rFonts w:ascii="Times New Roman" w:eastAsia="Calibri" w:hAnsi="Times New Roman" w:cs="Times New Roman"/>
          <w:i/>
          <w:iCs/>
          <w:sz w:val="24"/>
          <w:szCs w:val="24"/>
        </w:rPr>
        <w:t>“59. However, our c</w:t>
      </w:r>
      <w:r w:rsidRPr="000D1016">
        <w:rPr>
          <w:rFonts w:ascii="Times New Roman" w:eastAsia="Calibri" w:hAnsi="Times New Roman" w:cs="Times New Roman"/>
          <w:b/>
          <w:bCs/>
          <w:i/>
          <w:iCs/>
          <w:sz w:val="24"/>
          <w:szCs w:val="24"/>
          <w:u w:val="single"/>
        </w:rPr>
        <w:t>ase law has developed a number of exceptions to the doctrine of exhaustion</w:t>
      </w:r>
      <w:r w:rsidRPr="000D1016">
        <w:rPr>
          <w:rFonts w:ascii="Times New Roman" w:eastAsia="Calibri" w:hAnsi="Times New Roman" w:cs="Times New Roman"/>
          <w:i/>
          <w:iCs/>
          <w:sz w:val="24"/>
          <w:szCs w:val="24"/>
        </w:rPr>
        <w:t xml:space="preserve">. In </w:t>
      </w:r>
      <w:r w:rsidRPr="000D1016">
        <w:rPr>
          <w:rFonts w:ascii="Times New Roman" w:eastAsia="Calibri" w:hAnsi="Times New Roman" w:cs="Times New Roman"/>
          <w:b/>
          <w:bCs/>
          <w:i/>
          <w:iCs/>
          <w:sz w:val="24"/>
          <w:szCs w:val="24"/>
        </w:rPr>
        <w:t>R. vs Independent Electoral and Boundaries Commission (I.E.B.C.) &amp; Others ex parte The National Super Alliance Kenya (NASA) (supra</w:t>
      </w:r>
      <w:r w:rsidRPr="000D1016">
        <w:rPr>
          <w:rFonts w:ascii="Times New Roman" w:eastAsia="Calibri" w:hAnsi="Times New Roman" w:cs="Times New Roman"/>
          <w:i/>
          <w:iCs/>
          <w:sz w:val="24"/>
          <w:szCs w:val="24"/>
        </w:rPr>
        <w:t xml:space="preserve">), after exhaustively reviewing Kenya's decisional law on the exhaustion doctrine, the High Court described the first exception thus: </w:t>
      </w:r>
    </w:p>
    <w:p w14:paraId="57F187E8" w14:textId="77777777" w:rsidR="00737E66" w:rsidRPr="000D1016" w:rsidRDefault="00737E66" w:rsidP="000D1016">
      <w:pPr>
        <w:spacing w:after="0" w:line="360" w:lineRule="auto"/>
        <w:ind w:left="720"/>
        <w:jc w:val="both"/>
        <w:rPr>
          <w:rFonts w:ascii="Times New Roman" w:eastAsia="Calibri" w:hAnsi="Times New Roman" w:cs="Times New Roman"/>
          <w:sz w:val="24"/>
          <w:szCs w:val="24"/>
        </w:rPr>
      </w:pPr>
      <w:r w:rsidRPr="000D1016">
        <w:rPr>
          <w:rFonts w:ascii="Times New Roman" w:eastAsia="Calibri" w:hAnsi="Times New Roman" w:cs="Times New Roman"/>
          <w:i/>
          <w:iCs/>
          <w:sz w:val="24"/>
          <w:szCs w:val="24"/>
        </w:rPr>
        <w:t xml:space="preserve">What emerges from our jurisprudence in these cases are at least two principles: </w:t>
      </w:r>
      <w:r w:rsidRPr="000D1016">
        <w:rPr>
          <w:rFonts w:ascii="Times New Roman" w:eastAsia="Calibri" w:hAnsi="Times New Roman" w:cs="Times New Roman"/>
          <w:b/>
          <w:bCs/>
          <w:i/>
          <w:iCs/>
          <w:sz w:val="24"/>
          <w:szCs w:val="24"/>
          <w:u w:val="single"/>
        </w:rPr>
        <w:t>while, exceptions to the exhaustion requirement are not clearly delineated, Courts must undertake an extensive analysis of the facts, regulatory scheme involved, the nature of the interests involved – including level of public interest involved and the polycentricity of the issue (and hence the ability of a statutory forum to balance them)</w:t>
      </w:r>
      <w:r w:rsidRPr="000D1016">
        <w:rPr>
          <w:rFonts w:ascii="Times New Roman" w:eastAsia="Calibri" w:hAnsi="Times New Roman" w:cs="Times New Roman"/>
          <w:i/>
          <w:iCs/>
          <w:sz w:val="24"/>
          <w:szCs w:val="24"/>
        </w:rPr>
        <w:t xml:space="preserve"> to determine whether an exception applies. As the Court of Appeal acknowledged in the </w:t>
      </w:r>
      <w:r w:rsidRPr="000D1016">
        <w:rPr>
          <w:rFonts w:ascii="Times New Roman" w:eastAsia="Calibri" w:hAnsi="Times New Roman" w:cs="Times New Roman"/>
          <w:b/>
          <w:bCs/>
          <w:i/>
          <w:iCs/>
          <w:sz w:val="24"/>
          <w:szCs w:val="24"/>
        </w:rPr>
        <w:t>Shikara Limited Case (supra),</w:t>
      </w:r>
      <w:r w:rsidRPr="000D1016">
        <w:rPr>
          <w:rFonts w:ascii="Times New Roman" w:eastAsia="Calibri" w:hAnsi="Times New Roman" w:cs="Times New Roman"/>
          <w:i/>
          <w:iCs/>
          <w:sz w:val="24"/>
          <w:szCs w:val="24"/>
        </w:rPr>
        <w:t xml:space="preserve"> the </w:t>
      </w:r>
      <w:r w:rsidRPr="000D1016">
        <w:rPr>
          <w:rFonts w:ascii="Times New Roman" w:eastAsia="Calibri" w:hAnsi="Times New Roman" w:cs="Times New Roman"/>
          <w:b/>
          <w:bCs/>
          <w:i/>
          <w:iCs/>
          <w:sz w:val="24"/>
          <w:szCs w:val="24"/>
          <w:u w:val="single"/>
        </w:rPr>
        <w:t xml:space="preserve">High Court may, in exceptional circumstances, find that exhaustion </w:t>
      </w:r>
      <w:r w:rsidRPr="000D1016">
        <w:rPr>
          <w:rFonts w:ascii="Times New Roman" w:eastAsia="Calibri" w:hAnsi="Times New Roman" w:cs="Times New Roman"/>
          <w:b/>
          <w:bCs/>
          <w:i/>
          <w:iCs/>
          <w:sz w:val="24"/>
          <w:szCs w:val="24"/>
          <w:u w:val="single"/>
        </w:rPr>
        <w:lastRenderedPageBreak/>
        <w:t>requirement would not serve the values enshrined in the Constitution or law and permit the suit to proceed before it.</w:t>
      </w:r>
      <w:r w:rsidRPr="000D1016">
        <w:rPr>
          <w:rFonts w:ascii="Times New Roman" w:eastAsia="Calibri" w:hAnsi="Times New Roman" w:cs="Times New Roman"/>
          <w:i/>
          <w:iCs/>
          <w:sz w:val="24"/>
          <w:szCs w:val="24"/>
        </w:rPr>
        <w:t xml:space="preserve"> This exception to the exhaustion requirement is particularly likely where a party pleads </w:t>
      </w:r>
      <w:r w:rsidRPr="000D1016">
        <w:rPr>
          <w:rFonts w:ascii="Times New Roman" w:eastAsia="Calibri" w:hAnsi="Times New Roman" w:cs="Times New Roman"/>
          <w:b/>
          <w:bCs/>
          <w:i/>
          <w:iCs/>
          <w:sz w:val="24"/>
          <w:szCs w:val="24"/>
          <w:u w:val="single"/>
        </w:rPr>
        <w:t>issues that verge on Constitutional interpretation especially in virgin areas or where an important constitutional value is at stake</w:t>
      </w:r>
      <w:r w:rsidRPr="000D1016">
        <w:rPr>
          <w:rFonts w:ascii="Times New Roman" w:eastAsia="Calibri" w:hAnsi="Times New Roman" w:cs="Times New Roman"/>
          <w:i/>
          <w:iCs/>
          <w:sz w:val="24"/>
          <w:szCs w:val="24"/>
        </w:rPr>
        <w:t xml:space="preserve">. See also Moffat Kamau and 9 Others vs </w:t>
      </w:r>
      <w:proofErr w:type="spellStart"/>
      <w:r w:rsidRPr="000D1016">
        <w:rPr>
          <w:rFonts w:ascii="Times New Roman" w:eastAsia="Calibri" w:hAnsi="Times New Roman" w:cs="Times New Roman"/>
          <w:i/>
          <w:iCs/>
          <w:sz w:val="24"/>
          <w:szCs w:val="24"/>
        </w:rPr>
        <w:t>Aelous</w:t>
      </w:r>
      <w:proofErr w:type="spellEnd"/>
      <w:r w:rsidRPr="000D1016">
        <w:rPr>
          <w:rFonts w:ascii="Times New Roman" w:eastAsia="Calibri" w:hAnsi="Times New Roman" w:cs="Times New Roman"/>
          <w:i/>
          <w:iCs/>
          <w:sz w:val="24"/>
          <w:szCs w:val="24"/>
        </w:rPr>
        <w:t xml:space="preserve"> (K) Ltd and 9 Others.) </w:t>
      </w:r>
    </w:p>
    <w:p w14:paraId="67F7C571" w14:textId="77777777" w:rsidR="00737E66" w:rsidRPr="000D1016" w:rsidRDefault="00737E66" w:rsidP="000D1016">
      <w:pPr>
        <w:spacing w:after="0" w:line="360" w:lineRule="auto"/>
        <w:ind w:left="720"/>
        <w:jc w:val="both"/>
        <w:rPr>
          <w:rFonts w:ascii="Times New Roman" w:eastAsia="Calibri" w:hAnsi="Times New Roman" w:cs="Times New Roman"/>
          <w:b/>
          <w:bCs/>
          <w:sz w:val="24"/>
          <w:szCs w:val="24"/>
          <w:u w:val="single"/>
        </w:rPr>
      </w:pPr>
      <w:r w:rsidRPr="000D1016">
        <w:rPr>
          <w:rFonts w:ascii="Times New Roman" w:eastAsia="Calibri" w:hAnsi="Times New Roman" w:cs="Times New Roman"/>
          <w:i/>
          <w:iCs/>
          <w:sz w:val="24"/>
          <w:szCs w:val="24"/>
        </w:rPr>
        <w:t xml:space="preserve">60. ……… the High Court may, in exceptional circumstances consider, and determine that the </w:t>
      </w:r>
      <w:r w:rsidRPr="000D1016">
        <w:rPr>
          <w:rFonts w:ascii="Times New Roman" w:eastAsia="Calibri" w:hAnsi="Times New Roman" w:cs="Times New Roman"/>
          <w:b/>
          <w:bCs/>
          <w:i/>
          <w:iCs/>
          <w:sz w:val="24"/>
          <w:szCs w:val="24"/>
          <w:u w:val="single"/>
        </w:rPr>
        <w:t>exhaustion requirement would not serve the values enshrined in the Constitution or law and allow the suit to proceed before it. It is also essential for the Court to consider the suitability of the appeal mechanism available in the context of the particular case and determine whether it is suitable to determine the issues raised</w:t>
      </w:r>
      <w:r w:rsidRPr="000D1016">
        <w:rPr>
          <w:rFonts w:ascii="Times New Roman" w:eastAsia="Calibri" w:hAnsi="Times New Roman" w:cs="Times New Roman"/>
          <w:i/>
          <w:iCs/>
          <w:sz w:val="24"/>
          <w:szCs w:val="24"/>
        </w:rPr>
        <w:t xml:space="preserve">. </w:t>
      </w:r>
    </w:p>
    <w:p w14:paraId="275E6B0D" w14:textId="77777777" w:rsidR="00737E66" w:rsidRPr="000D1016" w:rsidRDefault="00737E66" w:rsidP="000D1016">
      <w:pPr>
        <w:spacing w:after="0" w:line="360" w:lineRule="auto"/>
        <w:ind w:left="720"/>
        <w:jc w:val="both"/>
        <w:rPr>
          <w:rFonts w:ascii="Times New Roman" w:eastAsia="Calibri" w:hAnsi="Times New Roman" w:cs="Times New Roman"/>
          <w:sz w:val="24"/>
          <w:szCs w:val="24"/>
        </w:rPr>
      </w:pPr>
      <w:r w:rsidRPr="000D1016">
        <w:rPr>
          <w:rFonts w:ascii="Times New Roman" w:eastAsia="Calibri" w:hAnsi="Times New Roman" w:cs="Times New Roman"/>
          <w:i/>
          <w:iCs/>
          <w:sz w:val="24"/>
          <w:szCs w:val="24"/>
        </w:rPr>
        <w:t xml:space="preserve">61. ……. </w:t>
      </w:r>
      <w:r w:rsidRPr="000D1016">
        <w:rPr>
          <w:rFonts w:ascii="Times New Roman" w:eastAsia="Calibri" w:hAnsi="Times New Roman" w:cs="Times New Roman"/>
          <w:b/>
          <w:bCs/>
          <w:i/>
          <w:iCs/>
          <w:sz w:val="24"/>
          <w:szCs w:val="24"/>
          <w:u w:val="single"/>
        </w:rPr>
        <w:t>the jurisdiction of the Courts to consider valid grievances from parties who lack adequate audience before a forum created by a statute, or who may not have the quality of audience before the forum which is proportionate to the interests the party wishes to advance in a suit must not be ousted</w:t>
      </w:r>
      <w:r w:rsidRPr="000D1016">
        <w:rPr>
          <w:rFonts w:ascii="Times New Roman" w:eastAsia="Calibri" w:hAnsi="Times New Roman" w:cs="Times New Roman"/>
          <w:i/>
          <w:iCs/>
          <w:sz w:val="24"/>
          <w:szCs w:val="24"/>
        </w:rPr>
        <w:t xml:space="preserve">. The rationale behind this precept is that </w:t>
      </w:r>
      <w:r w:rsidRPr="000D1016">
        <w:rPr>
          <w:rFonts w:ascii="Times New Roman" w:eastAsia="Calibri" w:hAnsi="Times New Roman" w:cs="Times New Roman"/>
          <w:b/>
          <w:bCs/>
          <w:i/>
          <w:iCs/>
          <w:sz w:val="24"/>
          <w:szCs w:val="24"/>
          <w:u w:val="single"/>
        </w:rPr>
        <w:t>statutory provisions ousting Court’s jurisdiction must be construed restrictively.</w:t>
      </w:r>
      <w:r w:rsidRPr="000D1016">
        <w:rPr>
          <w:rFonts w:ascii="Times New Roman" w:eastAsia="Calibri" w:hAnsi="Times New Roman" w:cs="Times New Roman"/>
          <w:i/>
          <w:iCs/>
          <w:sz w:val="24"/>
          <w:szCs w:val="24"/>
        </w:rPr>
        <w:t xml:space="preserve"> This was extensively elaborated by </w:t>
      </w:r>
      <w:proofErr w:type="spellStart"/>
      <w:r w:rsidRPr="000D1016">
        <w:rPr>
          <w:rFonts w:ascii="Times New Roman" w:eastAsia="Calibri" w:hAnsi="Times New Roman" w:cs="Times New Roman"/>
          <w:i/>
          <w:iCs/>
          <w:sz w:val="24"/>
          <w:szCs w:val="24"/>
        </w:rPr>
        <w:t>Mativo</w:t>
      </w:r>
      <w:proofErr w:type="spellEnd"/>
      <w:r w:rsidRPr="000D1016">
        <w:rPr>
          <w:rFonts w:ascii="Times New Roman" w:eastAsia="Calibri" w:hAnsi="Times New Roman" w:cs="Times New Roman"/>
          <w:i/>
          <w:iCs/>
          <w:sz w:val="24"/>
          <w:szCs w:val="24"/>
        </w:rPr>
        <w:t xml:space="preserve"> J in Night Rose Cosmetics (1972) Ltd v Nairobi County Government &amp; 2 others [2018] </w:t>
      </w:r>
      <w:proofErr w:type="spellStart"/>
      <w:r w:rsidRPr="000D1016">
        <w:rPr>
          <w:rFonts w:ascii="Times New Roman" w:eastAsia="Calibri" w:hAnsi="Times New Roman" w:cs="Times New Roman"/>
          <w:i/>
          <w:iCs/>
          <w:sz w:val="24"/>
          <w:szCs w:val="24"/>
        </w:rPr>
        <w:t>eKLR</w:t>
      </w:r>
      <w:proofErr w:type="spellEnd"/>
      <w:r w:rsidRPr="000D1016">
        <w:rPr>
          <w:rFonts w:ascii="Times New Roman" w:eastAsia="Calibri" w:hAnsi="Times New Roman" w:cs="Times New Roman"/>
          <w:i/>
          <w:iCs/>
          <w:sz w:val="24"/>
          <w:szCs w:val="24"/>
        </w:rPr>
        <w:t xml:space="preserve">. </w:t>
      </w:r>
    </w:p>
    <w:p w14:paraId="6C3D93E2" w14:textId="77777777" w:rsidR="00737E66" w:rsidRPr="000D1016" w:rsidRDefault="00737E66" w:rsidP="000D1016">
      <w:pPr>
        <w:spacing w:after="0" w:line="360" w:lineRule="auto"/>
        <w:ind w:left="720"/>
        <w:jc w:val="both"/>
        <w:rPr>
          <w:rFonts w:ascii="Times New Roman" w:eastAsia="Calibri" w:hAnsi="Times New Roman" w:cs="Times New Roman"/>
          <w:b/>
          <w:bCs/>
          <w:i/>
          <w:iCs/>
          <w:sz w:val="24"/>
          <w:szCs w:val="24"/>
        </w:rPr>
      </w:pPr>
      <w:r w:rsidRPr="000D1016">
        <w:rPr>
          <w:rFonts w:ascii="Times New Roman" w:eastAsia="Calibri" w:hAnsi="Times New Roman" w:cs="Times New Roman"/>
          <w:i/>
          <w:iCs/>
          <w:sz w:val="24"/>
          <w:szCs w:val="24"/>
        </w:rPr>
        <w:t xml:space="preserve">62. In the instant case, the Petitioners allege violation of their fundamental rights. </w:t>
      </w:r>
      <w:r w:rsidRPr="000D1016">
        <w:rPr>
          <w:rFonts w:ascii="Times New Roman" w:eastAsia="Calibri" w:hAnsi="Times New Roman" w:cs="Times New Roman"/>
          <w:b/>
          <w:bCs/>
          <w:i/>
          <w:iCs/>
          <w:sz w:val="24"/>
          <w:szCs w:val="24"/>
          <w:u w:val="single"/>
        </w:rPr>
        <w:t>Where a suit primarily seeks to enforce fundamental rights and freedoms and it is demonstrated that the claimed constitutional violations are not mere “bootstraps” or merely framed in Bill of Rights language as a pretext to gain entry to the Court, it is not barred by the doctrine of exhaustion.</w:t>
      </w:r>
      <w:r w:rsidRPr="000D1016">
        <w:rPr>
          <w:rFonts w:ascii="Times New Roman" w:eastAsia="Calibri" w:hAnsi="Times New Roman" w:cs="Times New Roman"/>
          <w:i/>
          <w:iCs/>
          <w:sz w:val="24"/>
          <w:szCs w:val="24"/>
        </w:rPr>
        <w:t xml:space="preserve"> </w:t>
      </w:r>
      <w:r w:rsidRPr="000D1016">
        <w:rPr>
          <w:rFonts w:ascii="Times New Roman" w:eastAsia="Calibri" w:hAnsi="Times New Roman" w:cs="Times New Roman"/>
          <w:b/>
          <w:bCs/>
          <w:i/>
          <w:iCs/>
          <w:sz w:val="24"/>
          <w:szCs w:val="24"/>
          <w:u w:val="single"/>
        </w:rPr>
        <w:t>This is especially so because the enforcement of fundamental rights or freedoms is a question which can only be determined by the High Court</w:t>
      </w:r>
      <w:r w:rsidRPr="000D1016">
        <w:rPr>
          <w:rFonts w:ascii="Times New Roman" w:eastAsia="Calibri" w:hAnsi="Times New Roman" w:cs="Times New Roman"/>
          <w:b/>
          <w:bCs/>
          <w:i/>
          <w:iCs/>
          <w:sz w:val="24"/>
          <w:szCs w:val="24"/>
        </w:rPr>
        <w:t>.”</w:t>
      </w:r>
    </w:p>
    <w:p w14:paraId="115F2DDB" w14:textId="77777777" w:rsidR="00737E66" w:rsidRPr="000D1016" w:rsidRDefault="00737E66" w:rsidP="000D1016">
      <w:pPr>
        <w:spacing w:after="0" w:line="360" w:lineRule="auto"/>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 xml:space="preserve">The above holding was also recognized by the Court of Appeal has noted by the learned judge when he quoted Mombasa Civil Appeal No. 166 of 2018 </w:t>
      </w:r>
      <w:r w:rsidRPr="000D1016">
        <w:rPr>
          <w:rFonts w:ascii="Times New Roman" w:eastAsia="Calibri" w:hAnsi="Times New Roman" w:cs="Times New Roman"/>
          <w:b/>
          <w:bCs/>
          <w:i/>
          <w:iCs/>
          <w:sz w:val="24"/>
          <w:szCs w:val="24"/>
        </w:rPr>
        <w:t xml:space="preserve">Kenya Ports Authority v William Odhiambo </w:t>
      </w:r>
      <w:proofErr w:type="spellStart"/>
      <w:r w:rsidRPr="000D1016">
        <w:rPr>
          <w:rFonts w:ascii="Times New Roman" w:eastAsia="Calibri" w:hAnsi="Times New Roman" w:cs="Times New Roman"/>
          <w:b/>
          <w:bCs/>
          <w:i/>
          <w:iCs/>
          <w:sz w:val="24"/>
          <w:szCs w:val="24"/>
        </w:rPr>
        <w:t>Ramogi</w:t>
      </w:r>
      <w:proofErr w:type="spellEnd"/>
      <w:r w:rsidRPr="000D1016">
        <w:rPr>
          <w:rFonts w:ascii="Times New Roman" w:eastAsia="Calibri" w:hAnsi="Times New Roman" w:cs="Times New Roman"/>
          <w:b/>
          <w:bCs/>
          <w:i/>
          <w:iCs/>
          <w:sz w:val="24"/>
          <w:szCs w:val="24"/>
        </w:rPr>
        <w:t xml:space="preserve"> &amp; 8 others [2019] </w:t>
      </w:r>
      <w:proofErr w:type="spellStart"/>
      <w:r w:rsidRPr="000D1016">
        <w:rPr>
          <w:rFonts w:ascii="Times New Roman" w:eastAsia="Calibri" w:hAnsi="Times New Roman" w:cs="Times New Roman"/>
          <w:b/>
          <w:bCs/>
          <w:i/>
          <w:iCs/>
          <w:sz w:val="24"/>
          <w:szCs w:val="24"/>
        </w:rPr>
        <w:t>eKLR</w:t>
      </w:r>
      <w:proofErr w:type="spellEnd"/>
      <w:r w:rsidRPr="000D1016">
        <w:rPr>
          <w:rFonts w:ascii="Times New Roman" w:eastAsia="Calibri" w:hAnsi="Times New Roman" w:cs="Times New Roman"/>
          <w:sz w:val="24"/>
          <w:szCs w:val="24"/>
        </w:rPr>
        <w:t xml:space="preserve"> which when determining whether a dispute arising from the relationship of different </w:t>
      </w:r>
      <w:r w:rsidR="00CD35D8" w:rsidRPr="000D1016">
        <w:rPr>
          <w:rFonts w:ascii="Times New Roman" w:eastAsia="Calibri" w:hAnsi="Times New Roman" w:cs="Times New Roman"/>
          <w:sz w:val="24"/>
          <w:szCs w:val="24"/>
        </w:rPr>
        <w:t>levels</w:t>
      </w:r>
      <w:r w:rsidRPr="000D1016">
        <w:rPr>
          <w:rFonts w:ascii="Times New Roman" w:eastAsia="Calibri" w:hAnsi="Times New Roman" w:cs="Times New Roman"/>
          <w:sz w:val="24"/>
          <w:szCs w:val="24"/>
        </w:rPr>
        <w:t xml:space="preserve"> of the government was barred by the exhaustion mechanism provided by virtue of Article 189 of the Constitution and sections 33 and 34 of Inter-Governmental Relations Act of 2012 (IGRA). It</w:t>
      </w:r>
      <w:r w:rsidRPr="000D1016">
        <w:rPr>
          <w:rFonts w:ascii="Times New Roman" w:eastAsia="Calibri" w:hAnsi="Times New Roman" w:cs="Times New Roman"/>
          <w:i/>
          <w:iCs/>
          <w:sz w:val="24"/>
          <w:szCs w:val="24"/>
        </w:rPr>
        <w:t xml:space="preserve"> </w:t>
      </w:r>
      <w:r w:rsidRPr="000D1016">
        <w:rPr>
          <w:rFonts w:ascii="Times New Roman" w:eastAsia="Calibri" w:hAnsi="Times New Roman" w:cs="Times New Roman"/>
          <w:sz w:val="24"/>
          <w:szCs w:val="24"/>
        </w:rPr>
        <w:t xml:space="preserve">held as follows: - </w:t>
      </w:r>
    </w:p>
    <w:p w14:paraId="0B6EDBA4" w14:textId="77777777" w:rsidR="00737E66" w:rsidRPr="000D1016" w:rsidRDefault="00737E66" w:rsidP="003461EA">
      <w:pPr>
        <w:spacing w:after="0" w:line="360" w:lineRule="auto"/>
        <w:ind w:left="720"/>
        <w:jc w:val="both"/>
        <w:rPr>
          <w:rFonts w:ascii="Times New Roman" w:eastAsia="Calibri" w:hAnsi="Times New Roman" w:cs="Times New Roman"/>
          <w:i/>
          <w:iCs/>
          <w:sz w:val="24"/>
          <w:szCs w:val="24"/>
        </w:rPr>
      </w:pPr>
      <w:r w:rsidRPr="000D1016">
        <w:rPr>
          <w:rFonts w:ascii="Times New Roman" w:eastAsia="Calibri" w:hAnsi="Times New Roman" w:cs="Times New Roman"/>
          <w:i/>
          <w:iCs/>
          <w:sz w:val="24"/>
          <w:szCs w:val="24"/>
        </w:rPr>
        <w:t xml:space="preserve">The jurisdiction of the High Court is derived from Article 165 (3) and (6) of the Constitution. </w:t>
      </w:r>
      <w:r w:rsidRPr="000D1016">
        <w:rPr>
          <w:rFonts w:ascii="Times New Roman" w:eastAsia="Calibri" w:hAnsi="Times New Roman" w:cs="Times New Roman"/>
          <w:b/>
          <w:bCs/>
          <w:i/>
          <w:iCs/>
          <w:sz w:val="24"/>
          <w:szCs w:val="24"/>
          <w:u w:val="single"/>
        </w:rPr>
        <w:t xml:space="preserve">Accordingly, the High Court has unlimited original jurisdiction in criminal </w:t>
      </w:r>
      <w:r w:rsidRPr="000D1016">
        <w:rPr>
          <w:rFonts w:ascii="Times New Roman" w:eastAsia="Calibri" w:hAnsi="Times New Roman" w:cs="Times New Roman"/>
          <w:b/>
          <w:bCs/>
          <w:i/>
          <w:iCs/>
          <w:sz w:val="24"/>
          <w:szCs w:val="24"/>
          <w:u w:val="single"/>
        </w:rPr>
        <w:lastRenderedPageBreak/>
        <w:t xml:space="preserve">and civil matters, including determination of a question of enforcement of the bill of rights and interpretation of the Constitution </w:t>
      </w:r>
      <w:r w:rsidRPr="000D1016">
        <w:rPr>
          <w:rFonts w:ascii="Times New Roman" w:eastAsia="Calibri" w:hAnsi="Times New Roman" w:cs="Times New Roman"/>
          <w:i/>
          <w:iCs/>
          <w:sz w:val="24"/>
          <w:szCs w:val="24"/>
        </w:rPr>
        <w:t>encompassing determination of any matter relating to the Constitutional relationship</w:t>
      </w:r>
      <w:r w:rsidRPr="000D1016">
        <w:rPr>
          <w:rFonts w:ascii="Times New Roman" w:eastAsia="Times New Roman" w:hAnsi="Times New Roman" w:cs="Times New Roman"/>
          <w:i/>
          <w:iCs/>
          <w:color w:val="000000"/>
          <w:sz w:val="24"/>
          <w:szCs w:val="24"/>
        </w:rPr>
        <w:t xml:space="preserve"> </w:t>
      </w:r>
      <w:r w:rsidRPr="000D1016">
        <w:rPr>
          <w:rFonts w:ascii="Times New Roman" w:eastAsia="Calibri" w:hAnsi="Times New Roman" w:cs="Times New Roman"/>
          <w:i/>
          <w:iCs/>
          <w:sz w:val="24"/>
          <w:szCs w:val="24"/>
        </w:rPr>
        <w:t xml:space="preserve">between the different levels of government. </w:t>
      </w:r>
    </w:p>
    <w:p w14:paraId="36ECD515" w14:textId="77777777" w:rsidR="00737E66" w:rsidRPr="000D1016" w:rsidRDefault="00737E66" w:rsidP="003461EA">
      <w:pPr>
        <w:spacing w:after="0" w:line="360" w:lineRule="auto"/>
        <w:ind w:left="720"/>
        <w:jc w:val="both"/>
        <w:rPr>
          <w:rFonts w:ascii="Times New Roman" w:eastAsia="Calibri" w:hAnsi="Times New Roman" w:cs="Times New Roman"/>
          <w:i/>
          <w:iCs/>
          <w:sz w:val="24"/>
          <w:szCs w:val="24"/>
        </w:rPr>
      </w:pPr>
      <w:r w:rsidRPr="000D1016">
        <w:rPr>
          <w:rFonts w:ascii="Times New Roman" w:eastAsia="Calibri" w:hAnsi="Times New Roman" w:cs="Times New Roman"/>
          <w:i/>
          <w:iCs/>
          <w:sz w:val="24"/>
          <w:szCs w:val="24"/>
        </w:rPr>
        <w:t xml:space="preserve">……….. They also took into account the doctrine of exhaustion as enunciated in Republic vs. Independent Election and Boundaries Commission (IEBC) ex parte National Super Alliance (NASA) Kenya &amp; 6 Others [2017] </w:t>
      </w:r>
      <w:proofErr w:type="spellStart"/>
      <w:r w:rsidRPr="000D1016">
        <w:rPr>
          <w:rFonts w:ascii="Times New Roman" w:eastAsia="Calibri" w:hAnsi="Times New Roman" w:cs="Times New Roman"/>
          <w:i/>
          <w:iCs/>
          <w:sz w:val="24"/>
          <w:szCs w:val="24"/>
        </w:rPr>
        <w:t>eKLR</w:t>
      </w:r>
      <w:proofErr w:type="spellEnd"/>
      <w:r w:rsidRPr="000D1016">
        <w:rPr>
          <w:rFonts w:ascii="Times New Roman" w:eastAsia="Calibri" w:hAnsi="Times New Roman" w:cs="Times New Roman"/>
          <w:i/>
          <w:iCs/>
          <w:sz w:val="24"/>
          <w:szCs w:val="24"/>
        </w:rPr>
        <w:t xml:space="preserve">……..First, they considered that the test for determining the matter as an inter-governmental dispute for purposes of application of IGRA </w:t>
      </w:r>
      <w:r w:rsidRPr="000D1016">
        <w:rPr>
          <w:rFonts w:ascii="Times New Roman" w:eastAsia="Calibri" w:hAnsi="Times New Roman" w:cs="Times New Roman"/>
          <w:b/>
          <w:bCs/>
          <w:i/>
          <w:iCs/>
          <w:sz w:val="24"/>
          <w:szCs w:val="24"/>
          <w:u w:val="single"/>
        </w:rPr>
        <w:t>was not simply to look at who the parties to the dispute were, but the nature of the claim in question and; secondly, they considered that the claimed Constitutional violations seeking to be enforced are not mere “bootstraps.”</w:t>
      </w:r>
      <w:r w:rsidRPr="000D1016">
        <w:rPr>
          <w:rFonts w:ascii="Times New Roman" w:eastAsia="Calibri" w:hAnsi="Times New Roman" w:cs="Times New Roman"/>
          <w:i/>
          <w:iCs/>
          <w:sz w:val="24"/>
          <w:szCs w:val="24"/>
        </w:rPr>
        <w:t xml:space="preserve"> We have keenly addressed our minds to the learned Judges’ decision and are satisfied that they stayed within the expected contours and properly directed themselves. </w:t>
      </w:r>
      <w:r w:rsidRPr="000D1016">
        <w:rPr>
          <w:rFonts w:ascii="Times New Roman" w:eastAsia="Calibri" w:hAnsi="Times New Roman" w:cs="Times New Roman"/>
          <w:b/>
          <w:bCs/>
          <w:i/>
          <w:iCs/>
          <w:sz w:val="24"/>
          <w:szCs w:val="24"/>
          <w:u w:val="single"/>
        </w:rPr>
        <w:t xml:space="preserve">Once they determined that the dispute was not inter-governmental in nature, we do not think it is necessary to consider whether the petitioners had exhausted their legal avenue. Jurisdiction by the High Court under Article 165 (5) of the Constitution became automatic. </w:t>
      </w:r>
      <w:r w:rsidRPr="000D1016">
        <w:rPr>
          <w:rFonts w:ascii="Times New Roman" w:eastAsia="Calibri" w:hAnsi="Times New Roman" w:cs="Times New Roman"/>
          <w:i/>
          <w:iCs/>
          <w:sz w:val="24"/>
          <w:szCs w:val="24"/>
        </w:rPr>
        <w:t>And in our view, it could not be ousted or substituted.</w:t>
      </w:r>
    </w:p>
    <w:p w14:paraId="36B74A71" w14:textId="77777777" w:rsidR="00737E66" w:rsidRPr="000D1016" w:rsidRDefault="00737E66" w:rsidP="000D1016">
      <w:pPr>
        <w:spacing w:after="0" w:line="360" w:lineRule="auto"/>
        <w:jc w:val="both"/>
        <w:rPr>
          <w:rFonts w:ascii="Times New Roman" w:eastAsia="Calibri" w:hAnsi="Times New Roman" w:cs="Times New Roman"/>
          <w:b/>
          <w:bCs/>
          <w:sz w:val="24"/>
          <w:szCs w:val="24"/>
        </w:rPr>
      </w:pPr>
      <w:r w:rsidRPr="000D1016">
        <w:rPr>
          <w:rFonts w:ascii="Times New Roman" w:eastAsia="Calibri" w:hAnsi="Times New Roman" w:cs="Times New Roman"/>
          <w:sz w:val="24"/>
          <w:szCs w:val="24"/>
        </w:rPr>
        <w:t xml:space="preserve">Lastly, the learned judge also reiterated the holding in </w:t>
      </w:r>
      <w:r w:rsidRPr="000D1016">
        <w:rPr>
          <w:rFonts w:ascii="Times New Roman" w:eastAsia="Calibri" w:hAnsi="Times New Roman" w:cs="Times New Roman"/>
          <w:b/>
          <w:bCs/>
          <w:i/>
          <w:iCs/>
          <w:sz w:val="24"/>
          <w:szCs w:val="24"/>
          <w:lang w:val="en-GB"/>
        </w:rPr>
        <w:t>Royal Media Services Ltd. -vs- Attorney General &amp; 6 Others</w:t>
      </w:r>
      <w:r w:rsidRPr="000D1016">
        <w:rPr>
          <w:rFonts w:ascii="Times New Roman" w:eastAsia="Calibri" w:hAnsi="Times New Roman" w:cs="Times New Roman"/>
          <w:sz w:val="24"/>
          <w:szCs w:val="24"/>
          <w:lang w:val="en-GB"/>
        </w:rPr>
        <w:t xml:space="preserve"> (2015) </w:t>
      </w:r>
      <w:proofErr w:type="spellStart"/>
      <w:r w:rsidRPr="000D1016">
        <w:rPr>
          <w:rFonts w:ascii="Times New Roman" w:eastAsia="Calibri" w:hAnsi="Times New Roman" w:cs="Times New Roman"/>
          <w:sz w:val="24"/>
          <w:szCs w:val="24"/>
          <w:lang w:val="en-GB"/>
        </w:rPr>
        <w:t>eKLR</w:t>
      </w:r>
      <w:proofErr w:type="spellEnd"/>
      <w:r w:rsidRPr="000D1016">
        <w:rPr>
          <w:rFonts w:ascii="Times New Roman" w:eastAsia="Calibri" w:hAnsi="Times New Roman" w:cs="Times New Roman"/>
          <w:sz w:val="24"/>
          <w:szCs w:val="24"/>
          <w:lang w:val="en-GB"/>
        </w:rPr>
        <w:t xml:space="preserve"> and others where the High Court has consistently reiterated that it is only the High Court and Courts of equal status which can interpret the Constitution. The judge </w:t>
      </w:r>
      <w:r w:rsidRPr="000D1016">
        <w:rPr>
          <w:rFonts w:ascii="Times New Roman" w:eastAsia="Calibri" w:hAnsi="Times New Roman" w:cs="Times New Roman"/>
          <w:sz w:val="24"/>
          <w:szCs w:val="24"/>
        </w:rPr>
        <w:t>in paragraph 23 of his judgement</w:t>
      </w:r>
      <w:r w:rsidRPr="000D1016">
        <w:rPr>
          <w:rFonts w:ascii="Times New Roman" w:eastAsia="Calibri" w:hAnsi="Times New Roman" w:cs="Times New Roman"/>
          <w:sz w:val="24"/>
          <w:szCs w:val="24"/>
          <w:lang w:val="en-GB"/>
        </w:rPr>
        <w:t xml:space="preserve"> also quoted another Court of Appeal decision in </w:t>
      </w:r>
      <w:r w:rsidRPr="000D1016">
        <w:rPr>
          <w:rFonts w:ascii="Times New Roman" w:eastAsia="Calibri" w:hAnsi="Times New Roman" w:cs="Times New Roman"/>
          <w:sz w:val="24"/>
          <w:szCs w:val="24"/>
        </w:rPr>
        <w:t xml:space="preserve">Civil Appeal 158 of 2017, </w:t>
      </w:r>
      <w:r w:rsidRPr="000D1016">
        <w:rPr>
          <w:rFonts w:ascii="Times New Roman" w:eastAsia="Calibri" w:hAnsi="Times New Roman" w:cs="Times New Roman"/>
          <w:b/>
          <w:bCs/>
          <w:i/>
          <w:iCs/>
          <w:sz w:val="24"/>
          <w:szCs w:val="24"/>
        </w:rPr>
        <w:t xml:space="preserve">Fleur Investments Limited -vs- Commissioner of Domestic Taxes &amp; another [2018] </w:t>
      </w:r>
      <w:proofErr w:type="spellStart"/>
      <w:r w:rsidRPr="000D1016">
        <w:rPr>
          <w:rFonts w:ascii="Times New Roman" w:eastAsia="Calibri" w:hAnsi="Times New Roman" w:cs="Times New Roman"/>
          <w:b/>
          <w:bCs/>
          <w:i/>
          <w:iCs/>
          <w:sz w:val="24"/>
          <w:szCs w:val="24"/>
        </w:rPr>
        <w:t>eKLR</w:t>
      </w:r>
      <w:proofErr w:type="spellEnd"/>
      <w:r w:rsidRPr="000D1016">
        <w:rPr>
          <w:rFonts w:ascii="Times New Roman" w:eastAsia="Calibri" w:hAnsi="Times New Roman" w:cs="Times New Roman"/>
          <w:sz w:val="24"/>
          <w:szCs w:val="24"/>
        </w:rPr>
        <w:t xml:space="preserve">, whereby the Learned Judges of the Court of Appeal in assuming jurisdiction to bypass the mechanism under Income Tax Tribunal relied on an earlier decision in </w:t>
      </w:r>
      <w:r w:rsidRPr="000D1016">
        <w:rPr>
          <w:rFonts w:ascii="Times New Roman" w:eastAsia="Calibri" w:hAnsi="Times New Roman" w:cs="Times New Roman"/>
          <w:b/>
          <w:bCs/>
          <w:i/>
          <w:iCs/>
          <w:sz w:val="24"/>
          <w:szCs w:val="24"/>
        </w:rPr>
        <w:t xml:space="preserve">Speaker of National Assembly vs </w:t>
      </w:r>
      <w:proofErr w:type="spellStart"/>
      <w:r w:rsidRPr="000D1016">
        <w:rPr>
          <w:rFonts w:ascii="Times New Roman" w:eastAsia="Calibri" w:hAnsi="Times New Roman" w:cs="Times New Roman"/>
          <w:b/>
          <w:bCs/>
          <w:i/>
          <w:iCs/>
          <w:sz w:val="24"/>
          <w:szCs w:val="24"/>
        </w:rPr>
        <w:t>Njenga</w:t>
      </w:r>
      <w:proofErr w:type="spellEnd"/>
      <w:r w:rsidRPr="000D1016">
        <w:rPr>
          <w:rFonts w:ascii="Times New Roman" w:eastAsia="Calibri" w:hAnsi="Times New Roman" w:cs="Times New Roman"/>
          <w:b/>
          <w:bCs/>
          <w:i/>
          <w:iCs/>
          <w:sz w:val="24"/>
          <w:szCs w:val="24"/>
        </w:rPr>
        <w:t xml:space="preserve"> </w:t>
      </w:r>
      <w:proofErr w:type="spellStart"/>
      <w:r w:rsidRPr="000D1016">
        <w:rPr>
          <w:rFonts w:ascii="Times New Roman" w:eastAsia="Calibri" w:hAnsi="Times New Roman" w:cs="Times New Roman"/>
          <w:b/>
          <w:bCs/>
          <w:i/>
          <w:iCs/>
          <w:sz w:val="24"/>
          <w:szCs w:val="24"/>
        </w:rPr>
        <w:t>Karume</w:t>
      </w:r>
      <w:proofErr w:type="spellEnd"/>
      <w:r w:rsidRPr="000D1016">
        <w:rPr>
          <w:rFonts w:ascii="Times New Roman" w:eastAsia="Calibri" w:hAnsi="Times New Roman" w:cs="Times New Roman"/>
          <w:b/>
          <w:bCs/>
          <w:i/>
          <w:iCs/>
          <w:sz w:val="24"/>
          <w:szCs w:val="24"/>
        </w:rPr>
        <w:t xml:space="preserve"> (1990-1994) EA 546</w:t>
      </w:r>
      <w:r w:rsidRPr="000D1016">
        <w:rPr>
          <w:rFonts w:ascii="Times New Roman" w:eastAsia="Calibri" w:hAnsi="Times New Roman" w:cs="Times New Roman"/>
          <w:b/>
          <w:bCs/>
          <w:sz w:val="24"/>
          <w:szCs w:val="24"/>
        </w:rPr>
        <w:t xml:space="preserve"> </w:t>
      </w:r>
      <w:r w:rsidRPr="000D1016">
        <w:rPr>
          <w:rFonts w:ascii="Times New Roman" w:eastAsia="Calibri" w:hAnsi="Times New Roman" w:cs="Times New Roman"/>
          <w:sz w:val="24"/>
          <w:szCs w:val="24"/>
        </w:rPr>
        <w:t>and observed as follows: -</w:t>
      </w:r>
    </w:p>
    <w:p w14:paraId="30AF934A" w14:textId="77777777" w:rsidR="00737E66" w:rsidRPr="000D1016" w:rsidRDefault="00737E66" w:rsidP="000D1016">
      <w:pPr>
        <w:spacing w:after="0" w:line="360" w:lineRule="auto"/>
        <w:ind w:left="720"/>
        <w:jc w:val="both"/>
        <w:rPr>
          <w:rFonts w:ascii="Times New Roman" w:eastAsia="Calibri" w:hAnsi="Times New Roman" w:cs="Times New Roman"/>
          <w:i/>
          <w:iCs/>
          <w:sz w:val="24"/>
          <w:szCs w:val="24"/>
        </w:rPr>
      </w:pPr>
      <w:r w:rsidRPr="000D1016">
        <w:rPr>
          <w:rFonts w:ascii="Times New Roman" w:eastAsia="Calibri" w:hAnsi="Times New Roman" w:cs="Times New Roman"/>
          <w:i/>
          <w:iCs/>
          <w:sz w:val="24"/>
          <w:szCs w:val="24"/>
        </w:rPr>
        <w:t xml:space="preserve">“23. ……………Whereas courts of Law are enjoined to defer to </w:t>
      </w:r>
      <w:r w:rsidR="00CD35D8" w:rsidRPr="000D1016">
        <w:rPr>
          <w:rFonts w:ascii="Times New Roman" w:eastAsia="Calibri" w:hAnsi="Times New Roman" w:cs="Times New Roman"/>
          <w:i/>
          <w:iCs/>
          <w:sz w:val="24"/>
          <w:szCs w:val="24"/>
        </w:rPr>
        <w:t>specialized</w:t>
      </w:r>
      <w:r w:rsidRPr="000D1016">
        <w:rPr>
          <w:rFonts w:ascii="Times New Roman" w:eastAsia="Calibri" w:hAnsi="Times New Roman" w:cs="Times New Roman"/>
          <w:i/>
          <w:iCs/>
          <w:sz w:val="24"/>
          <w:szCs w:val="24"/>
        </w:rPr>
        <w:t xml:space="preserve"> Tribunals and other Alternative Dispute Resolution Statutory bodies created by Parliament to resolve certain specific disputes, </w:t>
      </w:r>
      <w:r w:rsidRPr="000D1016">
        <w:rPr>
          <w:rFonts w:ascii="Times New Roman" w:eastAsia="Calibri" w:hAnsi="Times New Roman" w:cs="Times New Roman"/>
          <w:b/>
          <w:bCs/>
          <w:i/>
          <w:iCs/>
          <w:sz w:val="24"/>
          <w:szCs w:val="24"/>
          <w:u w:val="single"/>
        </w:rPr>
        <w:t>the court cannot, being a bastion of Justice, sit back and watch such institutions ride roughshod on the rights of citizens who seek refuge under the Constitution and other legislations for protection</w:t>
      </w:r>
      <w:r w:rsidRPr="000D1016">
        <w:rPr>
          <w:rFonts w:ascii="Times New Roman" w:eastAsia="Calibri" w:hAnsi="Times New Roman" w:cs="Times New Roman"/>
          <w:i/>
          <w:iCs/>
          <w:sz w:val="24"/>
          <w:szCs w:val="24"/>
        </w:rPr>
        <w:t xml:space="preserve">. </w:t>
      </w:r>
      <w:r w:rsidRPr="000D1016">
        <w:rPr>
          <w:rFonts w:ascii="Times New Roman" w:eastAsia="Calibri" w:hAnsi="Times New Roman" w:cs="Times New Roman"/>
          <w:b/>
          <w:bCs/>
          <w:i/>
          <w:iCs/>
          <w:sz w:val="24"/>
          <w:szCs w:val="24"/>
          <w:u w:val="single"/>
        </w:rPr>
        <w:t xml:space="preserve">The court is perfectly in order to intervene where there is clear abuse of discretion by such bodies, where arbitrariness, malice, capriciousness and disrespect of the Rules of natural justice are manifest. </w:t>
      </w:r>
      <w:r w:rsidRPr="000D1016">
        <w:rPr>
          <w:rFonts w:ascii="Times New Roman" w:eastAsia="Calibri" w:hAnsi="Times New Roman" w:cs="Times New Roman"/>
          <w:b/>
          <w:bCs/>
          <w:i/>
          <w:iCs/>
          <w:sz w:val="24"/>
          <w:szCs w:val="24"/>
          <w:u w:val="single"/>
        </w:rPr>
        <w:lastRenderedPageBreak/>
        <w:t>Persons charged with statutory powers and duties ought to exercise the same reasonably and fairly</w:t>
      </w:r>
      <w:r w:rsidRPr="000D1016">
        <w:rPr>
          <w:rFonts w:ascii="Times New Roman" w:eastAsia="Calibri" w:hAnsi="Times New Roman" w:cs="Times New Roman"/>
          <w:i/>
          <w:iCs/>
          <w:sz w:val="24"/>
          <w:szCs w:val="24"/>
        </w:rPr>
        <w:t>.”</w:t>
      </w:r>
    </w:p>
    <w:p w14:paraId="5AB2473C" w14:textId="77777777" w:rsidR="00737E66" w:rsidRPr="000D1016" w:rsidRDefault="00737E66" w:rsidP="000D1016">
      <w:pPr>
        <w:spacing w:after="0" w:line="360" w:lineRule="auto"/>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Therefore, it is clear courts will not be completely barred from exercising jurisdiction even in cases where exhaustion of remedies has not been adhered to. They will uphold certain exceptions based on several principles namely;</w:t>
      </w:r>
    </w:p>
    <w:p w14:paraId="0463C256" w14:textId="77777777" w:rsidR="00737E66" w:rsidRPr="000D1016" w:rsidRDefault="00737E66" w:rsidP="000D1016">
      <w:pPr>
        <w:numPr>
          <w:ilvl w:val="0"/>
          <w:numId w:val="7"/>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The inherent powers of courts to ensure justice is achieved as provided for in Article 159(2)(a)(b)(d) and (e), Sections 1A, 1B, 3A, and 63 of the Civil Procedure Act among others.</w:t>
      </w:r>
    </w:p>
    <w:p w14:paraId="02230230" w14:textId="77777777" w:rsidR="00737E66" w:rsidRPr="000D1016" w:rsidRDefault="00737E66" w:rsidP="000D1016">
      <w:pPr>
        <w:numPr>
          <w:ilvl w:val="0"/>
          <w:numId w:val="7"/>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The unlimited jurisdiction of the High Court to listen to all Civil and Criminal matters pursuant to Articles 165(3) and (5) of the Constitution of Kenya (</w:t>
      </w:r>
      <w:proofErr w:type="spellStart"/>
      <w:r w:rsidRPr="000D1016">
        <w:rPr>
          <w:rFonts w:ascii="Times New Roman" w:eastAsia="Calibri" w:hAnsi="Times New Roman" w:cs="Times New Roman"/>
          <w:sz w:val="24"/>
          <w:szCs w:val="24"/>
        </w:rPr>
        <w:t>CoK</w:t>
      </w:r>
      <w:proofErr w:type="spellEnd"/>
      <w:r w:rsidRPr="000D1016">
        <w:rPr>
          <w:rFonts w:ascii="Times New Roman" w:eastAsia="Calibri" w:hAnsi="Times New Roman" w:cs="Times New Roman"/>
          <w:sz w:val="24"/>
          <w:szCs w:val="24"/>
        </w:rPr>
        <w:t xml:space="preserve">) 2010. </w:t>
      </w:r>
    </w:p>
    <w:p w14:paraId="14178D9C" w14:textId="77777777" w:rsidR="00737E66" w:rsidRPr="000D1016" w:rsidRDefault="00737E66" w:rsidP="000D1016">
      <w:pPr>
        <w:numPr>
          <w:ilvl w:val="0"/>
          <w:numId w:val="7"/>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 xml:space="preserve">The Supremacy of the Constitution as provided for in Article 2 and its enforcement and protection pursuant to Articles 10, 258, and 259 of </w:t>
      </w:r>
      <w:proofErr w:type="spellStart"/>
      <w:r w:rsidRPr="000D1016">
        <w:rPr>
          <w:rFonts w:ascii="Times New Roman" w:eastAsia="Calibri" w:hAnsi="Times New Roman" w:cs="Times New Roman"/>
          <w:sz w:val="24"/>
          <w:szCs w:val="24"/>
        </w:rPr>
        <w:t>CoK</w:t>
      </w:r>
      <w:proofErr w:type="spellEnd"/>
      <w:r w:rsidRPr="000D1016">
        <w:rPr>
          <w:rFonts w:ascii="Times New Roman" w:eastAsia="Calibri" w:hAnsi="Times New Roman" w:cs="Times New Roman"/>
          <w:sz w:val="24"/>
          <w:szCs w:val="24"/>
        </w:rPr>
        <w:t xml:space="preserve"> 2010. </w:t>
      </w:r>
    </w:p>
    <w:p w14:paraId="66A0468E" w14:textId="77777777" w:rsidR="00737E66" w:rsidRPr="000D1016" w:rsidRDefault="00737E66" w:rsidP="000D1016">
      <w:pPr>
        <w:numPr>
          <w:ilvl w:val="0"/>
          <w:numId w:val="7"/>
        </w:numPr>
        <w:spacing w:after="0" w:line="360" w:lineRule="auto"/>
        <w:contextualSpacing/>
        <w:jc w:val="both"/>
        <w:rPr>
          <w:rFonts w:ascii="Times New Roman" w:eastAsia="Calibri" w:hAnsi="Times New Roman" w:cs="Times New Roman"/>
          <w:sz w:val="24"/>
          <w:szCs w:val="24"/>
        </w:rPr>
      </w:pPr>
      <w:r w:rsidRPr="000D1016">
        <w:rPr>
          <w:rFonts w:ascii="Times New Roman" w:eastAsia="Calibri" w:hAnsi="Times New Roman" w:cs="Times New Roman"/>
          <w:sz w:val="24"/>
          <w:szCs w:val="24"/>
        </w:rPr>
        <w:t xml:space="preserve">The uniqueness and protection of the Bill of Rights pursuant to Articles 19, 20, 21, 22, and 23 of the </w:t>
      </w:r>
      <w:proofErr w:type="spellStart"/>
      <w:r w:rsidRPr="000D1016">
        <w:rPr>
          <w:rFonts w:ascii="Times New Roman" w:eastAsia="Calibri" w:hAnsi="Times New Roman" w:cs="Times New Roman"/>
          <w:sz w:val="24"/>
          <w:szCs w:val="24"/>
        </w:rPr>
        <w:t>CoK</w:t>
      </w:r>
      <w:proofErr w:type="spellEnd"/>
      <w:r w:rsidRPr="000D1016">
        <w:rPr>
          <w:rFonts w:ascii="Times New Roman" w:eastAsia="Calibri" w:hAnsi="Times New Roman" w:cs="Times New Roman"/>
          <w:sz w:val="24"/>
          <w:szCs w:val="24"/>
        </w:rPr>
        <w:t xml:space="preserve"> 2010. </w:t>
      </w:r>
    </w:p>
    <w:p w14:paraId="2DBF9EDD" w14:textId="77777777" w:rsidR="00D12A3B" w:rsidRPr="000D1016" w:rsidRDefault="00D12A3B" w:rsidP="000D1016">
      <w:pPr>
        <w:spacing w:line="360" w:lineRule="auto"/>
        <w:jc w:val="both"/>
        <w:rPr>
          <w:rFonts w:ascii="Times New Roman" w:hAnsi="Times New Roman" w:cs="Times New Roman"/>
          <w:sz w:val="24"/>
          <w:szCs w:val="24"/>
        </w:rPr>
      </w:pPr>
    </w:p>
    <w:p w14:paraId="2B3E3FA1" w14:textId="77777777" w:rsidR="00D12A3B" w:rsidRPr="000D1016" w:rsidRDefault="00D12A3B" w:rsidP="000D1016">
      <w:pPr>
        <w:pStyle w:val="ListParagraph"/>
        <w:spacing w:line="360" w:lineRule="auto"/>
        <w:jc w:val="both"/>
        <w:rPr>
          <w:rFonts w:ascii="Times New Roman" w:hAnsi="Times New Roman" w:cs="Times New Roman"/>
          <w:b/>
          <w:sz w:val="24"/>
          <w:szCs w:val="24"/>
        </w:rPr>
      </w:pPr>
    </w:p>
    <w:p w14:paraId="0E1BD7F0" w14:textId="77777777" w:rsidR="00145BF6" w:rsidRPr="000D1016" w:rsidRDefault="00145BF6" w:rsidP="000D1016">
      <w:pPr>
        <w:pStyle w:val="ListParagraph"/>
        <w:spacing w:line="360" w:lineRule="auto"/>
        <w:jc w:val="both"/>
        <w:rPr>
          <w:rFonts w:ascii="Times New Roman" w:hAnsi="Times New Roman" w:cs="Times New Roman"/>
          <w:b/>
          <w:sz w:val="24"/>
          <w:szCs w:val="24"/>
        </w:rPr>
      </w:pPr>
    </w:p>
    <w:p w14:paraId="5D37BA7F" w14:textId="77777777" w:rsidR="00145BF6" w:rsidRPr="000D1016" w:rsidRDefault="00145BF6" w:rsidP="000D1016">
      <w:pPr>
        <w:pStyle w:val="ListParagraph"/>
        <w:spacing w:line="360" w:lineRule="auto"/>
        <w:jc w:val="both"/>
        <w:rPr>
          <w:rFonts w:ascii="Times New Roman" w:hAnsi="Times New Roman" w:cs="Times New Roman"/>
          <w:b/>
          <w:sz w:val="24"/>
          <w:szCs w:val="24"/>
        </w:rPr>
      </w:pPr>
    </w:p>
    <w:p w14:paraId="3DFA8FB3" w14:textId="77777777" w:rsidR="00145BF6" w:rsidRPr="000D1016" w:rsidRDefault="00145BF6" w:rsidP="000D1016">
      <w:pPr>
        <w:pStyle w:val="ListParagraph"/>
        <w:spacing w:line="360" w:lineRule="auto"/>
        <w:jc w:val="both"/>
        <w:rPr>
          <w:rFonts w:ascii="Times New Roman" w:hAnsi="Times New Roman" w:cs="Times New Roman"/>
          <w:b/>
          <w:sz w:val="24"/>
          <w:szCs w:val="24"/>
        </w:rPr>
      </w:pPr>
    </w:p>
    <w:p w14:paraId="50679FA4" w14:textId="77777777" w:rsidR="00145BF6" w:rsidRPr="000D1016" w:rsidRDefault="00145BF6" w:rsidP="000D1016">
      <w:pPr>
        <w:pStyle w:val="ListParagraph"/>
        <w:spacing w:line="360" w:lineRule="auto"/>
        <w:jc w:val="both"/>
        <w:rPr>
          <w:rFonts w:ascii="Times New Roman" w:hAnsi="Times New Roman" w:cs="Times New Roman"/>
          <w:b/>
          <w:sz w:val="24"/>
          <w:szCs w:val="24"/>
        </w:rPr>
      </w:pPr>
    </w:p>
    <w:p w14:paraId="326439B6" w14:textId="77777777" w:rsidR="00145BF6" w:rsidRPr="000D1016" w:rsidRDefault="00145BF6" w:rsidP="000D1016">
      <w:pPr>
        <w:pStyle w:val="ListParagraph"/>
        <w:spacing w:line="360" w:lineRule="auto"/>
        <w:jc w:val="both"/>
        <w:rPr>
          <w:rFonts w:ascii="Times New Roman" w:hAnsi="Times New Roman" w:cs="Times New Roman"/>
          <w:b/>
          <w:sz w:val="24"/>
          <w:szCs w:val="24"/>
        </w:rPr>
      </w:pPr>
    </w:p>
    <w:p w14:paraId="4A06BA82" w14:textId="77777777" w:rsidR="00145BF6" w:rsidRPr="000D1016" w:rsidRDefault="00145BF6" w:rsidP="000D1016">
      <w:pPr>
        <w:pStyle w:val="ListParagraph"/>
        <w:spacing w:line="360" w:lineRule="auto"/>
        <w:jc w:val="both"/>
        <w:rPr>
          <w:rFonts w:ascii="Times New Roman" w:hAnsi="Times New Roman" w:cs="Times New Roman"/>
          <w:b/>
          <w:sz w:val="24"/>
          <w:szCs w:val="24"/>
        </w:rPr>
      </w:pPr>
    </w:p>
    <w:p w14:paraId="7F2DDA53" w14:textId="77777777" w:rsidR="00145BF6" w:rsidRPr="000D1016" w:rsidRDefault="00145BF6" w:rsidP="000D1016">
      <w:pPr>
        <w:pStyle w:val="ListParagraph"/>
        <w:spacing w:line="360" w:lineRule="auto"/>
        <w:jc w:val="both"/>
        <w:rPr>
          <w:rFonts w:ascii="Times New Roman" w:hAnsi="Times New Roman" w:cs="Times New Roman"/>
          <w:b/>
          <w:sz w:val="24"/>
          <w:szCs w:val="24"/>
        </w:rPr>
      </w:pPr>
    </w:p>
    <w:p w14:paraId="1D1D9ED6" w14:textId="77777777" w:rsidR="00145BF6" w:rsidRPr="000D1016" w:rsidRDefault="00145BF6" w:rsidP="000D1016">
      <w:pPr>
        <w:pStyle w:val="ListParagraph"/>
        <w:spacing w:line="360" w:lineRule="auto"/>
        <w:jc w:val="both"/>
        <w:rPr>
          <w:rFonts w:ascii="Times New Roman" w:hAnsi="Times New Roman" w:cs="Times New Roman"/>
          <w:b/>
          <w:sz w:val="24"/>
          <w:szCs w:val="24"/>
        </w:rPr>
      </w:pPr>
    </w:p>
    <w:p w14:paraId="146334D0" w14:textId="77777777" w:rsidR="00CD35D8" w:rsidRPr="000D1016" w:rsidRDefault="00CD35D8" w:rsidP="000D1016">
      <w:pPr>
        <w:pStyle w:val="ListParagraph"/>
        <w:spacing w:line="360" w:lineRule="auto"/>
        <w:jc w:val="both"/>
        <w:rPr>
          <w:rFonts w:ascii="Times New Roman" w:hAnsi="Times New Roman" w:cs="Times New Roman"/>
          <w:b/>
          <w:sz w:val="24"/>
          <w:szCs w:val="24"/>
          <w:u w:val="single"/>
        </w:rPr>
      </w:pPr>
    </w:p>
    <w:p w14:paraId="3CEDC476" w14:textId="77777777" w:rsidR="00CD35D8" w:rsidRPr="000D1016" w:rsidRDefault="00CD35D8" w:rsidP="000D1016">
      <w:pPr>
        <w:pStyle w:val="ListParagraph"/>
        <w:spacing w:line="360" w:lineRule="auto"/>
        <w:jc w:val="both"/>
        <w:rPr>
          <w:rFonts w:ascii="Times New Roman" w:hAnsi="Times New Roman" w:cs="Times New Roman"/>
          <w:b/>
          <w:sz w:val="24"/>
          <w:szCs w:val="24"/>
          <w:u w:val="single"/>
        </w:rPr>
      </w:pPr>
    </w:p>
    <w:p w14:paraId="5C675187" w14:textId="77777777" w:rsidR="003461EA" w:rsidRDefault="003461EA">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0896C5DA" w14:textId="3639A478" w:rsidR="00145BF6" w:rsidRPr="003461EA" w:rsidRDefault="00145BF6" w:rsidP="003461EA">
      <w:pPr>
        <w:spacing w:line="360" w:lineRule="auto"/>
        <w:jc w:val="both"/>
        <w:rPr>
          <w:rFonts w:ascii="Times New Roman" w:hAnsi="Times New Roman" w:cs="Times New Roman"/>
          <w:b/>
          <w:sz w:val="24"/>
          <w:szCs w:val="24"/>
          <w:u w:val="single"/>
        </w:rPr>
      </w:pPr>
      <w:r w:rsidRPr="003461EA">
        <w:rPr>
          <w:rFonts w:ascii="Times New Roman" w:hAnsi="Times New Roman" w:cs="Times New Roman"/>
          <w:b/>
          <w:sz w:val="24"/>
          <w:szCs w:val="24"/>
          <w:u w:val="single"/>
        </w:rPr>
        <w:lastRenderedPageBreak/>
        <w:t>BIBLIOGRAPHY</w:t>
      </w:r>
    </w:p>
    <w:p w14:paraId="1B30EDA7" w14:textId="77777777" w:rsidR="001F095E" w:rsidRPr="000D1016" w:rsidRDefault="001F095E" w:rsidP="000D1016">
      <w:pPr>
        <w:spacing w:after="121" w:line="360" w:lineRule="auto"/>
        <w:ind w:left="9" w:hanging="10"/>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b/>
          <w:color w:val="000000"/>
          <w:sz w:val="24"/>
          <w:szCs w:val="24"/>
        </w:rPr>
        <w:t xml:space="preserve">1. Primary Legislation </w:t>
      </w:r>
    </w:p>
    <w:p w14:paraId="3F19CEA6" w14:textId="77777777" w:rsidR="001F095E" w:rsidRPr="000D1016" w:rsidRDefault="001F095E" w:rsidP="000D1016">
      <w:pPr>
        <w:spacing w:after="113" w:line="360" w:lineRule="auto"/>
        <w:ind w:left="-5" w:right="6" w:hanging="10"/>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 xml:space="preserve">Constitution of Kenya 2010 </w:t>
      </w:r>
    </w:p>
    <w:p w14:paraId="5C198BDF" w14:textId="77777777" w:rsidR="001F095E" w:rsidRPr="000D1016" w:rsidRDefault="001F095E" w:rsidP="000D1016">
      <w:pPr>
        <w:spacing w:after="115" w:line="360" w:lineRule="auto"/>
        <w:ind w:left="-5" w:right="6" w:hanging="10"/>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Environment &amp; Land Court Act No. 19 of 2011</w:t>
      </w:r>
    </w:p>
    <w:p w14:paraId="5B17D47C" w14:textId="77777777" w:rsidR="001F095E" w:rsidRPr="000D1016" w:rsidRDefault="001F095E" w:rsidP="000D1016">
      <w:pPr>
        <w:spacing w:after="112" w:line="360" w:lineRule="auto"/>
        <w:ind w:left="-5" w:right="6" w:hanging="10"/>
        <w:jc w:val="both"/>
        <w:rPr>
          <w:rFonts w:ascii="Times New Roman" w:eastAsia="Times New Roman" w:hAnsi="Times New Roman" w:cs="Times New Roman"/>
          <w:color w:val="000000"/>
          <w:sz w:val="24"/>
          <w:szCs w:val="24"/>
        </w:rPr>
      </w:pPr>
      <w:r w:rsidRPr="000D1016">
        <w:rPr>
          <w:rFonts w:ascii="Times New Roman" w:eastAsia="Times New Roman" w:hAnsi="Times New Roman" w:cs="Times New Roman"/>
          <w:color w:val="000000"/>
          <w:sz w:val="24"/>
          <w:szCs w:val="24"/>
        </w:rPr>
        <w:t xml:space="preserve">Fair Administrative Actions Act 4 2015 </w:t>
      </w:r>
    </w:p>
    <w:p w14:paraId="3C3F7728" w14:textId="77777777" w:rsidR="001F095E" w:rsidRPr="000D1016" w:rsidRDefault="001F095E" w:rsidP="000D1016">
      <w:pPr>
        <w:spacing w:after="115" w:line="360" w:lineRule="auto"/>
        <w:ind w:left="-5" w:right="6" w:hanging="10"/>
        <w:jc w:val="both"/>
        <w:rPr>
          <w:rFonts w:ascii="Times New Roman" w:hAnsi="Times New Roman" w:cs="Times New Roman"/>
          <w:sz w:val="24"/>
          <w:szCs w:val="24"/>
        </w:rPr>
      </w:pPr>
      <w:r w:rsidRPr="000D1016">
        <w:rPr>
          <w:rFonts w:ascii="Times New Roman" w:hAnsi="Times New Roman" w:cs="Times New Roman"/>
          <w:sz w:val="24"/>
          <w:szCs w:val="24"/>
        </w:rPr>
        <w:t>Magistrates’ Courts Act No. 26 of 2015</w:t>
      </w:r>
    </w:p>
    <w:p w14:paraId="69CB18C3" w14:textId="77777777" w:rsidR="001F095E" w:rsidRPr="000D1016" w:rsidRDefault="001F095E" w:rsidP="000D1016">
      <w:pPr>
        <w:spacing w:after="115" w:line="360" w:lineRule="auto"/>
        <w:ind w:left="-5" w:right="6" w:hanging="10"/>
        <w:jc w:val="both"/>
        <w:rPr>
          <w:rFonts w:ascii="Times New Roman" w:hAnsi="Times New Roman" w:cs="Times New Roman"/>
          <w:sz w:val="24"/>
          <w:szCs w:val="24"/>
        </w:rPr>
      </w:pPr>
      <w:r w:rsidRPr="000D1016">
        <w:rPr>
          <w:rFonts w:ascii="Times New Roman" w:hAnsi="Times New Roman" w:cs="Times New Roman"/>
          <w:sz w:val="24"/>
          <w:szCs w:val="24"/>
        </w:rPr>
        <w:t>Employment Act 2007, CAP 226 Laws of Kenya</w:t>
      </w:r>
    </w:p>
    <w:p w14:paraId="2F81EBE0" w14:textId="77777777" w:rsidR="001F095E" w:rsidRPr="000D1016" w:rsidRDefault="001F095E" w:rsidP="000D1016">
      <w:pPr>
        <w:spacing w:after="115" w:line="360" w:lineRule="auto"/>
        <w:ind w:left="-5" w:right="6" w:hanging="10"/>
        <w:jc w:val="both"/>
        <w:rPr>
          <w:rFonts w:ascii="Times New Roman" w:eastAsia="Times New Roman" w:hAnsi="Times New Roman" w:cs="Times New Roman"/>
          <w:color w:val="000000"/>
          <w:sz w:val="24"/>
          <w:szCs w:val="24"/>
        </w:rPr>
      </w:pPr>
    </w:p>
    <w:p w14:paraId="2642AD98" w14:textId="77777777" w:rsidR="00145BF6" w:rsidRPr="000D1016" w:rsidRDefault="00145BF6" w:rsidP="000D1016">
      <w:pPr>
        <w:pStyle w:val="ListParagraph"/>
        <w:spacing w:line="360" w:lineRule="auto"/>
        <w:jc w:val="both"/>
        <w:rPr>
          <w:rFonts w:ascii="Times New Roman" w:hAnsi="Times New Roman" w:cs="Times New Roman"/>
          <w:b/>
          <w:sz w:val="24"/>
          <w:szCs w:val="24"/>
          <w:u w:val="single"/>
        </w:rPr>
      </w:pPr>
    </w:p>
    <w:p w14:paraId="670A630D" w14:textId="77777777" w:rsidR="00E36173" w:rsidRPr="000D1016" w:rsidRDefault="00E36173" w:rsidP="000D1016">
      <w:pPr>
        <w:spacing w:line="360" w:lineRule="auto"/>
        <w:jc w:val="both"/>
        <w:rPr>
          <w:rFonts w:ascii="Times New Roman" w:hAnsi="Times New Roman" w:cs="Times New Roman"/>
          <w:sz w:val="24"/>
          <w:szCs w:val="24"/>
        </w:rPr>
      </w:pPr>
    </w:p>
    <w:sectPr w:rsidR="00E36173" w:rsidRPr="000D10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6595A" w14:textId="77777777" w:rsidR="00A063F3" w:rsidRDefault="00A063F3" w:rsidP="00D12A3B">
      <w:pPr>
        <w:spacing w:after="0" w:line="240" w:lineRule="auto"/>
      </w:pPr>
      <w:r>
        <w:separator/>
      </w:r>
    </w:p>
  </w:endnote>
  <w:endnote w:type="continuationSeparator" w:id="0">
    <w:p w14:paraId="30574288" w14:textId="77777777" w:rsidR="00A063F3" w:rsidRDefault="00A063F3" w:rsidP="00D1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7525886"/>
      <w:docPartObj>
        <w:docPartGallery w:val="Page Numbers (Bottom of Page)"/>
        <w:docPartUnique/>
      </w:docPartObj>
    </w:sdtPr>
    <w:sdtEndPr>
      <w:rPr>
        <w:noProof/>
      </w:rPr>
    </w:sdtEndPr>
    <w:sdtContent>
      <w:p w14:paraId="2ADCC671" w14:textId="77777777" w:rsidR="00145BF6" w:rsidRDefault="00145BF6">
        <w:pPr>
          <w:pStyle w:val="Footer"/>
          <w:jc w:val="center"/>
        </w:pPr>
        <w:r>
          <w:fldChar w:fldCharType="begin"/>
        </w:r>
        <w:r>
          <w:instrText xml:space="preserve"> PAGE   \* MERGEFORMAT </w:instrText>
        </w:r>
        <w:r>
          <w:fldChar w:fldCharType="separate"/>
        </w:r>
        <w:r w:rsidR="00CD35D8">
          <w:rPr>
            <w:noProof/>
          </w:rPr>
          <w:t>1</w:t>
        </w:r>
        <w:r>
          <w:rPr>
            <w:noProof/>
          </w:rPr>
          <w:fldChar w:fldCharType="end"/>
        </w:r>
      </w:p>
    </w:sdtContent>
  </w:sdt>
  <w:p w14:paraId="72B5B7DC" w14:textId="77777777" w:rsidR="00145BF6" w:rsidRDefault="00145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E126F" w14:textId="77777777" w:rsidR="00A063F3" w:rsidRDefault="00A063F3" w:rsidP="00D12A3B">
      <w:pPr>
        <w:spacing w:after="0" w:line="240" w:lineRule="auto"/>
      </w:pPr>
      <w:r>
        <w:separator/>
      </w:r>
    </w:p>
  </w:footnote>
  <w:footnote w:type="continuationSeparator" w:id="0">
    <w:p w14:paraId="466FAA3A" w14:textId="77777777" w:rsidR="00A063F3" w:rsidRDefault="00A063F3" w:rsidP="00D12A3B">
      <w:pPr>
        <w:spacing w:after="0" w:line="240" w:lineRule="auto"/>
      </w:pPr>
      <w:r>
        <w:continuationSeparator/>
      </w:r>
    </w:p>
  </w:footnote>
  <w:footnote w:id="1">
    <w:p w14:paraId="236AE090"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2012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2">
    <w:p w14:paraId="5635B486"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(2008)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3">
    <w:p w14:paraId="655B6C11"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(2020)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4">
    <w:p w14:paraId="7F4DBDE2"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Peter Njuguna Gitau v Daniel Kiprono </w:t>
      </w:r>
      <w:proofErr w:type="spellStart"/>
      <w:r w:rsidRPr="00475408">
        <w:rPr>
          <w:rFonts w:ascii="Times New Roman" w:hAnsi="Times New Roman" w:cs="Times New Roman"/>
        </w:rPr>
        <w:t>Kiptum</w:t>
      </w:r>
      <w:proofErr w:type="spellEnd"/>
      <w:r w:rsidRPr="00475408">
        <w:rPr>
          <w:rFonts w:ascii="Times New Roman" w:hAnsi="Times New Roman" w:cs="Times New Roman"/>
        </w:rPr>
        <w:t xml:space="preserve"> &amp; 3 Others (2020)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5">
    <w:p w14:paraId="647A9504"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(1843) 67 ER 313 .</w:t>
      </w:r>
    </w:p>
  </w:footnote>
  <w:footnote w:id="6">
    <w:p w14:paraId="4DB3957E"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Ibid.</w:t>
      </w:r>
    </w:p>
  </w:footnote>
  <w:footnote w:id="7">
    <w:p w14:paraId="7D7AD0D8"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(2018)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8">
    <w:p w14:paraId="6BAAF902"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(2014)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9">
    <w:p w14:paraId="191FBC63"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(2020)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10">
    <w:p w14:paraId="718AE2C6"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Henderson vs Henderson (1843) 67 ER 313.</w:t>
      </w:r>
      <w:r w:rsidRPr="00475408">
        <w:rPr>
          <w:rFonts w:ascii="Times New Roman" w:hAnsi="Times New Roman" w:cs="Times New Roman"/>
          <w:i/>
          <w:iCs/>
        </w:rPr>
        <w:t xml:space="preserve">  </w:t>
      </w:r>
    </w:p>
  </w:footnote>
  <w:footnote w:id="11">
    <w:p w14:paraId="782ACAB3"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(2021)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12">
    <w:p w14:paraId="1CAF3023" w14:textId="77777777" w:rsidR="00D12A3B" w:rsidRPr="00475408" w:rsidRDefault="00D12A3B" w:rsidP="00D12A3B">
      <w:pPr>
        <w:pStyle w:val="FootnoteText"/>
        <w:rPr>
          <w:rFonts w:ascii="Times New Roman" w:hAnsi="Times New Roman" w:cs="Times New Roman"/>
        </w:rPr>
      </w:pPr>
      <w:r w:rsidRPr="00475408">
        <w:rPr>
          <w:rStyle w:val="FootnoteReference"/>
          <w:rFonts w:ascii="Times New Roman" w:hAnsi="Times New Roman" w:cs="Times New Roman"/>
        </w:rPr>
        <w:footnoteRef/>
      </w:r>
      <w:r w:rsidRPr="00475408">
        <w:rPr>
          <w:rFonts w:ascii="Times New Roman" w:hAnsi="Times New Roman" w:cs="Times New Roman"/>
        </w:rPr>
        <w:t xml:space="preserve"> </w:t>
      </w:r>
      <w:proofErr w:type="spellStart"/>
      <w:r w:rsidRPr="00475408">
        <w:rPr>
          <w:rFonts w:ascii="Times New Roman" w:hAnsi="Times New Roman" w:cs="Times New Roman"/>
        </w:rPr>
        <w:t>Abok</w:t>
      </w:r>
      <w:proofErr w:type="spellEnd"/>
      <w:r w:rsidRPr="00475408">
        <w:rPr>
          <w:rFonts w:ascii="Times New Roman" w:hAnsi="Times New Roman" w:cs="Times New Roman"/>
        </w:rPr>
        <w:t xml:space="preserve"> James Odera t/a A.J Odera &amp; Associates v John Patrick </w:t>
      </w:r>
      <w:proofErr w:type="spellStart"/>
      <w:r w:rsidRPr="00475408">
        <w:rPr>
          <w:rFonts w:ascii="Times New Roman" w:hAnsi="Times New Roman" w:cs="Times New Roman"/>
        </w:rPr>
        <w:t>Machira</w:t>
      </w:r>
      <w:proofErr w:type="spellEnd"/>
      <w:r w:rsidRPr="00475408">
        <w:rPr>
          <w:rFonts w:ascii="Times New Roman" w:hAnsi="Times New Roman" w:cs="Times New Roman"/>
        </w:rPr>
        <w:t xml:space="preserve"> t/a </w:t>
      </w:r>
      <w:proofErr w:type="spellStart"/>
      <w:r w:rsidRPr="00475408">
        <w:rPr>
          <w:rFonts w:ascii="Times New Roman" w:hAnsi="Times New Roman" w:cs="Times New Roman"/>
        </w:rPr>
        <w:t>Machira</w:t>
      </w:r>
      <w:proofErr w:type="spellEnd"/>
      <w:r w:rsidRPr="00475408">
        <w:rPr>
          <w:rFonts w:ascii="Times New Roman" w:hAnsi="Times New Roman" w:cs="Times New Roman"/>
        </w:rPr>
        <w:t xml:space="preserve"> &amp; Co. Advocates (2013) </w:t>
      </w:r>
      <w:proofErr w:type="spellStart"/>
      <w:r w:rsidRPr="00475408">
        <w:rPr>
          <w:rFonts w:ascii="Times New Roman" w:hAnsi="Times New Roman" w:cs="Times New Roman"/>
        </w:rPr>
        <w:t>eKLR</w:t>
      </w:r>
      <w:proofErr w:type="spellEnd"/>
      <w:r w:rsidRPr="00475408">
        <w:rPr>
          <w:rFonts w:ascii="Times New Roman" w:hAnsi="Times New Roman" w:cs="Times New Roman"/>
        </w:rPr>
        <w:t>.</w:t>
      </w:r>
    </w:p>
  </w:footnote>
  <w:footnote w:id="13">
    <w:p w14:paraId="07D672FA" w14:textId="77777777" w:rsidR="00D12A3B" w:rsidRPr="00F732B3" w:rsidRDefault="00D12A3B" w:rsidP="00D12A3B">
      <w:pPr>
        <w:pStyle w:val="FootnoteText"/>
        <w:rPr>
          <w:rFonts w:ascii="Times New Roman" w:hAnsi="Times New Roman" w:cs="Times New Roman"/>
        </w:rPr>
      </w:pPr>
      <w:r w:rsidRPr="00F732B3">
        <w:rPr>
          <w:rStyle w:val="FootnoteReference"/>
          <w:rFonts w:ascii="Times New Roman" w:hAnsi="Times New Roman" w:cs="Times New Roman"/>
        </w:rPr>
        <w:footnoteRef/>
      </w:r>
      <w:r w:rsidRPr="00F732B3">
        <w:rPr>
          <w:rFonts w:ascii="Times New Roman" w:hAnsi="Times New Roman" w:cs="Times New Roman"/>
        </w:rPr>
        <w:t xml:space="preserve"> HCCC No.1034 of 2002 1KLR 2002</w:t>
      </w:r>
    </w:p>
  </w:footnote>
  <w:footnote w:id="14">
    <w:p w14:paraId="4905A681" w14:textId="77777777" w:rsidR="00D12A3B" w:rsidRDefault="00D12A3B" w:rsidP="00D12A3B">
      <w:pPr>
        <w:pStyle w:val="FootnoteText"/>
      </w:pPr>
      <w:r w:rsidRPr="00F732B3">
        <w:rPr>
          <w:rStyle w:val="FootnoteReference"/>
          <w:rFonts w:ascii="Times New Roman" w:hAnsi="Times New Roman" w:cs="Times New Roman"/>
        </w:rPr>
        <w:footnoteRef/>
      </w:r>
      <w:r w:rsidRPr="00F732B3">
        <w:rPr>
          <w:rFonts w:ascii="Times New Roman" w:hAnsi="Times New Roman" w:cs="Times New Roman"/>
        </w:rPr>
        <w:t xml:space="preserve"> (2020) </w:t>
      </w:r>
      <w:proofErr w:type="spellStart"/>
      <w:r w:rsidRPr="00F732B3">
        <w:rPr>
          <w:rFonts w:ascii="Times New Roman" w:hAnsi="Times New Roman" w:cs="Times New Roman"/>
        </w:rPr>
        <w:t>eKLR</w:t>
      </w:r>
      <w:proofErr w:type="spellEnd"/>
      <w:r>
        <w:rPr>
          <w:rFonts w:ascii="Times New Roman" w:hAnsi="Times New Roman" w:cs="Times New Roman"/>
        </w:rPr>
        <w:t>.</w:t>
      </w:r>
    </w:p>
  </w:footnote>
  <w:footnote w:id="15">
    <w:p w14:paraId="78D179DA" w14:textId="77777777" w:rsidR="00D12A3B" w:rsidRPr="00F732B3"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 xml:space="preserve">(2015) </w:t>
      </w:r>
      <w:proofErr w:type="spellStart"/>
      <w:r>
        <w:rPr>
          <w:rFonts w:ascii="Times New Roman" w:hAnsi="Times New Roman" w:cs="Times New Roman"/>
        </w:rPr>
        <w:t>eKLR</w:t>
      </w:r>
      <w:proofErr w:type="spellEnd"/>
      <w:r>
        <w:rPr>
          <w:rFonts w:ascii="Times New Roman" w:hAnsi="Times New Roman" w:cs="Times New Roman"/>
        </w:rPr>
        <w:t>.</w:t>
      </w:r>
    </w:p>
  </w:footnote>
  <w:footnote w:id="16">
    <w:p w14:paraId="173C9BFB" w14:textId="77777777" w:rsidR="00D12A3B" w:rsidRPr="00845E0C"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 xml:space="preserve">(2015) </w:t>
      </w:r>
      <w:proofErr w:type="spellStart"/>
      <w:r>
        <w:rPr>
          <w:rFonts w:ascii="Times New Roman" w:hAnsi="Times New Roman" w:cs="Times New Roman"/>
        </w:rPr>
        <w:t>eKLR</w:t>
      </w:r>
      <w:proofErr w:type="spellEnd"/>
      <w:r>
        <w:rPr>
          <w:rFonts w:ascii="Times New Roman" w:hAnsi="Times New Roman" w:cs="Times New Roman"/>
        </w:rPr>
        <w:t>.</w:t>
      </w:r>
    </w:p>
  </w:footnote>
  <w:footnote w:id="17">
    <w:p w14:paraId="0B38A25C" w14:textId="77777777" w:rsidR="00D12A3B" w:rsidRPr="00AA06A7"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Sec 7 (2) of the Magistrates’ Courts Act No. 26 of 2015</w:t>
      </w:r>
    </w:p>
  </w:footnote>
  <w:footnote w:id="18">
    <w:p w14:paraId="16B9636A" w14:textId="77777777" w:rsidR="00D12A3B" w:rsidRPr="00954F88" w:rsidRDefault="00D12A3B" w:rsidP="00D12A3B">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Article 165 (5) of the Constitution of Kenya 2010.</w:t>
      </w:r>
    </w:p>
  </w:footnote>
  <w:footnote w:id="19">
    <w:p w14:paraId="612791A1" w14:textId="77777777" w:rsidR="00D12A3B" w:rsidRPr="006D2065" w:rsidRDefault="00D12A3B" w:rsidP="00D12A3B">
      <w:pPr>
        <w:pStyle w:val="FootnoteText"/>
      </w:pPr>
      <w:r>
        <w:rPr>
          <w:rStyle w:val="FootnoteReference"/>
        </w:rPr>
        <w:footnoteRef/>
      </w:r>
      <w:r>
        <w:t xml:space="preserve"> Art. 47, Constitution of Kenya</w:t>
      </w:r>
    </w:p>
  </w:footnote>
  <w:footnote w:id="20">
    <w:p w14:paraId="460AA933" w14:textId="77777777" w:rsidR="00D12A3B" w:rsidRPr="00A26C80" w:rsidRDefault="00D12A3B" w:rsidP="00D12A3B">
      <w:pPr>
        <w:pStyle w:val="FootnoteText"/>
      </w:pPr>
      <w:r>
        <w:rPr>
          <w:rStyle w:val="FootnoteReference"/>
        </w:rPr>
        <w:footnoteRef/>
      </w:r>
      <w:r>
        <w:t xml:space="preserve"> Art. 23(3), Constitution of Kenya</w:t>
      </w:r>
    </w:p>
  </w:footnote>
  <w:footnote w:id="21">
    <w:p w14:paraId="72474917" w14:textId="77777777" w:rsidR="00D12A3B" w:rsidRPr="006354CF" w:rsidRDefault="00D12A3B" w:rsidP="00D12A3B">
      <w:pPr>
        <w:pStyle w:val="FootnoteText"/>
      </w:pPr>
      <w:r>
        <w:rPr>
          <w:rStyle w:val="FootnoteReference"/>
        </w:rPr>
        <w:footnoteRef/>
      </w:r>
      <w:r>
        <w:t xml:space="preserve"> Section 7(2)(a)(v) Fair Administrative Action Act</w:t>
      </w:r>
    </w:p>
  </w:footnote>
  <w:footnote w:id="22">
    <w:p w14:paraId="33CBF550" w14:textId="77777777" w:rsidR="00737E66" w:rsidRDefault="00737E66" w:rsidP="00737E66">
      <w:pPr>
        <w:pStyle w:val="FootnoteText"/>
      </w:pPr>
      <w:r>
        <w:rPr>
          <w:rStyle w:val="FootnoteReference"/>
        </w:rPr>
        <w:footnoteRef/>
      </w:r>
      <w:r>
        <w:t xml:space="preserve"> The Constitution of Kenya, 2010</w:t>
      </w:r>
    </w:p>
  </w:footnote>
  <w:footnote w:id="23">
    <w:p w14:paraId="328EBE94" w14:textId="77777777" w:rsidR="00737E66" w:rsidRDefault="00737E66" w:rsidP="00737E66">
      <w:pPr>
        <w:pStyle w:val="FootnoteText"/>
      </w:pPr>
      <w:r>
        <w:rPr>
          <w:rStyle w:val="FootnoteReference"/>
        </w:rPr>
        <w:footnoteRef/>
      </w:r>
      <w:r>
        <w:t xml:space="preserve"> Employment Act 2007, CAP 226 Laws of Kenya</w:t>
      </w:r>
    </w:p>
  </w:footnote>
  <w:footnote w:id="24">
    <w:p w14:paraId="2931F64E" w14:textId="77777777" w:rsidR="00737E66" w:rsidRDefault="00737E66" w:rsidP="00737E66">
      <w:pPr>
        <w:pStyle w:val="FootnoteText"/>
      </w:pPr>
      <w:r>
        <w:rPr>
          <w:rStyle w:val="FootnoteReference"/>
        </w:rPr>
        <w:footnoteRef/>
      </w:r>
      <w:r>
        <w:t>ibid</w:t>
      </w:r>
    </w:p>
  </w:footnote>
  <w:footnote w:id="25">
    <w:p w14:paraId="7CC2CD33" w14:textId="77777777" w:rsidR="00737E66" w:rsidRDefault="00737E66" w:rsidP="00737E66">
      <w:pPr>
        <w:pStyle w:val="FootnoteText"/>
      </w:pPr>
      <w:r>
        <w:rPr>
          <w:rStyle w:val="FootnoteReference"/>
        </w:rPr>
        <w:footnoteRef/>
      </w:r>
      <w:r>
        <w:t xml:space="preserve"> ibid</w:t>
      </w:r>
    </w:p>
  </w:footnote>
  <w:footnote w:id="26">
    <w:p w14:paraId="58470693" w14:textId="77777777" w:rsidR="00737E66" w:rsidRPr="00BC4973" w:rsidRDefault="00737E66" w:rsidP="00737E66">
      <w:pPr>
        <w:rPr>
          <w:rFonts w:ascii="Times New Roman" w:hAnsi="Times New Roman" w:cs="Times New Roman"/>
        </w:rPr>
      </w:pPr>
      <w:r>
        <w:rPr>
          <w:rStyle w:val="FootnoteReference"/>
        </w:rPr>
        <w:footnoteRef/>
      </w:r>
      <w:r>
        <w:t xml:space="preserve"> </w:t>
      </w:r>
      <w:proofErr w:type="spellStart"/>
      <w:r w:rsidRPr="00BC4973">
        <w:rPr>
          <w:rFonts w:ascii="Times New Roman" w:hAnsi="Times New Roman" w:cs="Times New Roman"/>
          <w:color w:val="5A5A5A"/>
          <w:sz w:val="18"/>
          <w:szCs w:val="18"/>
          <w:shd w:val="clear" w:color="auto" w:fill="FFFFFF"/>
        </w:rPr>
        <w:t>Karisa</w:t>
      </w:r>
      <w:proofErr w:type="spellEnd"/>
      <w:r w:rsidRPr="00BC4973">
        <w:rPr>
          <w:rFonts w:ascii="Times New Roman" w:hAnsi="Times New Roman" w:cs="Times New Roman"/>
          <w:color w:val="5A5A5A"/>
          <w:sz w:val="18"/>
          <w:szCs w:val="18"/>
          <w:shd w:val="clear" w:color="auto" w:fill="FFFFFF"/>
        </w:rPr>
        <w:t xml:space="preserve"> </w:t>
      </w:r>
      <w:proofErr w:type="spellStart"/>
      <w:r w:rsidRPr="00BC4973">
        <w:rPr>
          <w:rFonts w:ascii="Times New Roman" w:hAnsi="Times New Roman" w:cs="Times New Roman"/>
          <w:color w:val="5A5A5A"/>
          <w:sz w:val="18"/>
          <w:szCs w:val="18"/>
          <w:shd w:val="clear" w:color="auto" w:fill="FFFFFF"/>
        </w:rPr>
        <w:t>Chengo</w:t>
      </w:r>
      <w:proofErr w:type="spellEnd"/>
      <w:r w:rsidRPr="00BC4973">
        <w:rPr>
          <w:rFonts w:ascii="Times New Roman" w:hAnsi="Times New Roman" w:cs="Times New Roman"/>
          <w:color w:val="5A5A5A"/>
          <w:sz w:val="18"/>
          <w:szCs w:val="18"/>
          <w:shd w:val="clear" w:color="auto" w:fill="FFFFFF"/>
        </w:rPr>
        <w:t xml:space="preserve"> &amp; 2 others v Republic Civil Appeal Nos. 44, 45 &amp; 76 of 2014 [2015] </w:t>
      </w:r>
    </w:p>
    <w:p w14:paraId="37D428B8" w14:textId="77777777" w:rsidR="00737E66" w:rsidRDefault="00737E66" w:rsidP="00737E6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D94"/>
    <w:multiLevelType w:val="hybridMultilevel"/>
    <w:tmpl w:val="AFD62A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67661"/>
    <w:multiLevelType w:val="hybridMultilevel"/>
    <w:tmpl w:val="59F6BAA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0C732FC"/>
    <w:multiLevelType w:val="hybridMultilevel"/>
    <w:tmpl w:val="6BA4D992"/>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33F03D3A"/>
    <w:multiLevelType w:val="hybridMultilevel"/>
    <w:tmpl w:val="DC80BF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F9D08F4"/>
    <w:multiLevelType w:val="hybridMultilevel"/>
    <w:tmpl w:val="67D0F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A3004"/>
    <w:multiLevelType w:val="hybridMultilevel"/>
    <w:tmpl w:val="9070B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6F7732"/>
    <w:multiLevelType w:val="hybridMultilevel"/>
    <w:tmpl w:val="02723862"/>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7" w15:restartNumberingAfterBreak="0">
    <w:nsid w:val="7CB15E2E"/>
    <w:multiLevelType w:val="hybridMultilevel"/>
    <w:tmpl w:val="B3D0BB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1436922">
    <w:abstractNumId w:val="5"/>
  </w:num>
  <w:num w:numId="2" w16cid:durableId="943537021">
    <w:abstractNumId w:val="3"/>
  </w:num>
  <w:num w:numId="3" w16cid:durableId="1707876143">
    <w:abstractNumId w:val="1"/>
  </w:num>
  <w:num w:numId="4" w16cid:durableId="152645352">
    <w:abstractNumId w:val="4"/>
  </w:num>
  <w:num w:numId="5" w16cid:durableId="1414542840">
    <w:abstractNumId w:val="6"/>
  </w:num>
  <w:num w:numId="6" w16cid:durableId="1423646919">
    <w:abstractNumId w:val="2"/>
  </w:num>
  <w:num w:numId="7" w16cid:durableId="217592746">
    <w:abstractNumId w:val="7"/>
  </w:num>
  <w:num w:numId="8" w16cid:durableId="18109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3B"/>
    <w:rsid w:val="000D1016"/>
    <w:rsid w:val="00145BF6"/>
    <w:rsid w:val="001C1E24"/>
    <w:rsid w:val="001F095E"/>
    <w:rsid w:val="00303338"/>
    <w:rsid w:val="003461EA"/>
    <w:rsid w:val="0054194D"/>
    <w:rsid w:val="005D4F02"/>
    <w:rsid w:val="006811C3"/>
    <w:rsid w:val="00737E66"/>
    <w:rsid w:val="007519EF"/>
    <w:rsid w:val="00761E4A"/>
    <w:rsid w:val="0089027A"/>
    <w:rsid w:val="008B4AE0"/>
    <w:rsid w:val="00975451"/>
    <w:rsid w:val="0098473B"/>
    <w:rsid w:val="00A063F3"/>
    <w:rsid w:val="00AC5150"/>
    <w:rsid w:val="00B67DCD"/>
    <w:rsid w:val="00CD35D8"/>
    <w:rsid w:val="00D12A3B"/>
    <w:rsid w:val="00E36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7CC0"/>
  <w15:chartTrackingRefBased/>
  <w15:docId w15:val="{3803DD5C-5EFB-40CC-91C1-AFAF9E19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A3B"/>
  </w:style>
  <w:style w:type="paragraph" w:styleId="Heading2">
    <w:name w:val="heading 2"/>
    <w:basedOn w:val="Normal"/>
    <w:next w:val="Normal"/>
    <w:link w:val="Heading2Char"/>
    <w:uiPriority w:val="9"/>
    <w:unhideWhenUsed/>
    <w:qFormat/>
    <w:rsid w:val="00737E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12A3B"/>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D12A3B"/>
    <w:pPr>
      <w:ind w:left="720"/>
      <w:contextualSpacing/>
    </w:pPr>
  </w:style>
  <w:style w:type="paragraph" w:styleId="FootnoteText">
    <w:name w:val="footnote text"/>
    <w:basedOn w:val="Normal"/>
    <w:link w:val="FootnoteTextChar"/>
    <w:uiPriority w:val="99"/>
    <w:semiHidden/>
    <w:unhideWhenUsed/>
    <w:rsid w:val="00D12A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2A3B"/>
    <w:rPr>
      <w:sz w:val="20"/>
      <w:szCs w:val="20"/>
    </w:rPr>
  </w:style>
  <w:style w:type="character" w:styleId="FootnoteReference">
    <w:name w:val="footnote reference"/>
    <w:basedOn w:val="DefaultParagraphFont"/>
    <w:uiPriority w:val="99"/>
    <w:semiHidden/>
    <w:unhideWhenUsed/>
    <w:rsid w:val="00D12A3B"/>
    <w:rPr>
      <w:vertAlign w:val="superscript"/>
    </w:rPr>
  </w:style>
  <w:style w:type="character" w:customStyle="1" w:styleId="Heading2Char">
    <w:name w:val="Heading 2 Char"/>
    <w:basedOn w:val="DefaultParagraphFont"/>
    <w:link w:val="Heading2"/>
    <w:uiPriority w:val="9"/>
    <w:rsid w:val="00737E6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45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BF6"/>
  </w:style>
  <w:style w:type="paragraph" w:styleId="Footer">
    <w:name w:val="footer"/>
    <w:basedOn w:val="Normal"/>
    <w:link w:val="FooterChar"/>
    <w:uiPriority w:val="99"/>
    <w:unhideWhenUsed/>
    <w:rsid w:val="00145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6598</Words>
  <Characters>37613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2023-02-26T20:56:00Z</dcterms:created>
  <dcterms:modified xsi:type="dcterms:W3CDTF">2023-02-26T20:56:00Z</dcterms:modified>
</cp:coreProperties>
</file>