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PUBLIC IMPORTANCE</w:t>
      </w:r>
    </w:p>
    <w:p w:rsidR="00000000" w:rsidDel="00000000" w:rsidP="00000000" w:rsidRDefault="00000000" w:rsidRPr="00000000" w14:paraId="00000002">
      <w:pP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Based on the cases analysed namely: Hermanus </w:t>
      </w:r>
      <w:r w:rsidDel="00000000" w:rsidR="00000000" w:rsidRPr="00000000">
        <w:rPr>
          <w:rFonts w:ascii="Times New Roman" w:cs="Times New Roman" w:eastAsia="Times New Roman" w:hAnsi="Times New Roman"/>
          <w:i w:val="1"/>
          <w:sz w:val="24"/>
          <w:szCs w:val="24"/>
          <w:rtl w:val="0"/>
        </w:rPr>
        <w:t xml:space="preserve">Phillipus Steyn v Giovanni Gnecchi-Ruscone </w:t>
      </w:r>
      <w:r w:rsidDel="00000000" w:rsidR="00000000" w:rsidRPr="00000000">
        <w:rPr>
          <w:rFonts w:ascii="Times New Roman" w:cs="Times New Roman" w:eastAsia="Times New Roman" w:hAnsi="Times New Roman"/>
          <w:sz w:val="24"/>
          <w:szCs w:val="24"/>
          <w:rtl w:val="0"/>
        </w:rPr>
        <w:t xml:space="preserve">[2013]</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eKLR</w:t>
      </w:r>
      <w:r w:rsidDel="00000000" w:rsidR="00000000" w:rsidRPr="00000000">
        <w:rPr>
          <w:rFonts w:ascii="Times New Roman" w:cs="Times New Roman" w:eastAsia="Times New Roman" w:hAnsi="Times New Roman"/>
          <w:i w:val="1"/>
          <w:sz w:val="24"/>
          <w:szCs w:val="24"/>
          <w:rtl w:val="0"/>
        </w:rPr>
        <w:t xml:space="preserve">; Town Council of Awendo v Nelson Oduor Onyango &amp; 3 Others</w:t>
      </w:r>
      <w:r w:rsidDel="00000000" w:rsidR="00000000" w:rsidRPr="00000000">
        <w:rPr>
          <w:rFonts w:ascii="Times New Roman" w:cs="Times New Roman" w:eastAsia="Times New Roman" w:hAnsi="Times New Roman"/>
          <w:sz w:val="24"/>
          <w:szCs w:val="24"/>
          <w:rtl w:val="0"/>
        </w:rPr>
        <w:t xml:space="preserve"> (2015) eKRL; and </w:t>
      </w:r>
      <w:r w:rsidDel="00000000" w:rsidR="00000000" w:rsidRPr="00000000">
        <w:rPr>
          <w:rFonts w:ascii="Times New Roman" w:cs="Times New Roman" w:eastAsia="Times New Roman" w:hAnsi="Times New Roman"/>
          <w:i w:val="1"/>
          <w:sz w:val="24"/>
          <w:szCs w:val="24"/>
          <w:rtl w:val="0"/>
        </w:rPr>
        <w:t xml:space="preserve">Pati Limited v Funzi Island Development Limited &amp; 4 Others</w:t>
      </w:r>
      <w:r w:rsidDel="00000000" w:rsidR="00000000" w:rsidRPr="00000000">
        <w:rPr>
          <w:rFonts w:ascii="Times New Roman" w:cs="Times New Roman" w:eastAsia="Times New Roman" w:hAnsi="Times New Roman"/>
          <w:sz w:val="24"/>
          <w:szCs w:val="24"/>
          <w:rtl w:val="0"/>
        </w:rPr>
        <w:t xml:space="preserve"> [2019] eKLR they establish that the essentials of General public importance are non-exhaustive. Second, the essentials fall under two categories namely, the majority decision elements and the additional elements that are from the dissenting opinion. The majority opinion elements taken to be the decision of the court. However, we observed that the additional elements from dissenting opinions are progressively populating the elements of majority decision.</w:t>
      </w: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matter of general public importance is a matter whose consequences have a bearing on the public interest. </w:t>
      </w:r>
      <w:r w:rsidDel="00000000" w:rsidR="00000000" w:rsidRPr="00000000">
        <w:rPr>
          <w:rFonts w:ascii="Times New Roman" w:cs="Times New Roman" w:eastAsia="Times New Roman" w:hAnsi="Times New Roman"/>
          <w:b w:val="1"/>
          <w:sz w:val="24"/>
          <w:szCs w:val="24"/>
          <w:rtl w:val="0"/>
        </w:rPr>
        <w:t xml:space="preserve">Black's Law Dictionary</w:t>
      </w:r>
      <w:r w:rsidDel="00000000" w:rsidR="00000000" w:rsidRPr="00000000">
        <w:rPr>
          <w:rFonts w:ascii="Times New Roman" w:cs="Times New Roman" w:eastAsia="Times New Roman" w:hAnsi="Times New Roman"/>
          <w:sz w:val="24"/>
          <w:szCs w:val="24"/>
          <w:rtl w:val="0"/>
        </w:rPr>
        <w:t xml:space="preserve"> defines 'anything with a public interest' as anything that is of concern to the general public or community. T</w:t>
      </w:r>
      <w:r w:rsidDel="00000000" w:rsidR="00000000" w:rsidRPr="00000000">
        <w:rPr>
          <w:rFonts w:ascii="Times New Roman" w:cs="Times New Roman" w:eastAsia="Times New Roman" w:hAnsi="Times New Roman"/>
          <w:sz w:val="24"/>
          <w:szCs w:val="24"/>
          <w:rtl w:val="0"/>
        </w:rPr>
        <w:t xml:space="preserve">he general welfare of the public that warrants recognition and protection, something in which the public as a whole has stakes, especially that justifies governmental regulation.</w:t>
      </w: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Essentials of Matters of General Public Importance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Kenyan phraseology of GPI as espoused by the Supreme Court of Kenya would be a matter of law or fact, provided only that: its impacts and consequences that are substantial, broad-based, transcending the litigation-interests of the parties, and bearing upon the public interest. </w:t>
      </w:r>
      <w:r w:rsidDel="00000000" w:rsidR="00000000" w:rsidRPr="00000000">
        <w:rPr>
          <w:rFonts w:ascii="Times New Roman" w:cs="Times New Roman" w:eastAsia="Times New Roman" w:hAnsi="Times New Roman"/>
          <w:sz w:val="24"/>
          <w:szCs w:val="24"/>
          <w:rtl w:val="0"/>
        </w:rPr>
        <w:t xml:space="preserve">These principles were set out in the case of </w:t>
      </w:r>
      <w:r w:rsidDel="00000000" w:rsidR="00000000" w:rsidRPr="00000000">
        <w:rPr>
          <w:rFonts w:ascii="Times New Roman" w:cs="Times New Roman" w:eastAsia="Times New Roman" w:hAnsi="Times New Roman"/>
          <w:i w:val="1"/>
          <w:sz w:val="24"/>
          <w:szCs w:val="24"/>
          <w:rtl w:val="0"/>
        </w:rPr>
        <w:t xml:space="preserve">Hermanus Steyn</w:t>
      </w:r>
      <w:r w:rsidDel="00000000" w:rsidR="00000000" w:rsidRPr="00000000">
        <w:rPr>
          <w:rFonts w:ascii="Times New Roman" w:cs="Times New Roman" w:eastAsia="Times New Roman" w:hAnsi="Times New Roman"/>
          <w:i w:val="1"/>
          <w:sz w:val="24"/>
          <w:szCs w:val="24"/>
          <w:rtl w:val="0"/>
        </w:rPr>
        <w:t xml:space="preserve"> and expounded in the case of </w:t>
      </w:r>
      <w:r w:rsidDel="00000000" w:rsidR="00000000" w:rsidRPr="00000000">
        <w:rPr>
          <w:rFonts w:ascii="Times New Roman" w:cs="Times New Roman" w:eastAsia="Times New Roman" w:hAnsi="Times New Roman"/>
          <w:i w:val="1"/>
          <w:sz w:val="24"/>
          <w:szCs w:val="24"/>
          <w:rtl w:val="0"/>
        </w:rPr>
        <w:t xml:space="preserve">Malcolm Bell</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highlight w:val="white"/>
          <w:rtl w:val="0"/>
        </w:rPr>
        <w:t xml:space="preserve">Hermanus Phillipus Steyn v Giovanni Gnecchi-Ruscone</w:t>
      </w:r>
      <w:r w:rsidDel="00000000" w:rsidR="00000000" w:rsidRPr="00000000">
        <w:rPr>
          <w:rFonts w:ascii="Times New Roman" w:cs="Times New Roman" w:eastAsia="Times New Roman" w:hAnsi="Times New Roman"/>
          <w:i w:val="1"/>
          <w:sz w:val="24"/>
          <w:szCs w:val="24"/>
          <w:rtl w:val="0"/>
        </w:rPr>
        <w:t xml:space="preserve"> case</w:t>
      </w:r>
      <w:r w:rsidDel="00000000" w:rsidR="00000000" w:rsidRPr="00000000">
        <w:rPr>
          <w:rFonts w:ascii="Times New Roman" w:cs="Times New Roman" w:eastAsia="Times New Roman" w:hAnsi="Times New Roman"/>
          <w:i w:val="1"/>
          <w:sz w:val="24"/>
          <w:szCs w:val="24"/>
          <w:vertAlign w:val="superscript"/>
        </w:rPr>
        <w:footnoteReference w:customMarkFollows="0" w:id="0"/>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applicant had urged that the matter related to a particular class of litigants in Kenya, namely brokers and commission agents; and that it related to an award of damages which paid no regard to the compensation terms embodied in the commission agreement. The Court had to decide the question whether brokers and commission agents constituted a category of litigants of general importance; and it was urged that the matter raised questions of general importance to business persons, especially investors and commission agents. It was contended that an error such as that which was being attributed to the Court of Appeal, was destined to stand in law as precedent for future disputes – and that this scenario raised a matter of general public importance. The majority Ruling (Tunoi, Wanjala, Ndungu, SCJJ) was that:</w:t>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our opinion…that counsel is treading a journey of legal innovation so as to clothe a private-agency contract between two parties with ingredients of public interest. The nature of the commission agreement in the instant case and the dispute arising therefrom cannot affect all business people in Kenya including all agents and investors.”</w:t>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Malcolm Bell v. Hon. Daniel Toroitich </w:t>
      </w:r>
      <w:r w:rsidDel="00000000" w:rsidR="00000000" w:rsidRPr="00000000">
        <w:rPr>
          <w:rFonts w:ascii="Times New Roman" w:cs="Times New Roman" w:eastAsia="Times New Roman" w:hAnsi="Times New Roman"/>
          <w:i w:val="1"/>
          <w:sz w:val="24"/>
          <w:szCs w:val="24"/>
          <w:rtl w:val="0"/>
        </w:rPr>
        <w:t xml:space="preserve">arap</w:t>
      </w:r>
      <w:r w:rsidDel="00000000" w:rsidR="00000000" w:rsidRPr="00000000">
        <w:rPr>
          <w:rFonts w:ascii="Times New Roman" w:cs="Times New Roman" w:eastAsia="Times New Roman" w:hAnsi="Times New Roman"/>
          <w:i w:val="1"/>
          <w:sz w:val="24"/>
          <w:szCs w:val="24"/>
          <w:rtl w:val="0"/>
        </w:rPr>
        <w:t xml:space="preserve"> Moi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and Another</w:t>
      </w:r>
      <w:r w:rsidDel="00000000" w:rsidR="00000000" w:rsidRPr="00000000">
        <w:rPr>
          <w:rFonts w:ascii="Times New Roman" w:cs="Times New Roman" w:eastAsia="Times New Roman" w:hAnsi="Times New Roman"/>
          <w:i w:val="1"/>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the Court was in agreement that no matter of general public importance had been raised, as a basis for invoking its jurisdiction:</w:t>
      </w:r>
    </w:p>
    <w:p w:rsidR="00000000" w:rsidDel="00000000" w:rsidP="00000000" w:rsidRDefault="00000000" w:rsidRPr="00000000" w14:paraId="000000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failed to establish a foundation for the lodgment of an ultimate appeal in the Supreme Court. As the case raises no matters of general public importance, this Court’s jurisdiction has not been properly invoked, and the Court of Appeal was in error, as a matter of law, in granting certification for a further appeal. The guiding principles for determining whether a question is one of general public importance and therefore merits such an appeal, have been elaborated in the Hermanus Steyn case: and the proposed appeal herein fails the test, notwithstanding that its subject-matter is landed property.” </w:t>
      </w:r>
    </w:p>
    <w:p w:rsidR="00000000" w:rsidDel="00000000" w:rsidP="00000000" w:rsidRDefault="00000000" w:rsidRPr="00000000" w14:paraId="0000000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Flowing from the above definitions and the above cases cited, the essential elements are thus;</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 must satisfy the court that the issue to be canvassed on appeal is one that its determination transcends the circumstances of the specific case and has a significant bearing on the public interest.</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situation of seeking certification that raises a point of law, the intending appellants must demonstrate that such a point is substantial, and its determination will have significant ramification on the public interest.</w:t>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questions of law must have arisen in the court or courts below, and must have been the subject of judicial determination.</w:t>
      </w:r>
    </w:p>
    <w:p w:rsidR="00000000" w:rsidDel="00000000" w:rsidP="00000000" w:rsidRDefault="00000000" w:rsidRPr="00000000" w14:paraId="0000000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application for certification has been occasioned by a state of uncertainty in the law arising from contradictory precedents, the Supreme Court may either resolve the uncertainty as it may determine, or refer the matter to the Court of Appeal for its determination</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 apprehension of miscarriage of justice, a matter most apt for resolution in the lower superior courts, is not a proper basis for granting certification for an appeal to the Supreme Court, the matter to be certified for a final appeal in the Supreme Court, must still fall within the terms of Article 163 (4)(b) of Constitution. </w:t>
      </w:r>
    </w:p>
    <w:p w:rsidR="00000000" w:rsidDel="00000000" w:rsidP="00000000" w:rsidRDefault="00000000" w:rsidRPr="00000000" w14:paraId="0000001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intending applicant has an obligation to identify and concisely, set out the specific elements of general public importance which he or she attributes to the matter for which certification is sought</w:t>
      </w:r>
    </w:p>
    <w:p w:rsidR="00000000" w:rsidDel="00000000" w:rsidP="00000000" w:rsidRDefault="00000000" w:rsidRPr="00000000" w14:paraId="0000001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Determination of facts in contests between parties are not by themselves, a basis for granting certification for an appeal before the Supreme Court.</w:t>
      </w:r>
    </w:p>
    <w:p w:rsidR="00000000" w:rsidDel="00000000" w:rsidP="00000000" w:rsidRDefault="00000000" w:rsidRPr="00000000" w14:paraId="00000013">
      <w:pPr>
        <w:numPr>
          <w:ilvl w:val="0"/>
          <w:numId w:val="2"/>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must be of transitional political-economic-social cum legal factors with impacts on current rights and entitlements of suitors, or on public access to common utilities and services.</w:t>
      </w:r>
    </w:p>
    <w:p w:rsidR="00000000" w:rsidDel="00000000" w:rsidP="00000000" w:rsidRDefault="00000000" w:rsidRPr="00000000" w14:paraId="0000001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circumstances based on dissenting Opinions in the judgment:</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of law of repeated occurrence in the general course of litigation;</w:t>
      </w:r>
    </w:p>
    <w:p w:rsidR="00000000" w:rsidDel="00000000" w:rsidP="00000000" w:rsidRDefault="00000000" w:rsidRPr="00000000" w14:paraId="00000016">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of law that are as a fact or as it appears from the very nature things, set to affect considerable numbers of persons in general, or of litigants;</w:t>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of law that are destined to continually engage the working of the judicial organs;</w:t>
      </w:r>
    </w:p>
    <w:p w:rsidR="00000000" w:rsidDel="00000000" w:rsidP="00000000" w:rsidRDefault="00000000" w:rsidRPr="00000000" w14:paraId="00000018">
      <w:pPr>
        <w:numPr>
          <w:ilvl w:val="0"/>
          <w:numId w:val="1"/>
        </w:numPr>
        <w:spacing w:after="1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bearing on the proper conduct of the administration of justice.</w:t>
      </w:r>
      <w:r w:rsidDel="00000000" w:rsidR="00000000" w:rsidRPr="00000000">
        <w:rPr>
          <w:rtl w:val="0"/>
        </w:rPr>
      </w:r>
    </w:p>
    <w:p w:rsidR="00000000" w:rsidDel="00000000" w:rsidP="00000000" w:rsidRDefault="00000000" w:rsidRPr="00000000" w14:paraId="00000019">
      <w:pP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CAN SUPREME COURT OF KENYA DEPART FROM ITS EARLIER DECISION?</w:t>
      </w:r>
    </w:p>
    <w:p w:rsidR="00000000" w:rsidDel="00000000" w:rsidP="00000000" w:rsidRDefault="00000000" w:rsidRPr="00000000" w14:paraId="0000001A">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important question that needs to be addressed in the build up to answering the question is whether the Supreme Court is bound by its earlier Decisions. The supreme court is not bound by the stare decisis doctrine. Mr. Nowrojee, in </w:t>
      </w:r>
      <w:r w:rsidDel="00000000" w:rsidR="00000000" w:rsidRPr="00000000">
        <w:rPr>
          <w:rFonts w:ascii="Times New Roman" w:cs="Times New Roman" w:eastAsia="Times New Roman" w:hAnsi="Times New Roman"/>
          <w:i w:val="1"/>
          <w:sz w:val="24"/>
          <w:szCs w:val="24"/>
          <w:rtl w:val="0"/>
        </w:rPr>
        <w:t xml:space="preserve">Jasbir Singh Rai &amp; 3 others v Tarlochan Singh Rai Estate of &amp; 4 others </w:t>
      </w:r>
      <w:r w:rsidDel="00000000" w:rsidR="00000000" w:rsidRPr="00000000">
        <w:rPr>
          <w:rFonts w:ascii="Times New Roman" w:cs="Times New Roman" w:eastAsia="Times New Roman" w:hAnsi="Times New Roman"/>
          <w:sz w:val="24"/>
          <w:szCs w:val="24"/>
          <w:rtl w:val="0"/>
        </w:rPr>
        <w:t xml:space="preserve">[2013] eKLR</w:t>
      </w:r>
      <w:r w:rsidDel="00000000" w:rsidR="00000000" w:rsidRPr="00000000">
        <w:rPr>
          <w:rFonts w:ascii="Times New Roman" w:cs="Times New Roman" w:eastAsia="Times New Roman" w:hAnsi="Times New Roman"/>
          <w:sz w:val="24"/>
          <w:szCs w:val="24"/>
          <w:rtl w:val="0"/>
        </w:rPr>
        <w:t xml:space="preserve">, argued that the Constitution anticipates that the Court may need to depart from its judgment stipulating that, all courts, other than the Supreme Court, are bound by the decisions of the Supreme Court.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further quoted Sir. William Duffus, “</w:t>
      </w:r>
      <w:r w:rsidDel="00000000" w:rsidR="00000000" w:rsidRPr="00000000">
        <w:rPr>
          <w:rFonts w:ascii="Times New Roman" w:cs="Times New Roman" w:eastAsia="Times New Roman" w:hAnsi="Times New Roman"/>
          <w:i w:val="1"/>
          <w:sz w:val="24"/>
          <w:szCs w:val="24"/>
          <w:rtl w:val="0"/>
        </w:rPr>
        <w:t xml:space="preserve">I entirely agree with my Lord President that this Court must, as the ultimate Court of Appeal, have a similar power to that formerly exercised by the Privy Council when it was the final Court of Appeal for Kenya. The duty of this Court in Kenya is to decide any case coming before it according to the laws of Kenya and this Court may be unable to do so if it is bound to follow a previous decision, which is clearly contrary to law and which this Court feels that it would be wrong to follow, and the Court must, therefore, as the ultimate Court of Appeal, be able to depart from a previous decision when it appears right to do so.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1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CIRCUMSTANCES WHERE THE SUPREME COURT CAN DEPART FROM IT EARLIER DECISION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reasons for departing are to enable  the court promote purpose, values and principles of the Constitution as well as promote development of the law as per Article  259 of the Constitution and Section 3 of the Supreme Court Act, 2011. This can be seen where;</w:t>
      </w:r>
      <w:r w:rsidDel="00000000" w:rsidR="00000000" w:rsidRPr="00000000">
        <w:rPr>
          <w:rtl w:val="0"/>
        </w:rPr>
      </w:r>
    </w:p>
    <w:p w:rsidR="00000000" w:rsidDel="00000000" w:rsidP="00000000" w:rsidRDefault="00000000" w:rsidRPr="00000000" w14:paraId="0000001E">
      <w:pPr>
        <w:numPr>
          <w:ilvl w:val="0"/>
          <w:numId w:val="3"/>
        </w:numPr>
        <w:spacing w:after="160"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Decision was given </w:t>
      </w:r>
      <w:r w:rsidDel="00000000" w:rsidR="00000000" w:rsidRPr="00000000">
        <w:rPr>
          <w:rFonts w:ascii="Times New Roman" w:cs="Times New Roman" w:eastAsia="Times New Roman" w:hAnsi="Times New Roman"/>
          <w:i w:val="1"/>
          <w:sz w:val="24"/>
          <w:szCs w:val="24"/>
          <w:rtl w:val="0"/>
        </w:rPr>
        <w:t xml:space="preserve">per </w:t>
      </w:r>
      <w:r w:rsidDel="00000000" w:rsidR="00000000" w:rsidRPr="00000000">
        <w:rPr>
          <w:rFonts w:ascii="Times New Roman" w:cs="Times New Roman" w:eastAsia="Times New Roman" w:hAnsi="Times New Roman"/>
          <w:i w:val="1"/>
          <w:sz w:val="24"/>
          <w:szCs w:val="24"/>
          <w:rtl w:val="0"/>
        </w:rPr>
        <w:t xml:space="preserve">incuriam</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Kiriri Cotton Co. v. Ranchhoddas Devani</w:t>
      </w:r>
      <w:r w:rsidDel="00000000" w:rsidR="00000000" w:rsidRPr="00000000">
        <w:rPr>
          <w:rFonts w:ascii="Times New Roman" w:cs="Times New Roman" w:eastAsia="Times New Roman" w:hAnsi="Times New Roman"/>
          <w:i w:val="1"/>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where the East African Court of Appeal was the Apex Court in East Africa, the court observed that it was not bound to follow its own previous decision if such decision was given </w:t>
      </w:r>
      <w:r w:rsidDel="00000000" w:rsidR="00000000" w:rsidRPr="00000000">
        <w:rPr>
          <w:rFonts w:ascii="Times New Roman" w:cs="Times New Roman" w:eastAsia="Times New Roman" w:hAnsi="Times New Roman"/>
          <w:i w:val="1"/>
          <w:sz w:val="24"/>
          <w:szCs w:val="24"/>
          <w:rtl w:val="0"/>
        </w:rPr>
        <w:t xml:space="preserve">per </w:t>
      </w:r>
      <w:r w:rsidDel="00000000" w:rsidR="00000000" w:rsidRPr="00000000">
        <w:rPr>
          <w:rFonts w:ascii="Times New Roman" w:cs="Times New Roman" w:eastAsia="Times New Roman" w:hAnsi="Times New Roman"/>
          <w:i w:val="1"/>
          <w:sz w:val="24"/>
          <w:szCs w:val="24"/>
          <w:rtl w:val="0"/>
        </w:rPr>
        <w:t xml:space="preserve">incuriam</w:t>
      </w:r>
      <w:r w:rsidDel="00000000" w:rsidR="00000000" w:rsidRPr="00000000">
        <w:rPr>
          <w:rFonts w:ascii="Times New Roman" w:cs="Times New Roman" w:eastAsia="Times New Roman" w:hAnsi="Times New Roman"/>
          <w:sz w:val="24"/>
          <w:szCs w:val="24"/>
          <w:rtl w:val="0"/>
        </w:rPr>
        <w:t xml:space="preserve">. The Court in that case, remarked that the principle of stare decisis was subject to certain qualifications, the Court could choose to rely on either of its previous decisions, where two of its decisions are conflicting, the Court would not follow its previous decision if it was inconsistent with a decision of the Privy Council or of the House of Lords (which were higher Courts in the colonial judicial hierarchy).  It was not bound to follow a decision given </w:t>
      </w:r>
      <w:r w:rsidDel="00000000" w:rsidR="00000000" w:rsidRPr="00000000">
        <w:rPr>
          <w:rFonts w:ascii="Times New Roman" w:cs="Times New Roman" w:eastAsia="Times New Roman" w:hAnsi="Times New Roman"/>
          <w:i w:val="1"/>
          <w:sz w:val="24"/>
          <w:szCs w:val="24"/>
          <w:rtl w:val="0"/>
        </w:rPr>
        <w:t xml:space="preserve">per </w:t>
      </w:r>
      <w:r w:rsidDel="00000000" w:rsidR="00000000" w:rsidRPr="00000000">
        <w:rPr>
          <w:rFonts w:ascii="Times New Roman" w:cs="Times New Roman" w:eastAsia="Times New Roman" w:hAnsi="Times New Roman"/>
          <w:i w:val="1"/>
          <w:sz w:val="24"/>
          <w:szCs w:val="24"/>
          <w:rtl w:val="0"/>
        </w:rPr>
        <w:t xml:space="preserve">incuriam</w:t>
      </w:r>
      <w:r w:rsidDel="00000000" w:rsidR="00000000" w:rsidRPr="00000000">
        <w:rPr>
          <w:rFonts w:ascii="Times New Roman" w:cs="Times New Roman" w:eastAsia="Times New Roman" w:hAnsi="Times New Roman"/>
          <w:sz w:val="24"/>
          <w:szCs w:val="24"/>
          <w:rtl w:val="0"/>
        </w:rPr>
        <w:t xml:space="preserve">. An example of a decision given </w:t>
      </w:r>
      <w:r w:rsidDel="00000000" w:rsidR="00000000" w:rsidRPr="00000000">
        <w:rPr>
          <w:rFonts w:ascii="Times New Roman" w:cs="Times New Roman" w:eastAsia="Times New Roman" w:hAnsi="Times New Roman"/>
          <w:i w:val="1"/>
          <w:sz w:val="24"/>
          <w:szCs w:val="24"/>
          <w:rtl w:val="0"/>
        </w:rPr>
        <w:t xml:space="preserve">per </w:t>
      </w:r>
      <w:r w:rsidDel="00000000" w:rsidR="00000000" w:rsidRPr="00000000">
        <w:rPr>
          <w:rFonts w:ascii="Times New Roman" w:cs="Times New Roman" w:eastAsia="Times New Roman" w:hAnsi="Times New Roman"/>
          <w:i w:val="1"/>
          <w:sz w:val="24"/>
          <w:szCs w:val="24"/>
          <w:rtl w:val="0"/>
        </w:rPr>
        <w:t xml:space="preserve">incuriam</w:t>
      </w:r>
      <w:r w:rsidDel="00000000" w:rsidR="00000000" w:rsidRPr="00000000">
        <w:rPr>
          <w:rFonts w:ascii="Times New Roman" w:cs="Times New Roman" w:eastAsia="Times New Roman" w:hAnsi="Times New Roman"/>
          <w:sz w:val="24"/>
          <w:szCs w:val="24"/>
          <w:rtl w:val="0"/>
        </w:rPr>
        <w:t xml:space="preserve"> is where a decision is given in ignorance or forgetfulness of some inconsistent legislation or binding authority, consequently causing part of the reasoning, or some steps in arriving at the decision, to be wrong.</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20">
      <w:pPr>
        <w:numPr>
          <w:ilvl w:val="0"/>
          <w:numId w:val="3"/>
        </w:numPr>
        <w:spacing w:after="160"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 The Supreme Court has to choose between conflicting precedents.</w:t>
      </w:r>
      <w:r w:rsidDel="00000000" w:rsidR="00000000" w:rsidRPr="00000000">
        <w:rPr>
          <w:rtl w:val="0"/>
        </w:rPr>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There had been conflicting decisions in </w:t>
      </w:r>
      <w:r w:rsidDel="00000000" w:rsidR="00000000" w:rsidRPr="00000000">
        <w:rPr>
          <w:rFonts w:ascii="Times New Roman" w:cs="Times New Roman" w:eastAsia="Times New Roman" w:hAnsi="Times New Roman"/>
          <w:i w:val="1"/>
          <w:sz w:val="24"/>
          <w:szCs w:val="24"/>
          <w:highlight w:val="white"/>
          <w:rtl w:val="0"/>
        </w:rPr>
        <w:t xml:space="preserve">Mary Wambui Munene v. Peter Gichuki King’ara and 2 Others,</w:t>
      </w:r>
      <w:r w:rsidDel="00000000" w:rsidR="00000000" w:rsidRPr="00000000">
        <w:rPr>
          <w:rFonts w:ascii="Times New Roman" w:cs="Times New Roman" w:eastAsia="Times New Roman" w:hAnsi="Times New Roman"/>
          <w:i w:val="1"/>
          <w:sz w:val="24"/>
          <w:szCs w:val="24"/>
          <w:highlight w:val="white"/>
          <w:vertAlign w:val="superscript"/>
        </w:rPr>
        <w:footnoteReference w:customMarkFollows="0" w:id="6"/>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i w:val="1"/>
          <w:sz w:val="24"/>
          <w:szCs w:val="24"/>
          <w:highlight w:val="white"/>
          <w:rtl w:val="0"/>
        </w:rPr>
        <w:t xml:space="preserve">Peter Munya; and Lemanken Aramat v. Harun Meitamei Lempaka &amp; Two Others,</w:t>
      </w:r>
      <w:r w:rsidDel="00000000" w:rsidR="00000000" w:rsidRPr="00000000">
        <w:rPr>
          <w:rFonts w:ascii="Times New Roman" w:cs="Times New Roman" w:eastAsia="Times New Roman" w:hAnsi="Times New Roman"/>
          <w:i w:val="1"/>
          <w:sz w:val="24"/>
          <w:szCs w:val="24"/>
          <w:highlight w:val="white"/>
          <w:vertAlign w:val="superscript"/>
        </w:rPr>
        <w:footnoteReference w:customMarkFollows="0" w:id="7"/>
      </w:r>
      <w:r w:rsidDel="00000000" w:rsidR="00000000" w:rsidRPr="00000000">
        <w:rPr>
          <w:rFonts w:ascii="Times New Roman" w:cs="Times New Roman" w:eastAsia="Times New Roman" w:hAnsi="Times New Roman"/>
          <w:sz w:val="24"/>
          <w:szCs w:val="24"/>
          <w:highlight w:val="white"/>
          <w:rtl w:val="0"/>
        </w:rPr>
        <w:t xml:space="preserve"> Sup Ct. Petition No.5 of 2014; [2014] eKLR; and  there was obvious error in the prior Supreme Court interpretation of Article 87(2) of the constitution in </w:t>
      </w:r>
      <w:r w:rsidDel="00000000" w:rsidR="00000000" w:rsidRPr="00000000">
        <w:rPr>
          <w:rFonts w:ascii="Times New Roman" w:cs="Times New Roman" w:eastAsia="Times New Roman" w:hAnsi="Times New Roman"/>
          <w:b w:val="1"/>
          <w:i w:val="1"/>
          <w:sz w:val="24"/>
          <w:szCs w:val="24"/>
          <w:highlight w:val="white"/>
          <w:rtl w:val="0"/>
        </w:rPr>
        <w:t xml:space="preserve">Joho case. </w:t>
      </w:r>
      <w:r w:rsidDel="00000000" w:rsidR="00000000" w:rsidRPr="00000000">
        <w:rPr>
          <w:rtl w:val="0"/>
        </w:rPr>
      </w:r>
    </w:p>
    <w:p w:rsidR="00000000" w:rsidDel="00000000" w:rsidP="00000000" w:rsidRDefault="00000000" w:rsidRPr="00000000" w14:paraId="00000022">
      <w:pPr>
        <w:numPr>
          <w:ilvl w:val="0"/>
          <w:numId w:val="3"/>
        </w:numPr>
        <w:spacing w:after="160"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An express overruling is merely declaratory of a prior “virtual overruling”.  </w:t>
      </w:r>
      <w:r w:rsidDel="00000000" w:rsidR="00000000" w:rsidRPr="00000000">
        <w:rPr>
          <w:rtl w:val="0"/>
        </w:rPr>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Mable Mururi v </w:t>
      </w:r>
      <w:r w:rsidDel="00000000" w:rsidR="00000000" w:rsidRPr="00000000">
        <w:rPr>
          <w:rFonts w:ascii="Times New Roman" w:cs="Times New Roman" w:eastAsia="Times New Roman" w:hAnsi="Times New Roman"/>
          <w:i w:val="1"/>
          <w:sz w:val="24"/>
          <w:szCs w:val="24"/>
          <w:highlight w:val="white"/>
          <w:rtl w:val="0"/>
        </w:rPr>
        <w:t xml:space="preserve">Hon. Wycliffe Ambetsa Oparanya,</w:t>
      </w:r>
      <w:r w:rsidDel="00000000" w:rsidR="00000000" w:rsidRPr="00000000">
        <w:rPr>
          <w:rFonts w:ascii="Times New Roman" w:cs="Times New Roman" w:eastAsia="Times New Roman" w:hAnsi="Times New Roman"/>
          <w:b w:val="1"/>
          <w:i w:val="1"/>
          <w:sz w:val="24"/>
          <w:szCs w:val="24"/>
          <w:highlight w:val="white"/>
          <w:vertAlign w:val="superscript"/>
        </w:rPr>
        <w:footnoteReference w:customMarkFollows="0" w:id="8"/>
      </w:r>
      <w:r w:rsidDel="00000000" w:rsidR="00000000" w:rsidRPr="00000000">
        <w:rPr>
          <w:rFonts w:ascii="Times New Roman" w:cs="Times New Roman" w:eastAsia="Times New Roman" w:hAnsi="Times New Roman"/>
          <w:sz w:val="24"/>
          <w:szCs w:val="24"/>
          <w:highlight w:val="white"/>
          <w:rtl w:val="0"/>
        </w:rPr>
        <w:t xml:space="preserve"> the appellant’s lead counsel argued that the </w:t>
      </w:r>
      <w:r w:rsidDel="00000000" w:rsidR="00000000" w:rsidRPr="00000000">
        <w:rPr>
          <w:rFonts w:ascii="Times New Roman" w:cs="Times New Roman" w:eastAsia="Times New Roman" w:hAnsi="Times New Roman"/>
          <w:b w:val="1"/>
          <w:i w:val="1"/>
          <w:sz w:val="24"/>
          <w:szCs w:val="24"/>
          <w:highlight w:val="white"/>
          <w:rtl w:val="0"/>
        </w:rPr>
        <w:t xml:space="preserve">Joho </w:t>
      </w:r>
      <w:r w:rsidDel="00000000" w:rsidR="00000000" w:rsidRPr="00000000">
        <w:rPr>
          <w:rFonts w:ascii="Times New Roman" w:cs="Times New Roman" w:eastAsia="Times New Roman" w:hAnsi="Times New Roman"/>
          <w:sz w:val="24"/>
          <w:szCs w:val="24"/>
          <w:highlight w:val="white"/>
          <w:rtl w:val="0"/>
        </w:rPr>
        <w:t xml:space="preserve">precedent, as it was made on 4</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February, 2014, remains a recent decision, that has not been the subject of much reliance; and thus, a departure from it is by no means impractical, he submitted that there had been conflicting decisions in </w:t>
      </w:r>
      <w:r w:rsidDel="00000000" w:rsidR="00000000" w:rsidRPr="00000000">
        <w:rPr>
          <w:rFonts w:ascii="Times New Roman" w:cs="Times New Roman" w:eastAsia="Times New Roman" w:hAnsi="Times New Roman"/>
          <w:i w:val="1"/>
          <w:sz w:val="24"/>
          <w:szCs w:val="24"/>
          <w:highlight w:val="white"/>
          <w:rtl w:val="0"/>
        </w:rPr>
        <w:t xml:space="preserve">Mary Wambui Munene v. Peter Gichuki King’ara and 2 Others, </w:t>
      </w:r>
      <w:r w:rsidDel="00000000" w:rsidR="00000000" w:rsidRPr="00000000">
        <w:rPr>
          <w:rFonts w:ascii="Times New Roman" w:cs="Times New Roman" w:eastAsia="Times New Roman" w:hAnsi="Times New Roman"/>
          <w:sz w:val="24"/>
          <w:szCs w:val="24"/>
          <w:highlight w:val="white"/>
          <w:rtl w:val="0"/>
        </w:rPr>
        <w:t xml:space="preserve">Sup. Ct. Petition No. 7 of 2014; </w:t>
      </w:r>
      <w:r w:rsidDel="00000000" w:rsidR="00000000" w:rsidRPr="00000000">
        <w:rPr>
          <w:rFonts w:ascii="Times New Roman" w:cs="Times New Roman" w:eastAsia="Times New Roman" w:hAnsi="Times New Roman"/>
          <w:i w:val="1"/>
          <w:sz w:val="24"/>
          <w:szCs w:val="24"/>
          <w:highlight w:val="white"/>
          <w:rtl w:val="0"/>
        </w:rPr>
        <w:t xml:space="preserve">Peter Munya; and Lemanken Aramat v. Harun Meitamei Lempaka &amp; Two Others,</w:t>
      </w:r>
      <w:r w:rsidDel="00000000" w:rsidR="00000000" w:rsidRPr="00000000">
        <w:rPr>
          <w:rFonts w:ascii="Times New Roman" w:cs="Times New Roman" w:eastAsia="Times New Roman" w:hAnsi="Times New Roman"/>
          <w:sz w:val="24"/>
          <w:szCs w:val="24"/>
          <w:highlight w:val="white"/>
          <w:rtl w:val="0"/>
        </w:rPr>
        <w:t xml:space="preserve"> Sup Ct. Petition No.5 of 2014; [2014] eKLR; and that there was obvious error in the prior Supreme Court interpretation of Article 87(2), in </w:t>
      </w:r>
      <w:r w:rsidDel="00000000" w:rsidR="00000000" w:rsidRPr="00000000">
        <w:rPr>
          <w:rFonts w:ascii="Times New Roman" w:cs="Times New Roman" w:eastAsia="Times New Roman" w:hAnsi="Times New Roman"/>
          <w:b w:val="1"/>
          <w:i w:val="1"/>
          <w:sz w:val="24"/>
          <w:szCs w:val="24"/>
          <w:highlight w:val="white"/>
          <w:rtl w:val="0"/>
        </w:rPr>
        <w:t xml:space="preserve">Joho</w:t>
      </w:r>
      <w:r w:rsidDel="00000000" w:rsidR="00000000" w:rsidRPr="00000000">
        <w:rPr>
          <w:rFonts w:ascii="Times New Roman" w:cs="Times New Roman" w:eastAsia="Times New Roman" w:hAnsi="Times New Roman"/>
          <w:i w:val="1"/>
          <w:sz w:val="24"/>
          <w:szCs w:val="24"/>
          <w:highlight w:val="white"/>
          <w:rtl w:val="0"/>
        </w:rPr>
        <w:t xml:space="preserve">,</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 view of the holdings in the </w:t>
      </w:r>
      <w:r w:rsidDel="00000000" w:rsidR="00000000" w:rsidRPr="00000000">
        <w:rPr>
          <w:rFonts w:ascii="Times New Roman" w:cs="Times New Roman" w:eastAsia="Times New Roman" w:hAnsi="Times New Roman"/>
          <w:b w:val="1"/>
          <w:i w:val="1"/>
          <w:sz w:val="24"/>
          <w:szCs w:val="24"/>
          <w:highlight w:val="white"/>
          <w:rtl w:val="0"/>
        </w:rPr>
        <w:t xml:space="preserve">Wambui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rtl w:val="0"/>
        </w:rPr>
        <w:t xml:space="preserve">Munya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b w:val="1"/>
          <w:i w:val="1"/>
          <w:sz w:val="24"/>
          <w:szCs w:val="24"/>
          <w:highlight w:val="white"/>
          <w:rtl w:val="0"/>
        </w:rPr>
        <w:t xml:space="preserve">Aramat </w:t>
      </w:r>
      <w:r w:rsidDel="00000000" w:rsidR="00000000" w:rsidRPr="00000000">
        <w:rPr>
          <w:rFonts w:ascii="Times New Roman" w:cs="Times New Roman" w:eastAsia="Times New Roman" w:hAnsi="Times New Roman"/>
          <w:sz w:val="24"/>
          <w:szCs w:val="24"/>
          <w:highlight w:val="white"/>
          <w:rtl w:val="0"/>
        </w:rPr>
        <w:t xml:space="preserve">cases</w:t>
      </w:r>
      <w:r w:rsidDel="00000000" w:rsidR="00000000" w:rsidRPr="00000000">
        <w:rPr>
          <w:rFonts w:ascii="Times New Roman" w:cs="Times New Roman" w:eastAsia="Times New Roman" w:hAnsi="Times New Roman"/>
          <w:sz w:val="24"/>
          <w:szCs w:val="24"/>
          <w:highlight w:val="white"/>
          <w:rtl w:val="0"/>
        </w:rPr>
        <w:t xml:space="preserve">. Counsel submitted that, the overruling of </w:t>
      </w:r>
      <w:r w:rsidDel="00000000" w:rsidR="00000000" w:rsidRPr="00000000">
        <w:rPr>
          <w:rFonts w:ascii="Times New Roman" w:cs="Times New Roman" w:eastAsia="Times New Roman" w:hAnsi="Times New Roman"/>
          <w:b w:val="1"/>
          <w:i w:val="1"/>
          <w:sz w:val="24"/>
          <w:szCs w:val="24"/>
          <w:highlight w:val="white"/>
          <w:rtl w:val="0"/>
        </w:rPr>
        <w:t xml:space="preserve">Joho </w:t>
      </w:r>
      <w:r w:rsidDel="00000000" w:rsidR="00000000" w:rsidRPr="00000000">
        <w:rPr>
          <w:rFonts w:ascii="Times New Roman" w:cs="Times New Roman" w:eastAsia="Times New Roman" w:hAnsi="Times New Roman"/>
          <w:sz w:val="24"/>
          <w:szCs w:val="24"/>
          <w:highlight w:val="white"/>
          <w:rtl w:val="0"/>
        </w:rPr>
        <w:t xml:space="preserve">would be merely declaratory of a “prior virtual overruling”.     </w:t>
      </w:r>
    </w:p>
    <w:p w:rsidR="00000000" w:rsidDel="00000000" w:rsidP="00000000" w:rsidRDefault="00000000" w:rsidRPr="00000000" w14:paraId="00000024">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Blaustein’s article entitled “Overruling Opinions in the Supreme Court”,</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the author justifies such departure from precedent in certain specific instances:</w:t>
      </w:r>
    </w:p>
    <w:p w:rsidR="00000000" w:rsidDel="00000000" w:rsidP="00000000" w:rsidRDefault="00000000" w:rsidRPr="00000000" w14:paraId="00000025">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Where the Supreme Court has to choose between conflicting precedents.</w:t>
      </w:r>
    </w:p>
    <w:p w:rsidR="00000000" w:rsidDel="00000000" w:rsidP="00000000" w:rsidRDefault="00000000" w:rsidRPr="00000000" w14:paraId="00000026">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Where the Supreme Court has to follow a State Court’s interpretation of a State Constitution or statute and that interpretation is contrary to the Supreme Court’s prior decision.</w:t>
      </w:r>
    </w:p>
    <w:p w:rsidR="00000000" w:rsidDel="00000000" w:rsidP="00000000" w:rsidRDefault="00000000" w:rsidRPr="00000000" w14:paraId="00000027">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Where the Supreme Court’s prior interpretation is impracticable, resulting in hardship or         inconvenience.</w:t>
      </w:r>
    </w:p>
    <w:p w:rsidR="00000000" w:rsidDel="00000000" w:rsidP="00000000" w:rsidRDefault="00000000" w:rsidRPr="00000000" w14:paraId="00000028">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Where there has been obvious error in the prior supreme Court decisions.</w:t>
      </w:r>
    </w:p>
    <w:p w:rsidR="00000000" w:rsidDel="00000000" w:rsidP="00000000" w:rsidRDefault="00000000" w:rsidRPr="00000000" w14:paraId="00000029">
      <w:pPr>
        <w:shd w:fill="ffffff" w:val="clear"/>
        <w:spacing w:after="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Where an express overruling is merely declaratory of a prior virtual overruling.</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highlight w:val="white"/>
          <w:rtl w:val="0"/>
        </w:rPr>
        <w:t xml:space="preserve">Hermanus Phillipus Steyn v Giovanni Gnecchi-Ruscone</w:t>
      </w:r>
      <w:r w:rsidDel="00000000" w:rsidR="00000000" w:rsidRPr="00000000">
        <w:rPr>
          <w:rFonts w:ascii="Times New Roman" w:cs="Times New Roman" w:eastAsia="Times New Roman" w:hAnsi="Times New Roman"/>
          <w:sz w:val="20"/>
          <w:szCs w:val="20"/>
          <w:highlight w:val="white"/>
          <w:rtl w:val="0"/>
        </w:rPr>
        <w:t xml:space="preserve"> [2013]eKLR</w:t>
      </w:r>
      <w:r w:rsidDel="00000000" w:rsidR="00000000" w:rsidRPr="00000000">
        <w:rPr>
          <w:rtl w:val="0"/>
        </w:rPr>
      </w:r>
    </w:p>
  </w:footnote>
  <w:footnote w:id="2">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Constitution of Kenya 2010, Article 163(7)</w:t>
      </w:r>
    </w:p>
  </w:footnote>
  <w:footnote w:id="3">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Dodhia v National and Grindlays Bank Ltd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1970] EA 195</w:t>
      </w:r>
    </w:p>
  </w:footnote>
  <w:footnote w:id="4">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[1958] EA 239</w:t>
      </w:r>
    </w:p>
  </w:footnote>
  <w:footnote w:id="5">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Morelle v Wakeling</w:t>
      </w:r>
      <w:r w:rsidDel="00000000" w:rsidR="00000000" w:rsidRPr="00000000">
        <w:rPr>
          <w:rFonts w:ascii="Times New Roman" w:cs="Times New Roman" w:eastAsia="Times New Roman" w:hAnsi="Times New Roman"/>
          <w:sz w:val="20"/>
          <w:szCs w:val="20"/>
          <w:rtl w:val="0"/>
        </w:rPr>
        <w:t xml:space="preserve"> [1955] 1 All E.R 708</w:t>
      </w:r>
    </w:p>
  </w:footnote>
  <w:footnote w:id="6">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Sup. Ct. Petition No. 7 of 2014</w:t>
      </w:r>
    </w:p>
  </w:footnote>
  <w:footnote w:id="7">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Sup. Ct. Petition No. 5 of 2014</w:t>
      </w:r>
    </w:p>
  </w:footnote>
  <w:footnote w:id="8">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Petition No. 5 of 2014</w:t>
      </w:r>
    </w:p>
  </w:footnote>
  <w:footnote w:id="9">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Albert P. Blaustein and Andrew H. Field, “Overruling opinions in the Supreme Court” (Michigan Law Review) (1958) Vol. 57, No. 2 Pg 168.</w:t>
      </w:r>
    </w:p>
  </w:footnote>
  <w:footnote w:id="1">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color w:val="5f6368"/>
          <w:sz w:val="20"/>
          <w:szCs w:val="20"/>
          <w:highlight w:val="white"/>
          <w:rtl w:val="0"/>
        </w:rPr>
        <w:t xml:space="preserve">Malcolm Bell v Daniel Toroitich Arap Moi</w:t>
      </w:r>
      <w:r w:rsidDel="00000000" w:rsidR="00000000" w:rsidRPr="00000000">
        <w:rPr>
          <w:rFonts w:ascii="Times New Roman" w:cs="Times New Roman" w:eastAsia="Times New Roman" w:hAnsi="Times New Roman"/>
          <w:i w:val="1"/>
          <w:color w:val="4d5156"/>
          <w:sz w:val="20"/>
          <w:szCs w:val="20"/>
          <w:highlight w:val="white"/>
          <w:rtl w:val="0"/>
        </w:rPr>
        <w:t xml:space="preserve"> &amp; another</w:t>
      </w:r>
      <w:r w:rsidDel="00000000" w:rsidR="00000000" w:rsidRPr="00000000">
        <w:rPr>
          <w:rFonts w:ascii="Times New Roman" w:cs="Times New Roman" w:eastAsia="Times New Roman" w:hAnsi="Times New Roman"/>
          <w:color w:val="4d5156"/>
          <w:sz w:val="20"/>
          <w:szCs w:val="20"/>
          <w:highlight w:val="white"/>
          <w:rtl w:val="0"/>
        </w:rPr>
        <w:t xml:space="preserve"> [2005] eKLR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