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558" w:rsidRDefault="001A4558" w:rsidP="001A4558">
      <w:pPr>
        <w:jc w:val="center"/>
        <w:rPr>
          <w:rFonts w:asciiTheme="majorHAnsi" w:hAnsiTheme="majorHAnsi"/>
          <w:b/>
          <w:sz w:val="22"/>
          <w:szCs w:val="22"/>
        </w:rPr>
      </w:pPr>
      <w:r w:rsidRPr="003E0CF8">
        <w:rPr>
          <w:rFonts w:asciiTheme="majorHAnsi" w:hAnsiTheme="majorHAnsi"/>
          <w:b/>
          <w:sz w:val="22"/>
          <w:szCs w:val="22"/>
        </w:rPr>
        <w:t xml:space="preserve">Criminal Litigation- Complaint and Charge </w:t>
      </w:r>
    </w:p>
    <w:p w:rsidR="001A4558" w:rsidRDefault="001A4558" w:rsidP="001A4558">
      <w:pPr>
        <w:rPr>
          <w:rFonts w:asciiTheme="majorHAnsi" w:hAnsiTheme="majorHAnsi"/>
          <w:b/>
          <w:sz w:val="22"/>
          <w:szCs w:val="22"/>
        </w:rPr>
      </w:pPr>
    </w:p>
    <w:p w:rsidR="001A4558" w:rsidRPr="003E0CF8" w:rsidRDefault="001A4558" w:rsidP="001A4558">
      <w:pPr>
        <w:jc w:val="center"/>
        <w:rPr>
          <w:rFonts w:asciiTheme="majorHAnsi" w:hAnsiTheme="majorHAnsi"/>
          <w:b/>
          <w:sz w:val="22"/>
          <w:szCs w:val="22"/>
        </w:rPr>
      </w:pPr>
      <w:r>
        <w:rPr>
          <w:rFonts w:asciiTheme="majorHAnsi" w:hAnsiTheme="majorHAnsi"/>
          <w:b/>
          <w:sz w:val="22"/>
          <w:szCs w:val="22"/>
        </w:rPr>
        <w:t>(Alternative Charges)</w:t>
      </w:r>
    </w:p>
    <w:p w:rsidR="009B0F95" w:rsidRDefault="009B0F95">
      <w:pPr>
        <w:rPr>
          <w:rFonts w:asciiTheme="majorHAnsi" w:hAnsiTheme="majorHAnsi"/>
          <w:sz w:val="22"/>
          <w:szCs w:val="22"/>
        </w:rPr>
      </w:pPr>
    </w:p>
    <w:p w:rsidR="00886843" w:rsidRDefault="00886843">
      <w:pPr>
        <w:rPr>
          <w:rFonts w:asciiTheme="majorHAnsi" w:hAnsiTheme="majorHAnsi"/>
          <w:b/>
          <w:sz w:val="22"/>
          <w:szCs w:val="22"/>
        </w:rPr>
      </w:pPr>
      <w:r>
        <w:rPr>
          <w:rFonts w:asciiTheme="majorHAnsi" w:hAnsiTheme="majorHAnsi"/>
          <w:b/>
          <w:sz w:val="22"/>
          <w:szCs w:val="22"/>
        </w:rPr>
        <w:t>What are alternative charges?</w:t>
      </w:r>
    </w:p>
    <w:p w:rsidR="00886843" w:rsidRDefault="00886843">
      <w:pPr>
        <w:rPr>
          <w:rFonts w:asciiTheme="majorHAnsi" w:hAnsiTheme="majorHAnsi"/>
          <w:b/>
          <w:sz w:val="22"/>
          <w:szCs w:val="22"/>
        </w:rPr>
      </w:pPr>
    </w:p>
    <w:tbl>
      <w:tblPr>
        <w:tblStyle w:val="TableGrid"/>
        <w:tblW w:w="0" w:type="auto"/>
        <w:tblLook w:val="04A0"/>
      </w:tblPr>
      <w:tblGrid>
        <w:gridCol w:w="8516"/>
      </w:tblGrid>
      <w:tr w:rsidR="00886843" w:rsidTr="00886843">
        <w:tc>
          <w:tcPr>
            <w:tcW w:w="8516" w:type="dxa"/>
          </w:tcPr>
          <w:p w:rsidR="00886843" w:rsidRDefault="00886843" w:rsidP="00886843">
            <w:pPr>
              <w:pStyle w:val="ListParagraph"/>
              <w:numPr>
                <w:ilvl w:val="0"/>
                <w:numId w:val="1"/>
              </w:numPr>
              <w:jc w:val="both"/>
              <w:rPr>
                <w:rFonts w:asciiTheme="majorHAnsi" w:hAnsiTheme="majorHAnsi"/>
                <w:sz w:val="22"/>
                <w:szCs w:val="22"/>
              </w:rPr>
            </w:pPr>
            <w:r>
              <w:rPr>
                <w:rFonts w:asciiTheme="majorHAnsi" w:hAnsiTheme="majorHAnsi"/>
                <w:sz w:val="22"/>
                <w:szCs w:val="22"/>
              </w:rPr>
              <w:t>Charge preferred against the accused person, instead of the former charge (offence).</w:t>
            </w:r>
          </w:p>
          <w:p w:rsidR="00886843" w:rsidRDefault="00886843" w:rsidP="00886843">
            <w:pPr>
              <w:pStyle w:val="ListParagraph"/>
              <w:jc w:val="both"/>
              <w:rPr>
                <w:rFonts w:asciiTheme="majorHAnsi" w:hAnsiTheme="majorHAnsi"/>
                <w:sz w:val="22"/>
                <w:szCs w:val="22"/>
              </w:rPr>
            </w:pPr>
          </w:p>
          <w:p w:rsidR="00886843" w:rsidRDefault="00886843" w:rsidP="00886843">
            <w:pPr>
              <w:pStyle w:val="ListParagraph"/>
              <w:numPr>
                <w:ilvl w:val="0"/>
                <w:numId w:val="1"/>
              </w:numPr>
              <w:jc w:val="both"/>
              <w:rPr>
                <w:rFonts w:asciiTheme="majorHAnsi" w:hAnsiTheme="majorHAnsi"/>
                <w:sz w:val="22"/>
                <w:szCs w:val="22"/>
              </w:rPr>
            </w:pPr>
            <w:r>
              <w:rPr>
                <w:rFonts w:asciiTheme="majorHAnsi" w:hAnsiTheme="majorHAnsi"/>
                <w:sz w:val="22"/>
                <w:szCs w:val="22"/>
              </w:rPr>
              <w:t xml:space="preserve">Justified in circumstances where the factors attending the offence in question are not very clearly focused with the consequence that it is not easy to discern which offence was actually committed. </w:t>
            </w:r>
          </w:p>
          <w:p w:rsidR="00886843" w:rsidRPr="00886843" w:rsidRDefault="00886843" w:rsidP="00886843">
            <w:pPr>
              <w:jc w:val="both"/>
              <w:rPr>
                <w:rFonts w:asciiTheme="majorHAnsi" w:hAnsiTheme="majorHAnsi"/>
                <w:sz w:val="22"/>
                <w:szCs w:val="22"/>
              </w:rPr>
            </w:pPr>
          </w:p>
          <w:p w:rsidR="00886843" w:rsidRPr="00886843" w:rsidRDefault="00886843" w:rsidP="00886843">
            <w:pPr>
              <w:pStyle w:val="ListParagraph"/>
              <w:numPr>
                <w:ilvl w:val="0"/>
                <w:numId w:val="1"/>
              </w:numPr>
              <w:jc w:val="both"/>
              <w:rPr>
                <w:rFonts w:asciiTheme="majorHAnsi" w:hAnsiTheme="majorHAnsi"/>
                <w:sz w:val="22"/>
                <w:szCs w:val="22"/>
              </w:rPr>
            </w:pPr>
            <w:r>
              <w:rPr>
                <w:rFonts w:asciiTheme="majorHAnsi" w:hAnsiTheme="majorHAnsi"/>
                <w:color w:val="800000"/>
                <w:sz w:val="22"/>
                <w:szCs w:val="22"/>
              </w:rPr>
              <w:t xml:space="preserve">Remember- the rule against duplicity prohibits a situation whereby two substantive offences are charged under the same count, and even where one charge has several counts. It is a mandatory requirement of law that the counts should be set out separately and the two should be numbered consecutively. </w:t>
            </w:r>
          </w:p>
          <w:p w:rsidR="00886843" w:rsidRPr="00886843" w:rsidRDefault="00886843" w:rsidP="00886843">
            <w:pPr>
              <w:jc w:val="both"/>
              <w:rPr>
                <w:rFonts w:asciiTheme="majorHAnsi" w:hAnsiTheme="majorHAnsi"/>
                <w:sz w:val="22"/>
                <w:szCs w:val="22"/>
              </w:rPr>
            </w:pPr>
          </w:p>
          <w:p w:rsidR="00886843" w:rsidRDefault="00886843" w:rsidP="00886843">
            <w:pPr>
              <w:pStyle w:val="ListParagraph"/>
              <w:numPr>
                <w:ilvl w:val="0"/>
                <w:numId w:val="1"/>
              </w:numPr>
              <w:jc w:val="both"/>
              <w:rPr>
                <w:rFonts w:asciiTheme="majorHAnsi" w:hAnsiTheme="majorHAnsi"/>
                <w:sz w:val="22"/>
                <w:szCs w:val="22"/>
              </w:rPr>
            </w:pPr>
            <w:proofErr w:type="spellStart"/>
            <w:r>
              <w:rPr>
                <w:rFonts w:asciiTheme="majorHAnsi" w:hAnsiTheme="majorHAnsi"/>
                <w:b/>
                <w:sz w:val="22"/>
                <w:szCs w:val="22"/>
              </w:rPr>
              <w:t>Bennault</w:t>
            </w:r>
            <w:proofErr w:type="spellEnd"/>
            <w:r>
              <w:rPr>
                <w:rFonts w:asciiTheme="majorHAnsi" w:hAnsiTheme="majorHAnsi"/>
                <w:b/>
                <w:sz w:val="22"/>
                <w:szCs w:val="22"/>
              </w:rPr>
              <w:t xml:space="preserve"> </w:t>
            </w:r>
            <w:proofErr w:type="spellStart"/>
            <w:r>
              <w:rPr>
                <w:rFonts w:asciiTheme="majorHAnsi" w:hAnsiTheme="majorHAnsi"/>
                <w:b/>
                <w:sz w:val="22"/>
                <w:szCs w:val="22"/>
              </w:rPr>
              <w:t>Oinamo</w:t>
            </w:r>
            <w:proofErr w:type="spellEnd"/>
            <w:r>
              <w:rPr>
                <w:rFonts w:asciiTheme="majorHAnsi" w:hAnsiTheme="majorHAnsi"/>
                <w:b/>
                <w:sz w:val="22"/>
                <w:szCs w:val="22"/>
              </w:rPr>
              <w:t xml:space="preserve"> v. R- </w:t>
            </w:r>
            <w:r>
              <w:rPr>
                <w:rFonts w:asciiTheme="majorHAnsi" w:hAnsiTheme="majorHAnsi"/>
                <w:sz w:val="22"/>
                <w:szCs w:val="22"/>
              </w:rPr>
              <w:t>appellant was charged with unlawfully obtaining credit by false pretences and on appeal it cam</w:t>
            </w:r>
            <w:r w:rsidR="003F72A8">
              <w:rPr>
                <w:rFonts w:asciiTheme="majorHAnsi" w:hAnsiTheme="majorHAnsi"/>
                <w:sz w:val="22"/>
                <w:szCs w:val="22"/>
              </w:rPr>
              <w:t>e</w:t>
            </w:r>
            <w:r>
              <w:rPr>
                <w:rFonts w:asciiTheme="majorHAnsi" w:hAnsiTheme="majorHAnsi"/>
                <w:sz w:val="22"/>
                <w:szCs w:val="22"/>
              </w:rPr>
              <w:t xml:space="preserve"> to light that the offence with which he was charged with could not amount to a false pretence in law, but there was evidence that might have supported obtaining credit by means of fraud other than by false pretences. HC ruled that the prosecution should have laid two separate charged namely; one by obtaining credit by false pretences and two by obtaining credit by fraud other than by false pretences. </w:t>
            </w:r>
          </w:p>
          <w:p w:rsidR="006E5A0B" w:rsidRPr="006E5A0B" w:rsidRDefault="006E5A0B" w:rsidP="006E5A0B">
            <w:pPr>
              <w:jc w:val="both"/>
              <w:rPr>
                <w:rFonts w:asciiTheme="majorHAnsi" w:hAnsiTheme="majorHAnsi"/>
                <w:sz w:val="22"/>
                <w:szCs w:val="22"/>
              </w:rPr>
            </w:pPr>
          </w:p>
          <w:p w:rsidR="006E5A0B" w:rsidRPr="006E5A0B" w:rsidRDefault="006E5A0B" w:rsidP="006E5A0B">
            <w:pPr>
              <w:jc w:val="both"/>
              <w:rPr>
                <w:rFonts w:asciiTheme="majorHAnsi" w:hAnsiTheme="majorHAnsi"/>
                <w:color w:val="800000"/>
                <w:sz w:val="22"/>
                <w:szCs w:val="22"/>
              </w:rPr>
            </w:pPr>
            <w:r>
              <w:rPr>
                <w:rFonts w:asciiTheme="majorHAnsi" w:hAnsiTheme="majorHAnsi"/>
                <w:color w:val="800000"/>
                <w:sz w:val="22"/>
                <w:szCs w:val="22"/>
              </w:rPr>
              <w:t>Alternative charges are means</w:t>
            </w:r>
            <w:bookmarkStart w:id="0" w:name="_GoBack"/>
            <w:bookmarkEnd w:id="0"/>
            <w:r>
              <w:rPr>
                <w:rFonts w:asciiTheme="majorHAnsi" w:hAnsiTheme="majorHAnsi"/>
                <w:color w:val="800000"/>
                <w:sz w:val="22"/>
                <w:szCs w:val="22"/>
              </w:rPr>
              <w:t xml:space="preserve"> to the end of achieving justice, without the mischief of duplicity. </w:t>
            </w:r>
          </w:p>
        </w:tc>
      </w:tr>
    </w:tbl>
    <w:p w:rsidR="00886843" w:rsidRPr="00886843" w:rsidRDefault="00886843">
      <w:pPr>
        <w:rPr>
          <w:rFonts w:asciiTheme="majorHAnsi" w:hAnsiTheme="majorHAnsi"/>
          <w:sz w:val="22"/>
          <w:szCs w:val="22"/>
        </w:rPr>
      </w:pPr>
    </w:p>
    <w:sectPr w:rsidR="00886843" w:rsidRPr="00886843" w:rsidSect="009B0F95">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D476A1"/>
    <w:multiLevelType w:val="hybridMultilevel"/>
    <w:tmpl w:val="B038E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defaultTabStop w:val="720"/>
  <w:displayHorizontalDrawingGridEvery w:val="0"/>
  <w:displayVerticalDrawingGridEvery w:val="0"/>
  <w:doNotUseMarginsForDrawingGridOrigin/>
  <w:noPunctuationKerning/>
  <w:characterSpacingControl w:val="doNotCompress"/>
  <w:compat>
    <w:useFELayout/>
  </w:compat>
  <w:rsids>
    <w:rsidRoot w:val="001A4558"/>
    <w:rsid w:val="00015F65"/>
    <w:rsid w:val="001A4558"/>
    <w:rsid w:val="003F72A8"/>
    <w:rsid w:val="006E5A0B"/>
    <w:rsid w:val="00886843"/>
    <w:rsid w:val="009B0F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558"/>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68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8684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4558"/>
    <w:rPr>
      <w:sz w:val="24"/>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684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86843"/>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Kangwana</dc:creator>
  <cp:keywords/>
  <dc:description/>
  <cp:lastModifiedBy>Yasin</cp:lastModifiedBy>
  <cp:revision>4</cp:revision>
  <dcterms:created xsi:type="dcterms:W3CDTF">2012-10-11T09:29:00Z</dcterms:created>
  <dcterms:modified xsi:type="dcterms:W3CDTF">2013-11-14T19:59:00Z</dcterms:modified>
</cp:coreProperties>
</file>