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BE566" w14:textId="77777777" w:rsidR="00B16F91" w:rsidRPr="00373D11" w:rsidRDefault="00000000" w:rsidP="00B16F91">
      <w:pPr>
        <w:spacing w:line="360" w:lineRule="auto"/>
        <w:jc w:val="center"/>
        <w:rPr>
          <w:rFonts w:eastAsia="Times New Roman" w:cs="Times New Roman"/>
          <w:b/>
          <w:bCs/>
          <w:color w:val="auto"/>
          <w:szCs w:val="24"/>
        </w:rPr>
      </w:pPr>
      <w:r w:rsidRPr="00373D11">
        <w:rPr>
          <w:rFonts w:eastAsia="Calibri" w:cs="Times New Roman"/>
          <w:noProof/>
          <w:color w:val="auto"/>
          <w:szCs w:val="24"/>
        </w:rPr>
        <w:drawing>
          <wp:anchor distT="0" distB="0" distL="114300" distR="114300" simplePos="0" relativeHeight="251658240" behindDoc="1" locked="0" layoutInCell="1" allowOverlap="1" wp14:anchorId="5EEB5D00" wp14:editId="065BA757">
            <wp:simplePos x="0" y="0"/>
            <wp:positionH relativeFrom="column">
              <wp:posOffset>1958340</wp:posOffset>
            </wp:positionH>
            <wp:positionV relativeFrom="paragraph">
              <wp:posOffset>505460</wp:posOffset>
            </wp:positionV>
            <wp:extent cx="1973580" cy="1790700"/>
            <wp:effectExtent l="0" t="0" r="7620" b="0"/>
            <wp:wrapTopAndBottom/>
            <wp:docPr id="5" name="Picture 1" descr="Kenya School of Law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Kenya School of Law eLearni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973580" cy="1790700"/>
                    </a:xfrm>
                    <a:prstGeom prst="rect">
                      <a:avLst/>
                    </a:prstGeom>
                    <a:noFill/>
                  </pic:spPr>
                </pic:pic>
              </a:graphicData>
            </a:graphic>
            <wp14:sizeRelH relativeFrom="page">
              <wp14:pctWidth>0</wp14:pctWidth>
            </wp14:sizeRelH>
            <wp14:sizeRelV relativeFrom="margin">
              <wp14:pctHeight>0</wp14:pctHeight>
            </wp14:sizeRelV>
          </wp:anchor>
        </w:drawing>
      </w:r>
      <w:r w:rsidRPr="00373D11">
        <w:rPr>
          <w:rFonts w:eastAsia="Times New Roman" w:cs="Times New Roman"/>
          <w:b/>
          <w:bCs/>
          <w:color w:val="auto"/>
          <w:szCs w:val="24"/>
        </w:rPr>
        <w:t>THE KENYA SCHOOL OF LAW</w:t>
      </w:r>
    </w:p>
    <w:p w14:paraId="5E4C760F" w14:textId="77777777" w:rsidR="00B16F91" w:rsidRPr="00373D11" w:rsidRDefault="00B16F91" w:rsidP="00B16F91">
      <w:pPr>
        <w:spacing w:line="360" w:lineRule="auto"/>
        <w:jc w:val="both"/>
        <w:rPr>
          <w:rFonts w:eastAsia="Times New Roman" w:cs="Times New Roman"/>
          <w:bCs/>
          <w:color w:val="auto"/>
          <w:szCs w:val="24"/>
        </w:rPr>
      </w:pPr>
    </w:p>
    <w:p w14:paraId="365A0EF7" w14:textId="77777777" w:rsidR="00B16F91" w:rsidRPr="00373D11" w:rsidRDefault="00000000" w:rsidP="00B16F91">
      <w:pPr>
        <w:spacing w:line="360" w:lineRule="auto"/>
        <w:jc w:val="both"/>
        <w:rPr>
          <w:rFonts w:eastAsia="Times New Roman" w:cs="Times New Roman"/>
          <w:b/>
          <w:bCs/>
          <w:color w:val="auto"/>
          <w:szCs w:val="24"/>
        </w:rPr>
      </w:pPr>
      <w:r w:rsidRPr="00373D11">
        <w:rPr>
          <w:rFonts w:eastAsia="Times New Roman" w:cs="Times New Roman"/>
          <w:b/>
          <w:bCs/>
          <w:color w:val="auto"/>
          <w:szCs w:val="24"/>
        </w:rPr>
        <w:t>ATP 10</w:t>
      </w:r>
      <w:r w:rsidR="0059365C">
        <w:rPr>
          <w:rFonts w:eastAsia="Times New Roman" w:cs="Times New Roman"/>
          <w:b/>
          <w:bCs/>
          <w:color w:val="auto"/>
          <w:szCs w:val="24"/>
        </w:rPr>
        <w:t>4</w:t>
      </w:r>
      <w:r w:rsidRPr="00373D11">
        <w:rPr>
          <w:rFonts w:eastAsia="Times New Roman" w:cs="Times New Roman"/>
          <w:b/>
          <w:bCs/>
          <w:color w:val="auto"/>
          <w:szCs w:val="24"/>
        </w:rPr>
        <w:t xml:space="preserve">: </w:t>
      </w:r>
      <w:r w:rsidR="00BE76B5">
        <w:rPr>
          <w:rFonts w:eastAsia="Times New Roman" w:cs="Times New Roman"/>
          <w:b/>
          <w:bCs/>
          <w:color w:val="auto"/>
          <w:szCs w:val="24"/>
        </w:rPr>
        <w:t xml:space="preserve">TRIAL ADVOCACY </w:t>
      </w:r>
    </w:p>
    <w:p w14:paraId="37FCFAB0" w14:textId="77777777" w:rsidR="00B16F91" w:rsidRPr="00373D11" w:rsidRDefault="00000000" w:rsidP="00B16F91">
      <w:pPr>
        <w:spacing w:line="360" w:lineRule="auto"/>
        <w:jc w:val="both"/>
        <w:rPr>
          <w:rFonts w:eastAsia="Times New Roman" w:cs="Times New Roman"/>
          <w:b/>
          <w:bCs/>
          <w:color w:val="auto"/>
          <w:szCs w:val="24"/>
        </w:rPr>
      </w:pPr>
      <w:r w:rsidRPr="00373D11">
        <w:rPr>
          <w:rFonts w:eastAsia="Times New Roman" w:cs="Times New Roman"/>
          <w:b/>
          <w:bCs/>
          <w:color w:val="auto"/>
          <w:szCs w:val="24"/>
        </w:rPr>
        <w:t>FIRM NAME: LAWSPECTIVE ASSOCIATES</w:t>
      </w:r>
    </w:p>
    <w:p w14:paraId="7F2A0D6C" w14:textId="77777777" w:rsidR="00B16F91" w:rsidRPr="00373D11" w:rsidRDefault="00000000" w:rsidP="00B16F91">
      <w:pPr>
        <w:spacing w:line="360" w:lineRule="auto"/>
        <w:jc w:val="both"/>
        <w:rPr>
          <w:rFonts w:eastAsia="Times New Roman" w:cs="Times New Roman"/>
          <w:b/>
          <w:bCs/>
          <w:color w:val="auto"/>
          <w:szCs w:val="24"/>
        </w:rPr>
      </w:pPr>
      <w:r w:rsidRPr="00373D11">
        <w:rPr>
          <w:rFonts w:eastAsia="Times New Roman" w:cs="Times New Roman"/>
          <w:b/>
          <w:bCs/>
          <w:color w:val="auto"/>
          <w:szCs w:val="24"/>
        </w:rPr>
        <w:t>FIRM NUMBER: 7</w:t>
      </w:r>
    </w:p>
    <w:p w14:paraId="0B51E020" w14:textId="77777777" w:rsidR="00B16F91" w:rsidRPr="00373D11" w:rsidRDefault="00000000" w:rsidP="00B16F91">
      <w:pPr>
        <w:spacing w:line="360" w:lineRule="auto"/>
        <w:jc w:val="both"/>
        <w:rPr>
          <w:rFonts w:eastAsia="Times New Roman" w:cs="Times New Roman"/>
          <w:bCs/>
          <w:color w:val="auto"/>
          <w:szCs w:val="24"/>
        </w:rPr>
      </w:pPr>
      <w:r w:rsidRPr="00373D11">
        <w:rPr>
          <w:rFonts w:eastAsia="Times New Roman" w:cs="Times New Roman"/>
          <w:b/>
          <w:color w:val="auto"/>
          <w:szCs w:val="24"/>
        </w:rPr>
        <w:t>FIRM MEMBERS</w:t>
      </w:r>
      <w:r w:rsidRPr="00373D11">
        <w:rPr>
          <w:rFonts w:eastAsia="Times New Roman" w:cs="Times New Roman"/>
          <w:bCs/>
          <w:color w:val="auto"/>
          <w:szCs w:val="24"/>
        </w:rPr>
        <w:t>:</w:t>
      </w:r>
    </w:p>
    <w:p w14:paraId="5F0FD0B7"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BRIAN. W.  NDUNG’U</w:t>
      </w:r>
    </w:p>
    <w:p w14:paraId="7CC6D2F2"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EDWINE AKACH OTIENO</w:t>
      </w:r>
    </w:p>
    <w:p w14:paraId="72977F47"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HILLARY ODUOR OCHIENG</w:t>
      </w:r>
    </w:p>
    <w:p w14:paraId="38FAC041"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GLORIA ROZA K.M</w:t>
      </w:r>
    </w:p>
    <w:p w14:paraId="06AE4207"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RUWAIDA SAID</w:t>
      </w:r>
    </w:p>
    <w:p w14:paraId="6627B3CC"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EUGENE LAGAT</w:t>
      </w:r>
    </w:p>
    <w:p w14:paraId="1C298E3A"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COLLINS K. KIRUI</w:t>
      </w:r>
    </w:p>
    <w:p w14:paraId="0141F6E1"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EMMANUEL NYARAMBA</w:t>
      </w:r>
    </w:p>
    <w:p w14:paraId="5AA8C4DE" w14:textId="77777777" w:rsidR="00B16F91" w:rsidRPr="00373D11" w:rsidRDefault="00000000" w:rsidP="00B16F91">
      <w:pPr>
        <w:numPr>
          <w:ilvl w:val="0"/>
          <w:numId w:val="1"/>
        </w:numPr>
        <w:spacing w:line="360" w:lineRule="auto"/>
        <w:contextualSpacing/>
        <w:jc w:val="both"/>
        <w:rPr>
          <w:rFonts w:eastAsia="Times New Roman" w:cs="Times New Roman"/>
          <w:bCs/>
          <w:color w:val="auto"/>
          <w:szCs w:val="24"/>
        </w:rPr>
      </w:pPr>
      <w:r w:rsidRPr="00373D11">
        <w:rPr>
          <w:rFonts w:eastAsia="Times New Roman" w:cs="Times New Roman"/>
          <w:bCs/>
          <w:color w:val="auto"/>
          <w:szCs w:val="24"/>
        </w:rPr>
        <w:t>EVANS GITONGA</w:t>
      </w:r>
    </w:p>
    <w:p w14:paraId="17955C28" w14:textId="77777777" w:rsidR="00B16F91" w:rsidRDefault="00B16F91" w:rsidP="0044510C">
      <w:pPr>
        <w:spacing w:line="276" w:lineRule="auto"/>
        <w:jc w:val="both"/>
        <w:rPr>
          <w:b/>
          <w:bCs/>
        </w:rPr>
      </w:pPr>
    </w:p>
    <w:p w14:paraId="57FD31DD" w14:textId="77777777" w:rsidR="00B16F91" w:rsidRDefault="00B16F91" w:rsidP="0044510C">
      <w:pPr>
        <w:spacing w:line="276" w:lineRule="auto"/>
        <w:jc w:val="both"/>
        <w:rPr>
          <w:b/>
          <w:bCs/>
        </w:rPr>
      </w:pPr>
    </w:p>
    <w:p w14:paraId="276EC221" w14:textId="77777777" w:rsidR="00B16F91" w:rsidRDefault="00B16F91" w:rsidP="0044510C">
      <w:pPr>
        <w:spacing w:line="276" w:lineRule="auto"/>
        <w:jc w:val="both"/>
        <w:rPr>
          <w:b/>
          <w:bCs/>
        </w:rPr>
      </w:pPr>
    </w:p>
    <w:p w14:paraId="5F1A3378" w14:textId="77777777" w:rsidR="00B16F91" w:rsidRDefault="00B16F91" w:rsidP="0044510C">
      <w:pPr>
        <w:spacing w:line="276" w:lineRule="auto"/>
        <w:jc w:val="both"/>
        <w:rPr>
          <w:b/>
          <w:bCs/>
        </w:rPr>
      </w:pPr>
    </w:p>
    <w:p w14:paraId="0B356760" w14:textId="77777777" w:rsidR="00B16F91" w:rsidRDefault="00B16F91" w:rsidP="0044510C">
      <w:pPr>
        <w:spacing w:line="276" w:lineRule="auto"/>
        <w:jc w:val="both"/>
        <w:rPr>
          <w:b/>
          <w:bCs/>
        </w:rPr>
      </w:pPr>
    </w:p>
    <w:p w14:paraId="1ACB8D1E" w14:textId="77777777" w:rsidR="00B16F91" w:rsidRDefault="00B16F91" w:rsidP="0044510C">
      <w:pPr>
        <w:spacing w:line="276" w:lineRule="auto"/>
        <w:jc w:val="both"/>
        <w:rPr>
          <w:b/>
          <w:bCs/>
        </w:rPr>
      </w:pPr>
    </w:p>
    <w:p w14:paraId="0DF17711" w14:textId="77777777" w:rsidR="00B16F91" w:rsidRDefault="00B16F91" w:rsidP="0044510C">
      <w:pPr>
        <w:spacing w:line="276" w:lineRule="auto"/>
        <w:jc w:val="both"/>
        <w:rPr>
          <w:b/>
          <w:bCs/>
        </w:rPr>
      </w:pPr>
    </w:p>
    <w:p w14:paraId="03717F60" w14:textId="77777777" w:rsidR="0044510C" w:rsidRDefault="00000000" w:rsidP="0044510C">
      <w:pPr>
        <w:spacing w:line="276" w:lineRule="auto"/>
        <w:jc w:val="both"/>
        <w:rPr>
          <w:b/>
          <w:bCs/>
        </w:rPr>
      </w:pPr>
      <w:r w:rsidRPr="00E410B8">
        <w:rPr>
          <w:b/>
          <w:bCs/>
        </w:rPr>
        <w:t xml:space="preserve">THE CHINESE WALL AS A DEFENSE AGAINST VICARIOUS DISQUALIFICATION OF AN ADVOCATE DUE TO CONFLICT OF INTEREST </w:t>
      </w:r>
    </w:p>
    <w:p w14:paraId="34304231" w14:textId="77777777" w:rsidR="0044510C" w:rsidRDefault="00000000" w:rsidP="0044510C">
      <w:pPr>
        <w:spacing w:line="276" w:lineRule="auto"/>
        <w:jc w:val="both"/>
        <w:rPr>
          <w:b/>
          <w:bCs/>
        </w:rPr>
      </w:pPr>
      <w:r>
        <w:rPr>
          <w:b/>
          <w:bCs/>
        </w:rPr>
        <w:t xml:space="preserve">INTRODUCTION AND BACKGROUND </w:t>
      </w:r>
    </w:p>
    <w:p w14:paraId="3A68341B" w14:textId="77777777" w:rsidR="0044510C" w:rsidRDefault="00000000" w:rsidP="0044510C">
      <w:pPr>
        <w:spacing w:line="276" w:lineRule="auto"/>
        <w:jc w:val="both"/>
      </w:pPr>
      <w:r>
        <w:t>A Chinese Wall is defined as an information barrier within an organization that is meant to prevent the spread of confidential information between members of the same firm or organization.</w:t>
      </w:r>
      <w:r>
        <w:rPr>
          <w:rStyle w:val="FootnoteReference"/>
        </w:rPr>
        <w:footnoteReference w:id="1"/>
      </w:r>
      <w:r>
        <w:t xml:space="preserve"> The concept of a Chinese Wall in a law firm may also entail a raft of measures put in place by the law firm to inhibit the spread of confidential information from one department of an organization to another.</w:t>
      </w:r>
      <w:r>
        <w:rPr>
          <w:rStyle w:val="FootnoteReference"/>
        </w:rPr>
        <w:footnoteReference w:id="2"/>
      </w:r>
      <w:r>
        <w:t xml:space="preserve"> The rationale behind the incorporation of this concept in law firms is to prevent the whole firm from being vicariously disqualified from a matter due to a conflict of interest. In the case of </w:t>
      </w:r>
      <w:bookmarkStart w:id="0" w:name="_Hlk128824565"/>
      <w:r w:rsidRPr="00697322">
        <w:rPr>
          <w:b/>
          <w:bCs/>
          <w:i/>
          <w:iCs/>
        </w:rPr>
        <w:t>Re a Firm of Solicitors (1992) 1ALL ER 353</w:t>
      </w:r>
      <w:bookmarkEnd w:id="0"/>
      <w:r>
        <w:t>, the court emphasized that firms relying on the defense of Chinese walls against vicarious disqualification must adequately show the court that the firm placed mechanisms to prevent the flow of information from one department to another.</w:t>
      </w:r>
      <w:r>
        <w:rPr>
          <w:rStyle w:val="FootnoteReference"/>
        </w:rPr>
        <w:footnoteReference w:id="3"/>
      </w:r>
      <w:r>
        <w:t xml:space="preserve"> Therefore, this paper will expound on the element of the concept of the Chinese wall as a defense against the vicarious disqualification of a firm. </w:t>
      </w:r>
    </w:p>
    <w:p w14:paraId="4AA3D5A3" w14:textId="77777777" w:rsidR="0044510C" w:rsidRDefault="00000000" w:rsidP="0044510C">
      <w:pPr>
        <w:spacing w:line="276" w:lineRule="auto"/>
        <w:jc w:val="both"/>
        <w:rPr>
          <w:b/>
          <w:bCs/>
        </w:rPr>
      </w:pPr>
      <w:r w:rsidRPr="00A70A99">
        <w:rPr>
          <w:b/>
          <w:bCs/>
        </w:rPr>
        <w:t>BA</w:t>
      </w:r>
      <w:r>
        <w:rPr>
          <w:b/>
          <w:bCs/>
        </w:rPr>
        <w:t>C</w:t>
      </w:r>
      <w:r w:rsidRPr="00A70A99">
        <w:rPr>
          <w:b/>
          <w:bCs/>
        </w:rPr>
        <w:t xml:space="preserve">KGROUND </w:t>
      </w:r>
    </w:p>
    <w:p w14:paraId="0A47A24A" w14:textId="77777777" w:rsidR="0044510C" w:rsidRDefault="00000000" w:rsidP="0044510C">
      <w:pPr>
        <w:spacing w:line="276" w:lineRule="auto"/>
        <w:jc w:val="both"/>
      </w:pPr>
      <w:r>
        <w:t xml:space="preserve">The concept of the Chinese wall was coined after the stock market crash that faced the United States in 1929. </w:t>
      </w:r>
      <w:r>
        <w:rPr>
          <w:rStyle w:val="FootnoteReference"/>
        </w:rPr>
        <w:footnoteReference w:id="4"/>
      </w:r>
      <w:r>
        <w:t>This crash in the stock market was majorly attributed to the elements of insider trading and price manipulation which resulted from sharing of confidential information between individuals in the commercial and investment banks.</w:t>
      </w:r>
      <w:r>
        <w:rPr>
          <w:rStyle w:val="FootnoteReference"/>
        </w:rPr>
        <w:footnoteReference w:id="5"/>
      </w:r>
      <w:r>
        <w:t xml:space="preserve"> These events prompted the United States Congress to pass a law mandating the separation of investment and commercial banks to avoid conflict of interest arising from the spread of information from the two entities. It is prudent to note that from the above-stipulated scenario, the legal profession has also incorporated the concept of a Chinese Wall in its practice to protect and enhance the sanctity of confidential information. The term Chinese Wall has faced a backlash from individuals who term the term as culturally insensitive. For instance, in the case of </w:t>
      </w:r>
      <w:r w:rsidRPr="00886267">
        <w:rPr>
          <w:b/>
          <w:bCs/>
          <w:i/>
          <w:iCs/>
        </w:rPr>
        <w:t>Peat, Marwick, Mitchell, and Co. vs Superior Court (1988</w:t>
      </w:r>
      <w:r w:rsidR="00894211" w:rsidRPr="00886267">
        <w:rPr>
          <w:b/>
          <w:bCs/>
          <w:i/>
          <w:iCs/>
        </w:rPr>
        <w:t>), the</w:t>
      </w:r>
      <w:r>
        <w:t xml:space="preserve"> Presiding Judge Harry W. Low was of the opinion that the term Chinese wall is a piece of legal flotsam that should be emphatically abandoned.</w:t>
      </w:r>
      <w:r>
        <w:rPr>
          <w:rStyle w:val="FootnoteReference"/>
        </w:rPr>
        <w:footnoteReference w:id="6"/>
      </w:r>
      <w:r>
        <w:t xml:space="preserve"> He proceeded to suggest the use of terms </w:t>
      </w:r>
      <w:r>
        <w:lastRenderedPageBreak/>
        <w:t xml:space="preserve">such as an ethical wall instead. Therefore, the concept of a Chinese wall can also be referred to as an ethical wall, cone of silence, or firewall inter-alia. </w:t>
      </w:r>
    </w:p>
    <w:p w14:paraId="79299CB6" w14:textId="77777777" w:rsidR="0044510C" w:rsidRDefault="00000000" w:rsidP="0044510C">
      <w:pPr>
        <w:spacing w:line="276" w:lineRule="auto"/>
        <w:jc w:val="both"/>
        <w:rPr>
          <w:b/>
          <w:bCs/>
        </w:rPr>
      </w:pPr>
      <w:r w:rsidRPr="0054166A">
        <w:rPr>
          <w:b/>
          <w:bCs/>
        </w:rPr>
        <w:t xml:space="preserve">Mechanisms of Effectively Implementing the Concept of Chinese Walls in a Law Firm </w:t>
      </w:r>
    </w:p>
    <w:p w14:paraId="4C6DFC49" w14:textId="77777777" w:rsidR="0044510C" w:rsidRDefault="00000000" w:rsidP="0044510C">
      <w:pPr>
        <w:spacing w:line="276" w:lineRule="auto"/>
        <w:jc w:val="both"/>
      </w:pPr>
      <w:r>
        <w:t xml:space="preserve">Courts have been skeptical as to the efficacy of the Chinese wall in protecting client confidentiality. For instance, in the case of </w:t>
      </w:r>
      <w:bookmarkStart w:id="1" w:name="_Hlk128900849"/>
      <w:r w:rsidRPr="001075B2">
        <w:rPr>
          <w:b/>
          <w:bCs/>
          <w:i/>
          <w:iCs/>
        </w:rPr>
        <w:t>Prince Jefri Bolkiah Vs K.P.M.G (A Firm) [1999] ALL ER 517</w:t>
      </w:r>
      <w:bookmarkEnd w:id="1"/>
      <w:r>
        <w:t>, the House of Lords was of the opinion that a firm relying on the defense of a Chinese Wall to evade disqualification must sufficiently show the court that the ethical wall is indeed part of its organizational structure and should just be an ad hoc creation.</w:t>
      </w:r>
      <w:r>
        <w:rPr>
          <w:rStyle w:val="FootnoteReference"/>
        </w:rPr>
        <w:footnoteReference w:id="7"/>
      </w:r>
      <w:r>
        <w:t xml:space="preserve"> These assertions, therefore, make it prudent for law firms to come up with mechanisms that are geared towards the realization of this ethical wall. One of how this principle can be realized in a law firm is by subdividing a law firm into different departments that handle different cases. For example, the commercial department should be separated from the criminal department. After such a division, it is prudent for the management of the firm to guide the departments on the importance of maintaining confidentiality within their respective departments.</w:t>
      </w:r>
      <w:r>
        <w:rPr>
          <w:rStyle w:val="FootnoteReference"/>
        </w:rPr>
        <w:footnoteReference w:id="8"/>
      </w:r>
      <w:r>
        <w:t xml:space="preserve"> </w:t>
      </w:r>
    </w:p>
    <w:p w14:paraId="32745443" w14:textId="77777777" w:rsidR="0044510C" w:rsidRPr="00800B2A" w:rsidRDefault="00000000" w:rsidP="0044510C">
      <w:pPr>
        <w:spacing w:line="276" w:lineRule="auto"/>
        <w:jc w:val="both"/>
      </w:pPr>
      <w:r>
        <w:t>Chinese walls can also be implemented by restricting the movements of individuals from one department to another.</w:t>
      </w:r>
      <w:r>
        <w:rPr>
          <w:rStyle w:val="FootnoteReference"/>
        </w:rPr>
        <w:footnoteReference w:id="9"/>
      </w:r>
      <w:r>
        <w:t xml:space="preserve"> This approach can be achieved through the setting up of security passwords and locks. The third mechanism that can be employed to achieve the Chinese Wall is creating safe storage for documents with limited access to only the members of that respective department. In Kenya, the </w:t>
      </w:r>
      <w:bookmarkStart w:id="2" w:name="_Hlk128900873"/>
      <w:r>
        <w:t xml:space="preserve">Law Society of Kenya through the LSK Law Firm Management Manual 2018 </w:t>
      </w:r>
      <w:bookmarkEnd w:id="2"/>
      <w:r>
        <w:rPr>
          <w:rStyle w:val="FootnoteReference"/>
        </w:rPr>
        <w:footnoteReference w:id="10"/>
      </w:r>
      <w:r>
        <w:t xml:space="preserve">at page 59 mandates advocates to hold onto high regard the concept of client confidentiality as it forms part of client care. Therefore, advocates running private legal practices are mandated to come up with mechanisms such as the ones stated above to maintain client confidentiality. </w:t>
      </w:r>
    </w:p>
    <w:p w14:paraId="33D15CB7" w14:textId="77777777" w:rsidR="0044510C" w:rsidRDefault="00000000" w:rsidP="0044510C">
      <w:pPr>
        <w:spacing w:line="276" w:lineRule="auto"/>
        <w:jc w:val="both"/>
        <w:rPr>
          <w:b/>
          <w:bCs/>
        </w:rPr>
      </w:pPr>
      <w:r>
        <w:rPr>
          <w:b/>
          <w:bCs/>
        </w:rPr>
        <w:t xml:space="preserve">CASE LAWS EXPOUNDING ON THE CONCEPT OF CHINESE WALLS </w:t>
      </w:r>
    </w:p>
    <w:p w14:paraId="01DEB22C" w14:textId="77777777" w:rsidR="0044510C" w:rsidRDefault="00000000" w:rsidP="0044510C">
      <w:pPr>
        <w:spacing w:line="276" w:lineRule="auto"/>
        <w:jc w:val="both"/>
        <w:rPr>
          <w:b/>
          <w:bCs/>
        </w:rPr>
      </w:pPr>
      <w:bookmarkStart w:id="3" w:name="_Hlk128900954"/>
      <w:r w:rsidRPr="00800B2A">
        <w:rPr>
          <w:b/>
          <w:bCs/>
        </w:rPr>
        <w:t>Re a Firm of Solicitors (1992) 1ALL ER 353</w:t>
      </w:r>
    </w:p>
    <w:bookmarkEnd w:id="3"/>
    <w:p w14:paraId="576605B8" w14:textId="77777777" w:rsidR="0044510C" w:rsidRDefault="00000000" w:rsidP="0044510C">
      <w:pPr>
        <w:spacing w:line="276" w:lineRule="auto"/>
        <w:jc w:val="both"/>
      </w:pPr>
      <w:r>
        <w:t>A company had sought an injunction against a firm of 107 partners from acting for a defendant. This injunction was prompted by the allegation that the firm had acted for certain companies associated with the applicant on matters that were connected to the action in question. The defendants relied on the concept of a Chinese Wall to counter the allegations made against them. The court in its determination through Parker J held that in determining matters about the Chinese Wall, the test of reasonable anticipation should be taken into keen consideration.</w:t>
      </w:r>
      <w:r>
        <w:rPr>
          <w:rStyle w:val="FootnoteReference"/>
        </w:rPr>
        <w:footnoteReference w:id="11"/>
      </w:r>
      <w:r>
        <w:t xml:space="preserve"> This test implies that a reasonable man with the knowledge of the facts would reasonably anticipate that there was </w:t>
      </w:r>
      <w:r>
        <w:lastRenderedPageBreak/>
        <w:t xml:space="preserve">a danger that the information gained while acting for the former client would be used against him or there was a likelihood of mischief. Therefore, this means that before a firm of advocates relies on the concept of a Chinese Wall against disqualification, they should demonstrate to the court that they placed measures to prevent any form of leakage of confidential information. </w:t>
      </w:r>
    </w:p>
    <w:p w14:paraId="7FF64579" w14:textId="77777777" w:rsidR="0044510C" w:rsidRPr="00AE60A1" w:rsidRDefault="00000000" w:rsidP="0044510C">
      <w:pPr>
        <w:spacing w:line="276" w:lineRule="auto"/>
        <w:jc w:val="both"/>
        <w:rPr>
          <w:b/>
          <w:bCs/>
        </w:rPr>
      </w:pPr>
      <w:bookmarkStart w:id="4" w:name="_Hlk128900999"/>
      <w:r w:rsidRPr="00AE60A1">
        <w:rPr>
          <w:b/>
          <w:bCs/>
        </w:rPr>
        <w:t>Prince Jefri Bolkiah Vs K.P.M.G.A (A Firm) (1999) ALL ER 517</w:t>
      </w:r>
    </w:p>
    <w:bookmarkEnd w:id="4"/>
    <w:p w14:paraId="25D43DCD" w14:textId="77777777" w:rsidR="0044510C" w:rsidRDefault="00000000" w:rsidP="0044510C">
      <w:pPr>
        <w:spacing w:line="276" w:lineRule="auto"/>
        <w:jc w:val="both"/>
      </w:pPr>
      <w:r>
        <w:t>The House of Lords in this case adopted a stricter approach while considering the issue of disqualifying a counsel due to a conflict of interest. The court while commenting on the aspect of a Chinese wall held that a mere mention of this principle by a law firm was not sufficient to prevent their disqualification from a matter due to a conflict of interest.</w:t>
      </w:r>
      <w:r>
        <w:rPr>
          <w:rStyle w:val="FootnoteReference"/>
        </w:rPr>
        <w:footnoteReference w:id="12"/>
      </w:r>
      <w:r>
        <w:t xml:space="preserve"> The house of lords went ahead to hold that the party that relies on this defense should effectively show the court that the Chinese Wall has been part of their organizational structure and aims to prevent the leak of confidential information between different departments of the firm. Therefore, a party cannot successfully invoke the defense of a Chinese Wall unless they move the court on the measures, they have undertaken to realize its application. </w:t>
      </w:r>
    </w:p>
    <w:p w14:paraId="5A53AB47" w14:textId="77777777" w:rsidR="0044510C" w:rsidRDefault="00000000" w:rsidP="0044510C">
      <w:pPr>
        <w:spacing w:line="276" w:lineRule="auto"/>
        <w:jc w:val="both"/>
        <w:rPr>
          <w:b/>
          <w:bCs/>
        </w:rPr>
      </w:pPr>
      <w:bookmarkStart w:id="5" w:name="_Hlk128901039"/>
      <w:r w:rsidRPr="00636BC8">
        <w:rPr>
          <w:b/>
          <w:bCs/>
        </w:rPr>
        <w:t>Republic v Silas Mutuma Marimi &amp; 2 others [2016] eKLR</w:t>
      </w:r>
    </w:p>
    <w:bookmarkEnd w:id="5"/>
    <w:p w14:paraId="56DE9969" w14:textId="77777777" w:rsidR="0044510C" w:rsidRDefault="00000000" w:rsidP="0044510C">
      <w:pPr>
        <w:spacing w:line="276" w:lineRule="auto"/>
        <w:jc w:val="both"/>
      </w:pPr>
      <w:r>
        <w:t>This case involved a motion seeking to bar Mr. Ogola who is a partner in the firm of Gordon Ogolla, Kipkoech, and Company Advocates from acting for the defendants in a murder trial because the firm had at one time watched brief for the victim's family. Mr. Ogolla relied on the defense of a Chinese Wall arguing that it is his partner Mr. Kipkoech who had acted for the victim’s family and not him.</w:t>
      </w:r>
      <w:r>
        <w:rPr>
          <w:rStyle w:val="FootnoteReference"/>
        </w:rPr>
        <w:footnoteReference w:id="13"/>
      </w:r>
      <w:r>
        <w:t xml:space="preserve"> The court in its determination held that the defense of a Chinese Wall could not suffice in this case since Mr. Ogolla and Mr. Kipkoech are only two partners in a firm, it would be difficult to assume that confidential information about the case was not shared between the two of them in the course of running their practice. The court also stated that any party relying on the defense of a Chinese wall should not only place reliance on it by mere mention but also ensure that they show the court the mechanisms placed by their firm in implementing this principle. </w:t>
      </w:r>
    </w:p>
    <w:p w14:paraId="34B02A16" w14:textId="77777777" w:rsidR="0044510C" w:rsidRDefault="00000000" w:rsidP="0044510C">
      <w:pPr>
        <w:spacing w:line="276" w:lineRule="auto"/>
        <w:jc w:val="both"/>
      </w:pPr>
      <w:bookmarkStart w:id="6" w:name="_Hlk128901065"/>
      <w:r w:rsidRPr="00A36391">
        <w:rPr>
          <w:b/>
          <w:bCs/>
        </w:rPr>
        <w:t>Silver Chrysler Plymouth, Inc. v. Chrysler Motors Corp. (518 F.2d 751 (2d Cir. 1975</w:t>
      </w:r>
      <w:r w:rsidRPr="00A36391">
        <w:t>)</w:t>
      </w:r>
      <w:bookmarkEnd w:id="6"/>
    </w:p>
    <w:p w14:paraId="654B58C5" w14:textId="77777777" w:rsidR="0044510C" w:rsidRPr="00B159D9" w:rsidRDefault="00000000" w:rsidP="0044510C">
      <w:pPr>
        <w:spacing w:line="276" w:lineRule="auto"/>
        <w:jc w:val="both"/>
      </w:pPr>
      <w:r>
        <w:t>The court while dismissing an application to disqualify an advocate due to a conflict of interest applied the Chinese Wall principle.</w:t>
      </w:r>
      <w:r>
        <w:rPr>
          <w:rStyle w:val="FootnoteReference"/>
        </w:rPr>
        <w:footnoteReference w:id="14"/>
      </w:r>
      <w:r>
        <w:t xml:space="preserve"> The Court argued that there was in no way the attorney who was a young associate in the big firm would have come across the confidential information on a case handled by a completely distinct department from his. </w:t>
      </w:r>
    </w:p>
    <w:p w14:paraId="1699620C" w14:textId="77777777" w:rsidR="00536604" w:rsidRDefault="00536604" w:rsidP="0044510C">
      <w:pPr>
        <w:spacing w:line="276" w:lineRule="auto"/>
        <w:jc w:val="both"/>
        <w:rPr>
          <w:b/>
          <w:bCs/>
        </w:rPr>
      </w:pPr>
    </w:p>
    <w:p w14:paraId="15533017" w14:textId="77777777" w:rsidR="00536604" w:rsidRDefault="00536604" w:rsidP="0044510C">
      <w:pPr>
        <w:spacing w:line="276" w:lineRule="auto"/>
        <w:jc w:val="both"/>
        <w:rPr>
          <w:b/>
          <w:bCs/>
        </w:rPr>
      </w:pPr>
    </w:p>
    <w:p w14:paraId="3368B201" w14:textId="77777777" w:rsidR="0044510C" w:rsidRDefault="00000000" w:rsidP="0044510C">
      <w:pPr>
        <w:spacing w:line="276" w:lineRule="auto"/>
        <w:jc w:val="both"/>
        <w:rPr>
          <w:b/>
          <w:bCs/>
        </w:rPr>
      </w:pPr>
      <w:r>
        <w:rPr>
          <w:b/>
          <w:bCs/>
        </w:rPr>
        <w:lastRenderedPageBreak/>
        <w:t xml:space="preserve">A CRITIQUE OF THE CHINESE WALLS </w:t>
      </w:r>
      <w:r w:rsidR="00DB1B50">
        <w:rPr>
          <w:b/>
          <w:bCs/>
        </w:rPr>
        <w:t>AS A DEFENSE AGAINST VICARIOUS DISQUALIFICATION</w:t>
      </w:r>
      <w:r w:rsidR="0039249C">
        <w:rPr>
          <w:b/>
          <w:bCs/>
        </w:rPr>
        <w:t xml:space="preserve"> OF A FIRM </w:t>
      </w:r>
    </w:p>
    <w:p w14:paraId="5281AD6C" w14:textId="77777777" w:rsidR="0044510C" w:rsidRPr="00B159D9" w:rsidRDefault="00000000" w:rsidP="0044510C">
      <w:pPr>
        <w:spacing w:line="276" w:lineRule="auto"/>
        <w:jc w:val="both"/>
      </w:pPr>
      <w:r>
        <w:t>The main critique of the Chinese wall is that it is quite difficult to apply in small and medium law firms.</w:t>
      </w:r>
      <w:r>
        <w:rPr>
          <w:rStyle w:val="FootnoteReference"/>
        </w:rPr>
        <w:footnoteReference w:id="15"/>
      </w:r>
      <w:r>
        <w:t xml:space="preserve"> The rationale behind this assertion is that small law firms rely on the cohesion of their human resource to ensure that they achieve their goals and objectives. Therefore, advocates in small firms would find it difficult to rely on this principle as a defense against vicarious disqualification.</w:t>
      </w:r>
      <w:r>
        <w:rPr>
          <w:rStyle w:val="FootnoteReference"/>
        </w:rPr>
        <w:footnoteReference w:id="16"/>
      </w:r>
      <w:r>
        <w:t xml:space="preserve"> The second critique of the Chinese Wall is that even law firms with giant human resources cannot also be able to fully inhibit the transfer of information from one department to another. The final criticism of this concept is that it does not regain the utmost confidence of the client. For instance, a client would not be able to confer confidential information to his lawyer even with the existence of a Chinese wall. </w:t>
      </w:r>
    </w:p>
    <w:p w14:paraId="53E6F900" w14:textId="77777777" w:rsidR="00532F94" w:rsidRDefault="00532F94"/>
    <w:sectPr w:rsidR="00532F9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38E6F" w14:textId="77777777" w:rsidR="00537670" w:rsidRDefault="00537670">
      <w:pPr>
        <w:spacing w:after="0" w:line="240" w:lineRule="auto"/>
      </w:pPr>
      <w:r>
        <w:separator/>
      </w:r>
    </w:p>
  </w:endnote>
  <w:endnote w:type="continuationSeparator" w:id="0">
    <w:p w14:paraId="486C8900" w14:textId="77777777" w:rsidR="00537670" w:rsidRDefault="00537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4417551"/>
      <w:docPartObj>
        <w:docPartGallery w:val="Page Numbers (Bottom of Page)"/>
        <w:docPartUnique/>
      </w:docPartObj>
    </w:sdtPr>
    <w:sdtEndPr>
      <w:rPr>
        <w:noProof/>
      </w:rPr>
    </w:sdtEndPr>
    <w:sdtContent>
      <w:p w14:paraId="40B65D96" w14:textId="4FE96618" w:rsidR="003D197C" w:rsidRDefault="003D19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41665E" w14:textId="77777777" w:rsidR="003D197C" w:rsidRDefault="003D1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F6436" w14:textId="77777777" w:rsidR="00537670" w:rsidRDefault="00537670" w:rsidP="008B7A3D">
      <w:pPr>
        <w:spacing w:after="0" w:line="240" w:lineRule="auto"/>
      </w:pPr>
      <w:r>
        <w:separator/>
      </w:r>
    </w:p>
  </w:footnote>
  <w:footnote w:type="continuationSeparator" w:id="0">
    <w:p w14:paraId="11AC6A55" w14:textId="77777777" w:rsidR="00537670" w:rsidRDefault="00537670" w:rsidP="008B7A3D">
      <w:pPr>
        <w:spacing w:after="0" w:line="240" w:lineRule="auto"/>
      </w:pPr>
      <w:r>
        <w:continuationSeparator/>
      </w:r>
    </w:p>
  </w:footnote>
  <w:footnote w:id="1">
    <w:p w14:paraId="047C0665" w14:textId="77777777" w:rsidR="008B7A3D" w:rsidRPr="00536604" w:rsidRDefault="00000000" w:rsidP="00536604">
      <w:pPr>
        <w:pStyle w:val="FootnoteText"/>
        <w:jc w:val="both"/>
      </w:pPr>
      <w:r w:rsidRPr="00536604">
        <w:rPr>
          <w:rStyle w:val="FootnoteReference"/>
        </w:rPr>
        <w:footnoteRef/>
      </w:r>
      <w:r w:rsidRPr="00536604">
        <w:t xml:space="preserve"> Kumpan, Christoph, and Patrick C. Leyens. "Conflicts of Interest of Financial Intermediaries–Towards a Global Common Core in Conflicts of Interest Regulation–." (2008): 72-100. Available at </w:t>
      </w:r>
      <w:hyperlink r:id="rId1" w:history="1">
        <w:r w:rsidRPr="00536604">
          <w:rPr>
            <w:rStyle w:val="Hyperlink"/>
          </w:rPr>
          <w:t>https://heinonline.org/hol-cgi-bin/get_pdf.cgi?handle=hein.journals/ecomflr5&amp;section=8&amp;casa_token=jQS6hkOak2UAAAAA:oDrJPkaAoO6KPn-UF52s4PDNZf-o4xnD8JYo2KxOGgv-32P7yBF9ExDs8FxmagIJVeq0BQBy5A</w:t>
        </w:r>
      </w:hyperlink>
      <w:r w:rsidRPr="00536604">
        <w:t xml:space="preserve">. </w:t>
      </w:r>
    </w:p>
  </w:footnote>
  <w:footnote w:id="2">
    <w:p w14:paraId="250DF077" w14:textId="77777777" w:rsidR="00481767" w:rsidRPr="00536604" w:rsidRDefault="00000000" w:rsidP="00536604">
      <w:pPr>
        <w:pStyle w:val="FootnoteText"/>
        <w:jc w:val="both"/>
      </w:pPr>
      <w:r w:rsidRPr="00536604">
        <w:rPr>
          <w:rStyle w:val="FootnoteReference"/>
        </w:rPr>
        <w:footnoteRef/>
      </w:r>
      <w:r w:rsidRPr="00536604">
        <w:t xml:space="preserve"> Ibid. </w:t>
      </w:r>
    </w:p>
  </w:footnote>
  <w:footnote w:id="3">
    <w:p w14:paraId="22CEB94F" w14:textId="77777777" w:rsidR="000842C3" w:rsidRPr="00536604" w:rsidRDefault="00000000" w:rsidP="00536604">
      <w:pPr>
        <w:pStyle w:val="FootnoteText"/>
        <w:jc w:val="both"/>
      </w:pPr>
      <w:r w:rsidRPr="00536604">
        <w:rPr>
          <w:rStyle w:val="FootnoteReference"/>
        </w:rPr>
        <w:footnoteRef/>
      </w:r>
      <w:r w:rsidRPr="00536604">
        <w:t xml:space="preserve"> </w:t>
      </w:r>
      <w:r w:rsidRPr="00536604">
        <w:rPr>
          <w:i/>
          <w:iCs/>
        </w:rPr>
        <w:t>Re a Firm of Solicitors (1992) 1ALL ER 353</w:t>
      </w:r>
    </w:p>
  </w:footnote>
  <w:footnote w:id="4">
    <w:p w14:paraId="6FA7C863" w14:textId="77777777" w:rsidR="00894211" w:rsidRPr="00536604" w:rsidRDefault="00000000" w:rsidP="00536604">
      <w:pPr>
        <w:pStyle w:val="FootnoteText"/>
        <w:jc w:val="both"/>
      </w:pPr>
      <w:r w:rsidRPr="00536604">
        <w:rPr>
          <w:rStyle w:val="FootnoteReference"/>
        </w:rPr>
        <w:footnoteRef/>
      </w:r>
      <w:r w:rsidRPr="00536604">
        <w:t xml:space="preserve"> White, Eugene N. "The stock market boom and crash of 1929 revisited." </w:t>
      </w:r>
      <w:r w:rsidRPr="00536604">
        <w:rPr>
          <w:i/>
          <w:iCs/>
        </w:rPr>
        <w:t>Journal of Economic Perspectives</w:t>
      </w:r>
      <w:r w:rsidRPr="00536604">
        <w:t xml:space="preserve"> 4, no. 2 (1990): 67-83. Available at </w:t>
      </w:r>
      <w:hyperlink r:id="rId2" w:history="1">
        <w:r w:rsidR="006D32F7" w:rsidRPr="00536604">
          <w:rPr>
            <w:rStyle w:val="Hyperlink"/>
          </w:rPr>
          <w:t>https://books.google.com/books?hl=en&amp;lr=&amp;id=fehZMhL5T_EC&amp;oi=fnd&amp;pg=PP12&amp;dq=The+concept+of+Chinese+wall+was+coined+after+the+stock+market+crash+that+faced+the+United+States+in+1929.+&amp;ots=m3vf6dSjb1&amp;sig=vu2_dDHuBq77xJfPH0KibLvDx6E</w:t>
        </w:r>
      </w:hyperlink>
    </w:p>
  </w:footnote>
  <w:footnote w:id="5">
    <w:p w14:paraId="12BF831E" w14:textId="77777777" w:rsidR="00894211" w:rsidRPr="00536604" w:rsidRDefault="00000000" w:rsidP="00536604">
      <w:pPr>
        <w:pStyle w:val="FootnoteText"/>
        <w:jc w:val="both"/>
      </w:pPr>
      <w:r w:rsidRPr="00536604">
        <w:rPr>
          <w:rStyle w:val="FootnoteReference"/>
        </w:rPr>
        <w:footnoteRef/>
      </w:r>
      <w:r w:rsidRPr="00536604">
        <w:t xml:space="preserve"> Ibid. </w:t>
      </w:r>
    </w:p>
  </w:footnote>
  <w:footnote w:id="6">
    <w:p w14:paraId="5815C0D5" w14:textId="77777777" w:rsidR="006D3444" w:rsidRPr="00536604" w:rsidRDefault="00000000" w:rsidP="00536604">
      <w:pPr>
        <w:pStyle w:val="FootnoteText"/>
        <w:jc w:val="both"/>
      </w:pPr>
      <w:r w:rsidRPr="00536604">
        <w:rPr>
          <w:rStyle w:val="FootnoteReference"/>
        </w:rPr>
        <w:footnoteRef/>
      </w:r>
      <w:r w:rsidRPr="00536604">
        <w:t xml:space="preserve"> </w:t>
      </w:r>
      <w:r w:rsidRPr="00536604">
        <w:rPr>
          <w:i/>
          <w:iCs/>
        </w:rPr>
        <w:t>Peat, Marwick, Mitchell, and Co. vs Superior Court (1988)</w:t>
      </w:r>
    </w:p>
  </w:footnote>
  <w:footnote w:id="7">
    <w:p w14:paraId="5593884A" w14:textId="77777777" w:rsidR="00285FAC" w:rsidRPr="00536604" w:rsidRDefault="00000000" w:rsidP="00536604">
      <w:pPr>
        <w:pStyle w:val="FootnoteText"/>
        <w:jc w:val="both"/>
      </w:pPr>
      <w:r w:rsidRPr="00536604">
        <w:rPr>
          <w:rStyle w:val="FootnoteReference"/>
        </w:rPr>
        <w:footnoteRef/>
      </w:r>
      <w:r w:rsidRPr="00536604">
        <w:t xml:space="preserve"> </w:t>
      </w:r>
      <w:r w:rsidR="007E0C80" w:rsidRPr="00536604">
        <w:rPr>
          <w:i/>
          <w:iCs/>
        </w:rPr>
        <w:t>Prince Jefri Bolkiah Vs K.P.M.G (A Firm) [1999] ALL ER 517</w:t>
      </w:r>
    </w:p>
  </w:footnote>
  <w:footnote w:id="8">
    <w:p w14:paraId="17E061B7" w14:textId="77777777" w:rsidR="00D44E07" w:rsidRPr="00536604" w:rsidRDefault="00000000" w:rsidP="00536604">
      <w:pPr>
        <w:pStyle w:val="FootnoteText"/>
        <w:jc w:val="both"/>
      </w:pPr>
      <w:r w:rsidRPr="00536604">
        <w:rPr>
          <w:rStyle w:val="FootnoteReference"/>
        </w:rPr>
        <w:footnoteRef/>
      </w:r>
      <w:r w:rsidRPr="00536604">
        <w:t xml:space="preserve"> McLaren Jr, James B. "The Future of the Chinese Wall Defense to Vicarious Disqualification of a Former Government Attorney's Law Firm." </w:t>
      </w:r>
      <w:r w:rsidRPr="00536604">
        <w:rPr>
          <w:i/>
          <w:iCs/>
        </w:rPr>
        <w:t>Wash. &amp; Lee L. Rev.</w:t>
      </w:r>
      <w:r w:rsidRPr="00536604">
        <w:t> 38 (1981): 151.</w:t>
      </w:r>
    </w:p>
  </w:footnote>
  <w:footnote w:id="9">
    <w:p w14:paraId="1611735D" w14:textId="77777777" w:rsidR="0016465A" w:rsidRPr="00536604" w:rsidRDefault="00000000" w:rsidP="00536604">
      <w:pPr>
        <w:pStyle w:val="FootnoteText"/>
        <w:jc w:val="both"/>
      </w:pPr>
      <w:r w:rsidRPr="00536604">
        <w:rPr>
          <w:rStyle w:val="FootnoteReference"/>
        </w:rPr>
        <w:footnoteRef/>
      </w:r>
      <w:r w:rsidRPr="00536604">
        <w:t xml:space="preserve"> Moser, M. Peter. "Chinese Walls: A Means of Avoiding Law Firm Disqualifications When a Personally Disqualified Lawyer Joins the Firm." </w:t>
      </w:r>
      <w:r w:rsidRPr="00536604">
        <w:rPr>
          <w:i/>
          <w:iCs/>
        </w:rPr>
        <w:t>Geo. J. Legal Ethics</w:t>
      </w:r>
      <w:r w:rsidRPr="00536604">
        <w:t> 3 (1989): 399.</w:t>
      </w:r>
    </w:p>
  </w:footnote>
  <w:footnote w:id="10">
    <w:p w14:paraId="36836E02" w14:textId="77777777" w:rsidR="00F300B9" w:rsidRPr="00536604" w:rsidRDefault="00000000" w:rsidP="00536604">
      <w:pPr>
        <w:pStyle w:val="FootnoteText"/>
        <w:jc w:val="both"/>
      </w:pPr>
      <w:r w:rsidRPr="00536604">
        <w:rPr>
          <w:rStyle w:val="FootnoteReference"/>
        </w:rPr>
        <w:footnoteRef/>
      </w:r>
      <w:r w:rsidRPr="00536604">
        <w:t xml:space="preserve"> Law Society of Kenya through the LSK Law Firm Management Manual 2018. Page 59</w:t>
      </w:r>
    </w:p>
  </w:footnote>
  <w:footnote w:id="11">
    <w:p w14:paraId="6B20178B" w14:textId="77777777" w:rsidR="00EB17D1" w:rsidRPr="00536604" w:rsidRDefault="00000000" w:rsidP="00536604">
      <w:pPr>
        <w:pStyle w:val="FootnoteText"/>
        <w:jc w:val="both"/>
      </w:pPr>
      <w:r w:rsidRPr="00536604">
        <w:rPr>
          <w:rStyle w:val="FootnoteReference"/>
        </w:rPr>
        <w:footnoteRef/>
      </w:r>
      <w:r w:rsidRPr="00536604">
        <w:t xml:space="preserve"> Re a Firm of Solicitors (1992) 1ALL ER 353</w:t>
      </w:r>
    </w:p>
    <w:p w14:paraId="49342103" w14:textId="77777777" w:rsidR="00EB17D1" w:rsidRPr="00536604" w:rsidRDefault="00EB17D1" w:rsidP="00536604">
      <w:pPr>
        <w:pStyle w:val="FootnoteText"/>
        <w:jc w:val="both"/>
      </w:pPr>
    </w:p>
  </w:footnote>
  <w:footnote w:id="12">
    <w:p w14:paraId="6FE3511F" w14:textId="77777777" w:rsidR="00C362ED" w:rsidRPr="00536604" w:rsidRDefault="00000000" w:rsidP="00536604">
      <w:pPr>
        <w:pStyle w:val="FootnoteText"/>
        <w:jc w:val="both"/>
      </w:pPr>
      <w:r w:rsidRPr="00536604">
        <w:rPr>
          <w:rStyle w:val="FootnoteReference"/>
        </w:rPr>
        <w:footnoteRef/>
      </w:r>
      <w:r w:rsidRPr="00536604">
        <w:t xml:space="preserve"> Prince Jefri Bolkiah Vs K.P.M.G.A (A Firm) (1999) ALL ER 517</w:t>
      </w:r>
    </w:p>
  </w:footnote>
  <w:footnote w:id="13">
    <w:p w14:paraId="7EABF4B7" w14:textId="77777777" w:rsidR="00C362ED" w:rsidRPr="00536604" w:rsidRDefault="00000000" w:rsidP="00536604">
      <w:pPr>
        <w:pStyle w:val="FootnoteText"/>
        <w:jc w:val="both"/>
      </w:pPr>
      <w:r w:rsidRPr="00536604">
        <w:rPr>
          <w:rStyle w:val="FootnoteReference"/>
        </w:rPr>
        <w:footnoteRef/>
      </w:r>
      <w:r w:rsidRPr="00536604">
        <w:t xml:space="preserve"> Republic v Silas Mutuma Marimi &amp; 2 others [2016] eKLR</w:t>
      </w:r>
    </w:p>
  </w:footnote>
  <w:footnote w:id="14">
    <w:p w14:paraId="25D80465" w14:textId="77777777" w:rsidR="00B34F25" w:rsidRPr="00536604" w:rsidRDefault="00000000" w:rsidP="00536604">
      <w:pPr>
        <w:pStyle w:val="FootnoteText"/>
        <w:jc w:val="both"/>
      </w:pPr>
      <w:r w:rsidRPr="00536604">
        <w:rPr>
          <w:rStyle w:val="FootnoteReference"/>
        </w:rPr>
        <w:footnoteRef/>
      </w:r>
      <w:r w:rsidRPr="00536604">
        <w:t xml:space="preserve"> Silver Chrysler Plymouth, Inc. v. Chrysler Motors Corp. (518 F.2d 751 (2d Cir. 1975)</w:t>
      </w:r>
    </w:p>
  </w:footnote>
  <w:footnote w:id="15">
    <w:p w14:paraId="6B2D7087" w14:textId="77777777" w:rsidR="00D4739C" w:rsidRDefault="00000000">
      <w:pPr>
        <w:pStyle w:val="FootnoteText"/>
      </w:pPr>
      <w:r>
        <w:rPr>
          <w:rStyle w:val="FootnoteReference"/>
        </w:rPr>
        <w:footnoteRef/>
      </w:r>
      <w:r>
        <w:t xml:space="preserve"> </w:t>
      </w:r>
      <w:r w:rsidRPr="00D4739C">
        <w:t>Sullivan, C. Randolph. "Building Chinese Walls in Virginia: Should Virginia Recognize the Chinese Wall Defense to Vicarious Disqualification." </w:t>
      </w:r>
      <w:r w:rsidRPr="00D4739C">
        <w:rPr>
          <w:i/>
          <w:iCs/>
        </w:rPr>
        <w:t>U. Rich. L. Rev.</w:t>
      </w:r>
      <w:r w:rsidRPr="00D4739C">
        <w:t> 26 (1991): 391.</w:t>
      </w:r>
    </w:p>
  </w:footnote>
  <w:footnote w:id="16">
    <w:p w14:paraId="4942E314" w14:textId="77777777" w:rsidR="00052A7E" w:rsidRDefault="00000000">
      <w:pPr>
        <w:pStyle w:val="FootnoteText"/>
      </w:pPr>
      <w:r>
        <w:rPr>
          <w:rStyle w:val="FootnoteReference"/>
        </w:rPr>
        <w:footnoteRef/>
      </w:r>
      <w:r>
        <w:t xml:space="preserve"> Ibid.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32B0E"/>
    <w:multiLevelType w:val="hybridMultilevel"/>
    <w:tmpl w:val="E0024848"/>
    <w:lvl w:ilvl="0" w:tplc="6324FC26">
      <w:start w:val="1"/>
      <w:numFmt w:val="decimal"/>
      <w:lvlText w:val="%1."/>
      <w:lvlJc w:val="left"/>
      <w:pPr>
        <w:ind w:left="720" w:hanging="360"/>
      </w:pPr>
    </w:lvl>
    <w:lvl w:ilvl="1" w:tplc="D7EE7554">
      <w:start w:val="1"/>
      <w:numFmt w:val="lowerLetter"/>
      <w:lvlText w:val="%2."/>
      <w:lvlJc w:val="left"/>
      <w:pPr>
        <w:ind w:left="1440" w:hanging="360"/>
      </w:pPr>
    </w:lvl>
    <w:lvl w:ilvl="2" w:tplc="83C48EA6">
      <w:start w:val="1"/>
      <w:numFmt w:val="lowerRoman"/>
      <w:lvlText w:val="%3."/>
      <w:lvlJc w:val="right"/>
      <w:pPr>
        <w:ind w:left="2160" w:hanging="180"/>
      </w:pPr>
    </w:lvl>
    <w:lvl w:ilvl="3" w:tplc="0E5EAB84">
      <w:start w:val="1"/>
      <w:numFmt w:val="decimal"/>
      <w:lvlText w:val="%4."/>
      <w:lvlJc w:val="left"/>
      <w:pPr>
        <w:ind w:left="2880" w:hanging="360"/>
      </w:pPr>
    </w:lvl>
    <w:lvl w:ilvl="4" w:tplc="79D4514C">
      <w:start w:val="1"/>
      <w:numFmt w:val="lowerLetter"/>
      <w:lvlText w:val="%5."/>
      <w:lvlJc w:val="left"/>
      <w:pPr>
        <w:ind w:left="3600" w:hanging="360"/>
      </w:pPr>
    </w:lvl>
    <w:lvl w:ilvl="5" w:tplc="2BB667EA">
      <w:start w:val="1"/>
      <w:numFmt w:val="lowerRoman"/>
      <w:lvlText w:val="%6."/>
      <w:lvlJc w:val="right"/>
      <w:pPr>
        <w:ind w:left="4320" w:hanging="180"/>
      </w:pPr>
    </w:lvl>
    <w:lvl w:ilvl="6" w:tplc="DE1EB35C">
      <w:start w:val="1"/>
      <w:numFmt w:val="decimal"/>
      <w:lvlText w:val="%7."/>
      <w:lvlJc w:val="left"/>
      <w:pPr>
        <w:ind w:left="5040" w:hanging="360"/>
      </w:pPr>
    </w:lvl>
    <w:lvl w:ilvl="7" w:tplc="473C272E">
      <w:start w:val="1"/>
      <w:numFmt w:val="lowerLetter"/>
      <w:lvlText w:val="%8."/>
      <w:lvlJc w:val="left"/>
      <w:pPr>
        <w:ind w:left="5760" w:hanging="360"/>
      </w:pPr>
    </w:lvl>
    <w:lvl w:ilvl="8" w:tplc="82382C72">
      <w:start w:val="1"/>
      <w:numFmt w:val="lowerRoman"/>
      <w:lvlText w:val="%9."/>
      <w:lvlJc w:val="right"/>
      <w:pPr>
        <w:ind w:left="6480" w:hanging="180"/>
      </w:pPr>
    </w:lvl>
  </w:abstractNum>
  <w:num w:numId="1" w16cid:durableId="656302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0A"/>
    <w:rsid w:val="00052A7E"/>
    <w:rsid w:val="000842C3"/>
    <w:rsid w:val="001075B2"/>
    <w:rsid w:val="0016465A"/>
    <w:rsid w:val="00285FAC"/>
    <w:rsid w:val="00373D11"/>
    <w:rsid w:val="0039249C"/>
    <w:rsid w:val="003D197C"/>
    <w:rsid w:val="0044510C"/>
    <w:rsid w:val="00481767"/>
    <w:rsid w:val="004A6092"/>
    <w:rsid w:val="00532F94"/>
    <w:rsid w:val="00536604"/>
    <w:rsid w:val="00537670"/>
    <w:rsid w:val="0054166A"/>
    <w:rsid w:val="0059365C"/>
    <w:rsid w:val="0060740A"/>
    <w:rsid w:val="00636BC8"/>
    <w:rsid w:val="00663DC2"/>
    <w:rsid w:val="00697322"/>
    <w:rsid w:val="006D32F7"/>
    <w:rsid w:val="006D3444"/>
    <w:rsid w:val="007C0BC4"/>
    <w:rsid w:val="007E0C80"/>
    <w:rsid w:val="00800B2A"/>
    <w:rsid w:val="00886267"/>
    <w:rsid w:val="00894211"/>
    <w:rsid w:val="008B7A3D"/>
    <w:rsid w:val="00A15CA8"/>
    <w:rsid w:val="00A36391"/>
    <w:rsid w:val="00A70A99"/>
    <w:rsid w:val="00AE60A1"/>
    <w:rsid w:val="00B159D9"/>
    <w:rsid w:val="00B16F91"/>
    <w:rsid w:val="00B34F25"/>
    <w:rsid w:val="00BE76B5"/>
    <w:rsid w:val="00C362ED"/>
    <w:rsid w:val="00D44E07"/>
    <w:rsid w:val="00D4739C"/>
    <w:rsid w:val="00D80125"/>
    <w:rsid w:val="00DB1B50"/>
    <w:rsid w:val="00E410B8"/>
    <w:rsid w:val="00EB17D1"/>
    <w:rsid w:val="00F30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B982"/>
  <w15:chartTrackingRefBased/>
  <w15:docId w15:val="{4AB356D5-3F18-4F00-A61B-6C0D900F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10C"/>
    <w:rPr>
      <w:rFonts w:ascii="Times New Roman" w:hAnsi="Times New Roman"/>
      <w:color w:val="000000" w:themeColor="text1"/>
      <w:sz w:val="24"/>
    </w:rPr>
  </w:style>
  <w:style w:type="paragraph" w:styleId="Heading1">
    <w:name w:val="heading 1"/>
    <w:basedOn w:val="Normal"/>
    <w:next w:val="Normal"/>
    <w:link w:val="Heading1Char"/>
    <w:uiPriority w:val="9"/>
    <w:qFormat/>
    <w:rsid w:val="004A609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A609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A6092"/>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9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A6092"/>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4A6092"/>
    <w:rPr>
      <w:rFonts w:ascii="Times New Roman" w:eastAsiaTheme="majorEastAsia" w:hAnsi="Times New Roman" w:cstheme="majorBidi"/>
      <w:b/>
      <w:color w:val="000000" w:themeColor="text1"/>
      <w:sz w:val="24"/>
      <w:szCs w:val="24"/>
    </w:rPr>
  </w:style>
  <w:style w:type="paragraph" w:styleId="FootnoteText">
    <w:name w:val="footnote text"/>
    <w:basedOn w:val="Normal"/>
    <w:link w:val="FootnoteTextChar"/>
    <w:uiPriority w:val="99"/>
    <w:semiHidden/>
    <w:unhideWhenUsed/>
    <w:rsid w:val="008B7A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7A3D"/>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8B7A3D"/>
    <w:rPr>
      <w:vertAlign w:val="superscript"/>
    </w:rPr>
  </w:style>
  <w:style w:type="character" w:styleId="Hyperlink">
    <w:name w:val="Hyperlink"/>
    <w:basedOn w:val="DefaultParagraphFont"/>
    <w:uiPriority w:val="99"/>
    <w:unhideWhenUsed/>
    <w:rsid w:val="008B7A3D"/>
    <w:rPr>
      <w:color w:val="0563C1" w:themeColor="hyperlink"/>
      <w:u w:val="single"/>
    </w:rPr>
  </w:style>
  <w:style w:type="character" w:styleId="UnresolvedMention">
    <w:name w:val="Unresolved Mention"/>
    <w:basedOn w:val="DefaultParagraphFont"/>
    <w:uiPriority w:val="99"/>
    <w:semiHidden/>
    <w:unhideWhenUsed/>
    <w:rsid w:val="008B7A3D"/>
    <w:rPr>
      <w:color w:val="605E5C"/>
      <w:shd w:val="clear" w:color="auto" w:fill="E1DFDD"/>
    </w:rPr>
  </w:style>
  <w:style w:type="paragraph" w:styleId="Header">
    <w:name w:val="header"/>
    <w:basedOn w:val="Normal"/>
    <w:link w:val="HeaderChar"/>
    <w:uiPriority w:val="99"/>
    <w:unhideWhenUsed/>
    <w:rsid w:val="003D19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97C"/>
    <w:rPr>
      <w:rFonts w:ascii="Times New Roman" w:hAnsi="Times New Roman"/>
      <w:color w:val="000000" w:themeColor="text1"/>
      <w:sz w:val="24"/>
    </w:rPr>
  </w:style>
  <w:style w:type="paragraph" w:styleId="Footer">
    <w:name w:val="footer"/>
    <w:basedOn w:val="Normal"/>
    <w:link w:val="FooterChar"/>
    <w:uiPriority w:val="99"/>
    <w:unhideWhenUsed/>
    <w:rsid w:val="003D19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97C"/>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books.google.com/books?hl=en&amp;lr=&amp;id=fehZMhL5T_EC&amp;oi=fnd&amp;pg=PP12&amp;dq=The+concept+of+Chinese+wall+was+coined+after+the+stock+market+crash+that+faced+the+United+States+in+1929.+&amp;ots=m3vf6dSjb1&amp;sig=vu2_dDHuBq77xJfPH0KibLvDx6E" TargetMode="External"/><Relationship Id="rId1" Type="http://schemas.openxmlformats.org/officeDocument/2006/relationships/hyperlink" Target="https://heinonline.org/hol-cgi-bin/get_pdf.cgi?handle=hein.journals/ecomflr5&amp;section=8&amp;casa_token=jQS6hkOak2UAAAAA:oDrJPkaAoO6KPn-UF52s4PDNZf-o4xnD8JYo2KxOGgv-32P7yBF9ExDs8FxmagIJVeq0BQBy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D3BD7-11B6-4984-8DE9-72F574D7B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Edwine Akach</dc:creator>
  <cp:lastModifiedBy>Edwine Akach</cp:lastModifiedBy>
  <cp:revision>29</cp:revision>
  <dcterms:created xsi:type="dcterms:W3CDTF">2023-03-04T13:36:00Z</dcterms:created>
  <dcterms:modified xsi:type="dcterms:W3CDTF">2023-03-05T06:47:00Z</dcterms:modified>
</cp:coreProperties>
</file>