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jc w:val="both"/>
        <w:rPr>
          <w:rFonts w:ascii="Palatino Linotype" w:cs="Palatino Linotype" w:eastAsia="Palatino Linotype" w:hAnsi="Palatino Linotype"/>
          <w:sz w:val="28"/>
          <w:szCs w:val="28"/>
          <w:u w:val="single"/>
          <w:vertAlign w:val="baseline"/>
        </w:rPr>
      </w:pPr>
      <w:r w:rsidDel="00000000" w:rsidR="00000000" w:rsidRPr="00000000">
        <w:rPr>
          <w:rFonts w:ascii="Palatino Linotype" w:cs="Palatino Linotype" w:eastAsia="Palatino Linotype" w:hAnsi="Palatino Linotype"/>
          <w:sz w:val="28"/>
          <w:szCs w:val="28"/>
          <w:u w:val="single"/>
          <w:vertAlign w:val="baseline"/>
          <w:rtl w:val="0"/>
        </w:rPr>
        <w:t xml:space="preserve">SKELETON ARGUMENTS</w:t>
      </w:r>
    </w:p>
    <w:p w:rsidR="00000000" w:rsidDel="00000000" w:rsidP="00000000" w:rsidRDefault="00000000" w:rsidRPr="00000000">
      <w:pPr>
        <w:contextualSpacing w:val="0"/>
        <w:jc w:val="both"/>
        <w:rPr>
          <w:rFonts w:ascii="Palatino Linotype" w:cs="Palatino Linotype" w:eastAsia="Palatino Linotype" w:hAnsi="Palatino Linotype"/>
          <w:sz w:val="24"/>
          <w:szCs w:val="24"/>
          <w:u w:val="single"/>
          <w:vertAlign w:val="baseline"/>
        </w:rPr>
      </w:pPr>
      <w:r w:rsidDel="00000000" w:rsidR="00000000" w:rsidRPr="00000000">
        <w:rPr>
          <w:rFonts w:ascii="Palatino Linotype" w:cs="Palatino Linotype" w:eastAsia="Palatino Linotype" w:hAnsi="Palatino Linotype"/>
          <w:sz w:val="24"/>
          <w:szCs w:val="24"/>
          <w:u w:val="single"/>
          <w:vertAlign w:val="baseline"/>
          <w:rtl w:val="0"/>
        </w:rPr>
        <w:t xml:space="preserve">INTRODUCTION</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Skeleton arguments are</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 written summaries of arguments that a party will put forward at the hearing of its case</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general rule is that for the purpose of all hearings before a judge skeleton arguments should be prepared.  The exceptions to this general rule are where the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Application does not warrant one, for example because it is likely to be short, or;</w:t>
      </w:r>
    </w:p>
    <w:p w:rsidR="00000000" w:rsidDel="00000000" w:rsidP="00000000" w:rsidRDefault="00000000" w:rsidRPr="0000000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Where the application is so urgent that preparation of a skeleton argument is impracticable; or </w:t>
      </w:r>
    </w:p>
    <w:p w:rsidR="00000000" w:rsidDel="00000000" w:rsidP="00000000" w:rsidRDefault="00000000" w:rsidRPr="0000000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Where an application is ineffective and the order is agreed by all parties.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A skeleton argument summarizes the submissions which will be made at the preliminary stage of the hearing and it cites all the authorities which will be relied on, identifying any particular passages to be relied on as well.</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Skeleton arguments give a brief synopsis of the relevant matters for the court to consider and also outline both the agreed and disagreed issues between the parties.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 skeleton argument is intended to identify both for the parties and the court those points which are, and those that are not, in issue, and the nature of the argument in relation to those points which are in issue. It is not a substitute for oral argument but a complement.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Every skeleton argument should therefore: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w:t>
        <w:tab/>
        <w:t xml:space="preserve">Identify concisely:</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 The nature of the case generally, and the background facts insofar as they are relevant to the matter before the court;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 The propositions of law relied on with references to the relevant authorities;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(c) The submissions of fact to be made with reference to the evidence;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(ii)</w:t>
        <w:tab/>
        <w:t xml:space="preserve">Be as brief as the nature of the issues allows - it should not normally exceed 20 pages of double-spaced A4 paper and in many cases it should be much shorter than this;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(iii)Be in numbered paragraphs and state the name (and contact details) of the advocate(s)     who prepared it;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(iv)</w:t>
        <w:tab/>
        <w:t xml:space="preserve">Avoid arguing the case at length.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If skillfully and carefully drafted, it can be used at the preliminary stage during oral submissions to enhance the impact of the argument. It thus allows the advocate two shots at persuading the court of his or her case.</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In drafting a skeleton argument, an advocate should bear in mind what the court should say when it gives judgment. An effective skeleton argument should provide the court with a reasoned justification for finding in your favor. Most flattering judgments incorporate half if not most of the skeleton argument.</w:t>
      </w:r>
    </w:p>
    <w:p w:rsidR="00000000" w:rsidDel="00000000" w:rsidP="00000000" w:rsidRDefault="00000000" w:rsidRPr="00000000">
      <w:pPr>
        <w:contextualSpacing w:val="0"/>
        <w:jc w:val="both"/>
        <w:rPr>
          <w:rFonts w:ascii="Palatino Linotype" w:cs="Palatino Linotype" w:eastAsia="Palatino Linotype" w:hAnsi="Palatino Linotype"/>
          <w:sz w:val="24"/>
          <w:szCs w:val="24"/>
          <w:u w:val="single"/>
          <w:vertAlign w:val="baseline"/>
        </w:rPr>
      </w:pPr>
      <w:r w:rsidDel="00000000" w:rsidR="00000000" w:rsidRPr="00000000">
        <w:rPr>
          <w:rFonts w:ascii="Palatino Linotype" w:cs="Palatino Linotype" w:eastAsia="Palatino Linotype" w:hAnsi="Palatino Linotype"/>
          <w:sz w:val="24"/>
          <w:szCs w:val="24"/>
          <w:u w:val="single"/>
          <w:vertAlign w:val="baseline"/>
          <w:rtl w:val="0"/>
        </w:rPr>
        <w:t xml:space="preserve">VALUE OF SKELETON ARGUMENTS</w:t>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Skeleton arguments help the advocate persuade the judge of the merits of their case even before they make their oral submissions. An advocate should aim to produce a carefully crafted instrument designed to inform, educate, elucidate and persuade the court both in advance of and in conjunction with your oral argument.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 well crafted skeleton argument can often have the bonus effect of persuading your opponent to offer to settle. It shows the strengths of your case from the major arguments and evidence.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It acts as a weapon for the litigant in person to get his own view across in court; it is an opportunity to say what you want and why you want it. It gives the judge a summary of the order you are seeking and gives the statutes or Acts they fall under.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Skeleton arguments give the claimant an opportunity to show how the law interacts with the evidence that the court/tribunal panel has heard or has before it.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 well crafted skeleton argument offers a guide, it defines and confines the areas of issue in a numbered list of brief points and each point referring to any documentation in the bundle on which the appellant purposes to rely.</w:t>
      </w:r>
    </w:p>
    <w:p w:rsidR="00000000" w:rsidDel="00000000" w:rsidP="00000000" w:rsidRDefault="00000000" w:rsidRPr="0000000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They are vital to give the judge the issues and they also pose the question (s) he must answer and above all it should give him the answer.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color w:val="000000"/>
          <w:sz w:val="24"/>
          <w:szCs w:val="24"/>
          <w:u w:val="single"/>
          <w:vertAlign w:val="baseline"/>
        </w:rPr>
      </w:pPr>
      <w:r w:rsidDel="00000000" w:rsidR="00000000" w:rsidRPr="00000000">
        <w:rPr>
          <w:rFonts w:ascii="Palatino Linotype" w:cs="Palatino Linotype" w:eastAsia="Palatino Linotype" w:hAnsi="Palatino Linotype"/>
          <w:color w:val="000000"/>
          <w:sz w:val="24"/>
          <w:szCs w:val="24"/>
          <w:u w:val="single"/>
          <w:vertAlign w:val="baseline"/>
          <w:rtl w:val="0"/>
        </w:rPr>
        <w:t xml:space="preserve">LEGAL BASIS FOR THE USE OF SKELETON ARGUMENTS IN KENYA</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The Civil Procedure Rules of 2010,</w:t>
      </w:r>
      <w:r w:rsidDel="00000000" w:rsidR="00000000" w:rsidRPr="00000000">
        <w:rPr>
          <w:rFonts w:ascii="Palatino Linotype" w:cs="Palatino Linotype" w:eastAsia="Palatino Linotype" w:hAnsi="Palatino Linotype"/>
          <w:b w:val="1"/>
          <w:sz w:val="24"/>
          <w:szCs w:val="24"/>
          <w:vertAlign w:val="baseline"/>
          <w:rtl w:val="0"/>
        </w:rPr>
        <w:t xml:space="preserve"> Order 11</w:t>
      </w:r>
      <w:r w:rsidDel="00000000" w:rsidR="00000000" w:rsidRPr="00000000">
        <w:rPr>
          <w:rFonts w:ascii="Palatino Linotype" w:cs="Palatino Linotype" w:eastAsia="Palatino Linotype" w:hAnsi="Palatino Linotype"/>
          <w:sz w:val="24"/>
          <w:szCs w:val="24"/>
          <w:vertAlign w:val="baseline"/>
          <w:rtl w:val="0"/>
        </w:rPr>
        <w:t xml:space="preserve"> applies to all claims other than small claims as defined under Order 3(1). </w:t>
      </w:r>
      <w:r w:rsidDel="00000000" w:rsidR="00000000" w:rsidRPr="00000000">
        <w:rPr>
          <w:rFonts w:ascii="Palatino Linotype" w:cs="Palatino Linotype" w:eastAsia="Palatino Linotype" w:hAnsi="Palatino Linotype"/>
          <w:b w:val="1"/>
          <w:sz w:val="24"/>
          <w:szCs w:val="24"/>
          <w:vertAlign w:val="baseline"/>
          <w:rtl w:val="0"/>
        </w:rPr>
        <w:t xml:space="preserve">The aim is to deal with preliminary issues well in advance so that the trial once commenced must proceed on a day to day basis without unnecessary interruptions.</w:t>
      </w:r>
      <w:r w:rsidDel="00000000" w:rsidR="00000000" w:rsidRPr="00000000">
        <w:rPr>
          <w:rFonts w:ascii="Palatino Linotype" w:cs="Palatino Linotype" w:eastAsia="Palatino Linotype" w:hAnsi="Palatino Linotype"/>
          <w:sz w:val="24"/>
          <w:szCs w:val="24"/>
          <w:vertAlign w:val="baseline"/>
          <w:rtl w:val="0"/>
        </w:rPr>
        <w:t xml:space="preserve"> Time allocation is dealt with at this stage. </w:t>
      </w:r>
    </w:p>
    <w:p w:rsidR="00000000" w:rsidDel="00000000" w:rsidP="00000000" w:rsidRDefault="00000000" w:rsidRPr="00000000">
      <w:pPr>
        <w:contextualSpacing w:val="0"/>
        <w:jc w:val="both"/>
        <w:rPr>
          <w:rFonts w:ascii="Palatino Linotype" w:cs="Palatino Linotype" w:eastAsia="Palatino Linotype" w:hAnsi="Palatino Linotype"/>
          <w:b w:val="0"/>
          <w:i w:val="0"/>
          <w:sz w:val="24"/>
          <w:szCs w:val="24"/>
          <w:u w:val="single"/>
          <w:vertAlign w:val="baseline"/>
        </w:rPr>
      </w:pPr>
      <w:r w:rsidDel="00000000" w:rsidR="00000000" w:rsidRPr="00000000">
        <w:rPr>
          <w:rFonts w:ascii="Palatino Linotype" w:cs="Palatino Linotype" w:eastAsia="Palatino Linotype" w:hAnsi="Palatino Linotype"/>
          <w:b w:val="1"/>
          <w:sz w:val="24"/>
          <w:szCs w:val="24"/>
          <w:vertAlign w:val="baseline"/>
          <w:rtl w:val="0"/>
        </w:rPr>
        <w:t xml:space="preserve">Rule 2</w:t>
      </w:r>
      <w:r w:rsidDel="00000000" w:rsidR="00000000" w:rsidRPr="00000000">
        <w:rPr>
          <w:rFonts w:ascii="Palatino Linotype" w:cs="Palatino Linotype" w:eastAsia="Palatino Linotype" w:hAnsi="Palatino Linotype"/>
          <w:sz w:val="24"/>
          <w:szCs w:val="24"/>
          <w:vertAlign w:val="baseline"/>
          <w:rtl w:val="0"/>
        </w:rPr>
        <w:t xml:space="preserve"> thereof states that, “</w:t>
      </w:r>
      <w:r w:rsidDel="00000000" w:rsidR="00000000" w:rsidRPr="00000000">
        <w:rPr>
          <w:rFonts w:ascii="Palatino Linotype" w:cs="Palatino Linotype" w:eastAsia="Palatino Linotype" w:hAnsi="Palatino Linotype"/>
          <w:i w:val="1"/>
          <w:sz w:val="24"/>
          <w:szCs w:val="24"/>
          <w:vertAlign w:val="baseline"/>
          <w:rtl w:val="0"/>
        </w:rPr>
        <w:t xml:space="preserve">after the close of pleadings parties shall within 10 days complete, file and serve the standard </w:t>
      </w:r>
      <w:r w:rsidDel="00000000" w:rsidR="00000000" w:rsidRPr="00000000">
        <w:rPr>
          <w:rFonts w:ascii="Palatino Linotype" w:cs="Palatino Linotype" w:eastAsia="Palatino Linotype" w:hAnsi="Palatino Linotype"/>
          <w:b w:val="1"/>
          <w:i w:val="1"/>
          <w:sz w:val="24"/>
          <w:szCs w:val="24"/>
          <w:vertAlign w:val="baseline"/>
          <w:rtl w:val="0"/>
        </w:rPr>
        <w:t xml:space="preserve">pre-trial questionnaire</w:t>
      </w:r>
      <w:r w:rsidDel="00000000" w:rsidR="00000000" w:rsidRPr="00000000">
        <w:rPr>
          <w:rFonts w:ascii="Palatino Linotype" w:cs="Palatino Linotype" w:eastAsia="Palatino Linotype" w:hAnsi="Palatino Linotype"/>
          <w:i w:val="1"/>
          <w:sz w:val="24"/>
          <w:szCs w:val="24"/>
          <w:vertAlign w:val="baseline"/>
          <w:rtl w:val="0"/>
        </w:rPr>
        <w:t xml:space="preserve"> provided by the rules in </w:t>
      </w:r>
      <w:r w:rsidDel="00000000" w:rsidR="00000000" w:rsidRPr="00000000">
        <w:rPr>
          <w:rFonts w:ascii="Palatino Linotype" w:cs="Palatino Linotype" w:eastAsia="Palatino Linotype" w:hAnsi="Palatino Linotype"/>
          <w:b w:val="1"/>
          <w:i w:val="1"/>
          <w:sz w:val="24"/>
          <w:szCs w:val="24"/>
          <w:vertAlign w:val="baseline"/>
          <w:rtl w:val="0"/>
        </w:rPr>
        <w:t xml:space="preserve">Appendix B</w:t>
      </w:r>
      <w:r w:rsidDel="00000000" w:rsidR="00000000" w:rsidRPr="00000000">
        <w:rPr>
          <w:rFonts w:ascii="Palatino Linotype" w:cs="Palatino Linotype" w:eastAsia="Palatino Linotype" w:hAnsi="Palatino Linotype"/>
          <w:i w:val="1"/>
          <w:sz w:val="24"/>
          <w:szCs w:val="24"/>
          <w:vertAlign w:val="baseline"/>
          <w:rtl w:val="0"/>
        </w:rPr>
        <w:t xml:space="preserve">.”</w:t>
      </w:r>
      <w:r w:rsidDel="00000000" w:rsidR="00000000" w:rsidRPr="00000000">
        <w:rPr>
          <w:rFonts w:ascii="Palatino Linotype" w:cs="Palatino Linotype" w:eastAsia="Palatino Linotype" w:hAnsi="Palatino Linotype"/>
          <w:sz w:val="24"/>
          <w:szCs w:val="24"/>
          <w:vertAlign w:val="baseline"/>
          <w:rtl w:val="0"/>
        </w:rPr>
        <w:t xml:space="preserve"> </w:t>
      </w:r>
      <w:r w:rsidDel="00000000" w:rsidR="00000000" w:rsidRPr="00000000">
        <w:rPr>
          <w:rFonts w:ascii="Palatino Linotype" w:cs="Palatino Linotype" w:eastAsia="Palatino Linotype" w:hAnsi="Palatino Linotype"/>
          <w:b w:val="1"/>
          <w:i w:val="1"/>
          <w:sz w:val="24"/>
          <w:szCs w:val="24"/>
          <w:u w:val="single"/>
          <w:vertAlign w:val="baseline"/>
          <w:rtl w:val="0"/>
        </w:rPr>
        <w:t xml:space="preserve">Question 20 thereof  pronounces the existence of an obligation to file and serve any skeleton argument to be used in a particular case produced in court 3days before the hearing date.</w:t>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The Chief Justice is empowered to come up with practice directions to further expeditious disposal of cases, resourceful determination of those cases and provision of cost effective services.</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Practice notes or directions are defined as general directions or guidance notes issued by the Chief Justice to assist courts and judicial staff in dealing with some of the day to day difficulties that may arise in civil and criminal matters. These matters are usually procedural in nature and are not governed by the law, but are adopted and adhered to as a matter of practice by the courts. </w:t>
      </w:r>
      <w:r w:rsidDel="00000000" w:rsidR="00000000" w:rsidRPr="00000000">
        <w:rPr>
          <w:rFonts w:ascii="Palatino Linotype" w:cs="Palatino Linotype" w:eastAsia="Palatino Linotype" w:hAnsi="Palatino Linotype"/>
          <w:b w:val="1"/>
          <w:sz w:val="24"/>
          <w:szCs w:val="24"/>
          <w:vertAlign w:val="baseline"/>
          <w:rtl w:val="0"/>
        </w:rPr>
        <w:t xml:space="preserve">Section 81 (3) of the Civil Procedure Act</w:t>
      </w:r>
      <w:r w:rsidDel="00000000" w:rsidR="00000000" w:rsidRPr="00000000">
        <w:rPr>
          <w:rFonts w:ascii="Palatino Linotype" w:cs="Palatino Linotype" w:eastAsia="Palatino Linotype" w:hAnsi="Palatino Linotype"/>
          <w:b w:val="1"/>
          <w:sz w:val="24"/>
          <w:szCs w:val="24"/>
          <w:vertAlign w:val="superscript"/>
        </w:rPr>
        <w:footnoteReference w:customMarkFollows="0" w:id="1"/>
      </w:r>
      <w:r w:rsidDel="00000000" w:rsidR="00000000" w:rsidRPr="00000000">
        <w:rPr>
          <w:rFonts w:ascii="Palatino Linotype" w:cs="Palatino Linotype" w:eastAsia="Palatino Linotype" w:hAnsi="Palatino Linotype"/>
          <w:sz w:val="24"/>
          <w:szCs w:val="24"/>
          <w:vertAlign w:val="baseline"/>
          <w:rtl w:val="0"/>
        </w:rPr>
        <w:t xml:space="preserve"> empowers the Chief Justice, in consultation with the Rules Committee, to issue practice notes or directions to resolve procedural difficulties arising under the Act in order to facilitate the attainment of the overriding objective of the Act</w:t>
      </w:r>
      <w:r w:rsidDel="00000000" w:rsidR="00000000" w:rsidRPr="00000000">
        <w:rPr>
          <w:rFonts w:ascii="Palatino Linotype" w:cs="Palatino Linotype" w:eastAsia="Palatino Linotype" w:hAnsi="Palatino Linotype"/>
          <w:sz w:val="24"/>
          <w:szCs w:val="24"/>
          <w:vertAlign w:val="superscript"/>
        </w:rPr>
        <w:footnoteReference w:customMarkFollows="0" w:id="2"/>
      </w:r>
      <w:r w:rsidDel="00000000" w:rsidR="00000000" w:rsidRPr="00000000">
        <w:rPr>
          <w:rFonts w:ascii="Palatino Linotype" w:cs="Palatino Linotype" w:eastAsia="Palatino Linotype" w:hAnsi="Palatino Linotype"/>
          <w:sz w:val="24"/>
          <w:szCs w:val="24"/>
          <w:vertAlign w:val="baseline"/>
          <w:rtl w:val="0"/>
        </w:rPr>
        <w:t xml:space="preserve">.</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In this regard are </w:t>
      </w:r>
      <w:r w:rsidDel="00000000" w:rsidR="00000000" w:rsidRPr="00000000">
        <w:rPr>
          <w:rFonts w:ascii="Palatino Linotype" w:cs="Palatino Linotype" w:eastAsia="Palatino Linotype" w:hAnsi="Palatino Linotype"/>
          <w:b w:val="1"/>
          <w:sz w:val="24"/>
          <w:szCs w:val="24"/>
          <w:vertAlign w:val="baseline"/>
          <w:rtl w:val="0"/>
        </w:rPr>
        <w:t xml:space="preserve">Practice Notes 2008 on ‘Expeditious Disposal of Cases</w:t>
      </w:r>
      <w:r w:rsidDel="00000000" w:rsidR="00000000" w:rsidRPr="00000000">
        <w:rPr>
          <w:rFonts w:ascii="Palatino Linotype" w:cs="Palatino Linotype" w:eastAsia="Palatino Linotype" w:hAnsi="Palatino Linotype"/>
          <w:b w:val="1"/>
          <w:sz w:val="24"/>
          <w:szCs w:val="24"/>
          <w:vertAlign w:val="superscript"/>
        </w:rPr>
        <w:footnoteReference w:customMarkFollows="0" w:id="3"/>
      </w:r>
      <w:r w:rsidDel="00000000" w:rsidR="00000000" w:rsidRPr="00000000">
        <w:rPr>
          <w:rFonts w:ascii="Palatino Linotype" w:cs="Palatino Linotype" w:eastAsia="Palatino Linotype" w:hAnsi="Palatino Linotype"/>
          <w:b w:val="1"/>
          <w:sz w:val="24"/>
          <w:szCs w:val="24"/>
          <w:vertAlign w:val="baseline"/>
          <w:rtl w:val="0"/>
        </w:rPr>
        <w:t xml:space="preserve">’ </w:t>
      </w:r>
      <w:r w:rsidDel="00000000" w:rsidR="00000000" w:rsidRPr="00000000">
        <w:rPr>
          <w:rFonts w:ascii="Palatino Linotype" w:cs="Palatino Linotype" w:eastAsia="Palatino Linotype" w:hAnsi="Palatino Linotype"/>
          <w:sz w:val="24"/>
          <w:szCs w:val="24"/>
          <w:vertAlign w:val="baseline"/>
          <w:rtl w:val="0"/>
        </w:rPr>
        <w:t xml:space="preserve">by former Chief Justice Gicheru. At note 2 it is stated that, </w:t>
      </w:r>
    </w:p>
    <w:p w:rsidR="00000000" w:rsidDel="00000000" w:rsidP="00000000" w:rsidRDefault="00000000" w:rsidRPr="00000000">
      <w:pPr>
        <w:ind w:firstLine="720"/>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“All courts are encouraged to require that lists of authorities(documents) sought to be relied upon by a party be </w:t>
      </w:r>
      <w:r w:rsidDel="00000000" w:rsidR="00000000" w:rsidRPr="00000000">
        <w:rPr>
          <w:rFonts w:ascii="Palatino Linotype" w:cs="Palatino Linotype" w:eastAsia="Palatino Linotype" w:hAnsi="Palatino Linotype"/>
          <w:b w:val="1"/>
          <w:sz w:val="24"/>
          <w:szCs w:val="24"/>
          <w:vertAlign w:val="baseline"/>
          <w:rtl w:val="0"/>
        </w:rPr>
        <w:t xml:space="preserve">filed</w:t>
      </w:r>
      <w:r w:rsidDel="00000000" w:rsidR="00000000" w:rsidRPr="00000000">
        <w:rPr>
          <w:rFonts w:ascii="Palatino Linotype" w:cs="Palatino Linotype" w:eastAsia="Palatino Linotype" w:hAnsi="Palatino Linotype"/>
          <w:sz w:val="24"/>
          <w:szCs w:val="24"/>
          <w:vertAlign w:val="baseline"/>
          <w:rtl w:val="0"/>
        </w:rPr>
        <w:t xml:space="preserve"> and </w:t>
      </w:r>
      <w:r w:rsidDel="00000000" w:rsidR="00000000" w:rsidRPr="00000000">
        <w:rPr>
          <w:rFonts w:ascii="Palatino Linotype" w:cs="Palatino Linotype" w:eastAsia="Palatino Linotype" w:hAnsi="Palatino Linotype"/>
          <w:b w:val="1"/>
          <w:sz w:val="24"/>
          <w:szCs w:val="24"/>
          <w:vertAlign w:val="baseline"/>
          <w:rtl w:val="0"/>
        </w:rPr>
        <w:t xml:space="preserve">served three clear days</w:t>
      </w:r>
      <w:r w:rsidDel="00000000" w:rsidR="00000000" w:rsidRPr="00000000">
        <w:rPr>
          <w:rFonts w:ascii="Palatino Linotype" w:cs="Palatino Linotype" w:eastAsia="Palatino Linotype" w:hAnsi="Palatino Linotype"/>
          <w:sz w:val="24"/>
          <w:szCs w:val="24"/>
          <w:vertAlign w:val="baseline"/>
          <w:rtl w:val="0"/>
        </w:rPr>
        <w:t xml:space="preserve"> before the hearing and that the same be paginated and highlighted as necessary.”</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This note as read together with Order 11 rule 2 and with reference to pre-trial questionnaires in Appendix B of the Civil Procedure Rules of 2010, presupposes that indeed it is necessary to incorporate the use of skeleton arguments to meet the overriding objectives of the civil procedure rules. The highlighted words above were adopted in drafting Order 11 rule 2 with reference to Appendix B.  </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In the realm of Criminal Law where skeleton arguments are needed at directions hearing, this ensures that accused persons or suspects are not left in a state of uncertainty as to whether indeed a case against them is to proceed or not. This is in the spirit of the Constitution in Articles 49 and 50 that protect the rights and freedom of an accused person.</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Notably, section 45 (3) of the Constitution of Kenya Review Act</w:t>
      </w:r>
      <w:r w:rsidDel="00000000" w:rsidR="00000000" w:rsidRPr="00000000">
        <w:rPr>
          <w:rFonts w:ascii="Palatino Linotype" w:cs="Palatino Linotype" w:eastAsia="Palatino Linotype" w:hAnsi="Palatino Linotype"/>
          <w:sz w:val="24"/>
          <w:szCs w:val="24"/>
          <w:vertAlign w:val="superscript"/>
        </w:rPr>
        <w:footnoteReference w:customMarkFollows="0" w:id="4"/>
      </w:r>
      <w:r w:rsidDel="00000000" w:rsidR="00000000" w:rsidRPr="00000000">
        <w:rPr>
          <w:rFonts w:ascii="Palatino Linotype" w:cs="Palatino Linotype" w:eastAsia="Palatino Linotype" w:hAnsi="Palatino Linotype"/>
          <w:sz w:val="24"/>
          <w:szCs w:val="24"/>
          <w:vertAlign w:val="baseline"/>
          <w:rtl w:val="0"/>
        </w:rPr>
        <w:t xml:space="preserve"> allows the Interim Independent Constitutional Dispute Resolution Court to regulate its own procedure. Thus, the court formulated rules and gave directions towards the prompt dispensation of cases. In this regard, this court through </w:t>
      </w:r>
      <w:r w:rsidDel="00000000" w:rsidR="00000000" w:rsidRPr="00000000">
        <w:rPr>
          <w:rFonts w:ascii="Palatino Linotype" w:cs="Palatino Linotype" w:eastAsia="Palatino Linotype" w:hAnsi="Palatino Linotype"/>
          <w:b w:val="1"/>
          <w:sz w:val="24"/>
          <w:szCs w:val="24"/>
          <w:vertAlign w:val="baseline"/>
          <w:rtl w:val="0"/>
        </w:rPr>
        <w:t xml:space="preserve">Legal Notice number 52, ‘Interim Independent Practice Rules’ of 2010 at Part VI </w:t>
      </w:r>
      <w:r w:rsidDel="00000000" w:rsidR="00000000" w:rsidRPr="00000000">
        <w:rPr>
          <w:rFonts w:ascii="Palatino Linotype" w:cs="Palatino Linotype" w:eastAsia="Palatino Linotype" w:hAnsi="Palatino Linotype"/>
          <w:sz w:val="24"/>
          <w:szCs w:val="24"/>
          <w:vertAlign w:val="baseline"/>
          <w:rtl w:val="0"/>
        </w:rPr>
        <w:t xml:space="preserve">on </w:t>
      </w:r>
      <w:r w:rsidDel="00000000" w:rsidR="00000000" w:rsidRPr="00000000">
        <w:rPr>
          <w:rFonts w:ascii="Palatino Linotype" w:cs="Palatino Linotype" w:eastAsia="Palatino Linotype" w:hAnsi="Palatino Linotype"/>
          <w:b w:val="1"/>
          <w:sz w:val="24"/>
          <w:szCs w:val="24"/>
          <w:vertAlign w:val="baseline"/>
          <w:rtl w:val="0"/>
        </w:rPr>
        <w:t xml:space="preserve">case management</w:t>
      </w:r>
      <w:r w:rsidDel="00000000" w:rsidR="00000000" w:rsidRPr="00000000">
        <w:rPr>
          <w:rFonts w:ascii="Palatino Linotype" w:cs="Palatino Linotype" w:eastAsia="Palatino Linotype" w:hAnsi="Palatino Linotype"/>
          <w:sz w:val="24"/>
          <w:szCs w:val="24"/>
          <w:vertAlign w:val="baseline"/>
          <w:rtl w:val="0"/>
        </w:rPr>
        <w:t xml:space="preserve"> requires the use of skeleton arguments. </w:t>
      </w:r>
    </w:p>
    <w:p w:rsidR="00000000" w:rsidDel="00000000" w:rsidP="00000000" w:rsidRDefault="00000000" w:rsidRPr="00000000">
      <w:pPr>
        <w:contextualSpacing w:val="0"/>
        <w:jc w:val="both"/>
        <w:rPr>
          <w:rFonts w:ascii="Palatino Linotype" w:cs="Palatino Linotype" w:eastAsia="Palatino Linotype" w:hAnsi="Palatino Linotype"/>
          <w:b w:val="0"/>
          <w:sz w:val="24"/>
          <w:szCs w:val="24"/>
          <w:vertAlign w:val="baseline"/>
        </w:rPr>
      </w:pPr>
      <w:r w:rsidDel="00000000" w:rsidR="00000000" w:rsidRPr="00000000">
        <w:rPr>
          <w:rFonts w:ascii="Palatino Linotype" w:cs="Palatino Linotype" w:eastAsia="Palatino Linotype" w:hAnsi="Palatino Linotype"/>
          <w:b w:val="1"/>
          <w:i w:val="1"/>
          <w:sz w:val="24"/>
          <w:szCs w:val="24"/>
          <w:vertAlign w:val="baseline"/>
          <w:rtl w:val="0"/>
        </w:rPr>
        <w:t xml:space="preserve">Rule 26</w:t>
      </w:r>
      <w:r w:rsidDel="00000000" w:rsidR="00000000" w:rsidRPr="00000000">
        <w:rPr>
          <w:rFonts w:ascii="Palatino Linotype" w:cs="Palatino Linotype" w:eastAsia="Palatino Linotype" w:hAnsi="Palatino Linotype"/>
          <w:i w:val="1"/>
          <w:sz w:val="24"/>
          <w:szCs w:val="24"/>
          <w:vertAlign w:val="baseline"/>
          <w:rtl w:val="0"/>
        </w:rPr>
        <w:t xml:space="preserve"> thereof on </w:t>
      </w:r>
      <w:r w:rsidDel="00000000" w:rsidR="00000000" w:rsidRPr="00000000">
        <w:rPr>
          <w:rFonts w:ascii="Palatino Linotype" w:cs="Palatino Linotype" w:eastAsia="Palatino Linotype" w:hAnsi="Palatino Linotype"/>
          <w:b w:val="1"/>
          <w:i w:val="1"/>
          <w:sz w:val="24"/>
          <w:szCs w:val="24"/>
          <w:vertAlign w:val="baseline"/>
          <w:rtl w:val="0"/>
        </w:rPr>
        <w:t xml:space="preserve">status conference and directions</w:t>
      </w:r>
      <w:r w:rsidDel="00000000" w:rsidR="00000000" w:rsidRPr="00000000">
        <w:rPr>
          <w:rFonts w:ascii="Palatino Linotype" w:cs="Palatino Linotype" w:eastAsia="Palatino Linotype" w:hAnsi="Palatino Linotype"/>
          <w:i w:val="1"/>
          <w:sz w:val="24"/>
          <w:szCs w:val="24"/>
          <w:vertAlign w:val="baseline"/>
          <w:rtl w:val="0"/>
        </w:rPr>
        <w:t xml:space="preserve"> at </w:t>
      </w:r>
      <w:r w:rsidDel="00000000" w:rsidR="00000000" w:rsidRPr="00000000">
        <w:rPr>
          <w:rFonts w:ascii="Palatino Linotype" w:cs="Palatino Linotype" w:eastAsia="Palatino Linotype" w:hAnsi="Palatino Linotype"/>
          <w:b w:val="1"/>
          <w:i w:val="1"/>
          <w:sz w:val="24"/>
          <w:szCs w:val="24"/>
          <w:vertAlign w:val="baseline"/>
          <w:rtl w:val="0"/>
        </w:rPr>
        <w:t xml:space="preserve">sub-rule (2)</w:t>
      </w:r>
      <w:r w:rsidDel="00000000" w:rsidR="00000000" w:rsidRPr="00000000">
        <w:rPr>
          <w:rFonts w:ascii="Palatino Linotype" w:cs="Palatino Linotype" w:eastAsia="Palatino Linotype" w:hAnsi="Palatino Linotype"/>
          <w:i w:val="1"/>
          <w:sz w:val="24"/>
          <w:szCs w:val="24"/>
          <w:vertAlign w:val="baseline"/>
          <w:rtl w:val="0"/>
        </w:rPr>
        <w:t xml:space="preserve"> states that the court may, at status conference give directions-(c) for the </w:t>
      </w:r>
      <w:r w:rsidDel="00000000" w:rsidR="00000000" w:rsidRPr="00000000">
        <w:rPr>
          <w:rFonts w:ascii="Palatino Linotype" w:cs="Palatino Linotype" w:eastAsia="Palatino Linotype" w:hAnsi="Palatino Linotype"/>
          <w:b w:val="1"/>
          <w:i w:val="1"/>
          <w:sz w:val="24"/>
          <w:szCs w:val="24"/>
          <w:vertAlign w:val="baseline"/>
          <w:rtl w:val="0"/>
        </w:rPr>
        <w:t xml:space="preserve">preparation</w:t>
      </w:r>
      <w:r w:rsidDel="00000000" w:rsidR="00000000" w:rsidRPr="00000000">
        <w:rPr>
          <w:rFonts w:ascii="Palatino Linotype" w:cs="Palatino Linotype" w:eastAsia="Palatino Linotype" w:hAnsi="Palatino Linotype"/>
          <w:i w:val="1"/>
          <w:sz w:val="24"/>
          <w:szCs w:val="24"/>
          <w:vertAlign w:val="baseline"/>
          <w:rtl w:val="0"/>
        </w:rPr>
        <w:t xml:space="preserve"> and </w:t>
      </w:r>
      <w:r w:rsidDel="00000000" w:rsidR="00000000" w:rsidRPr="00000000">
        <w:rPr>
          <w:rFonts w:ascii="Palatino Linotype" w:cs="Palatino Linotype" w:eastAsia="Palatino Linotype" w:hAnsi="Palatino Linotype"/>
          <w:b w:val="1"/>
          <w:i w:val="1"/>
          <w:sz w:val="24"/>
          <w:szCs w:val="24"/>
          <w:vertAlign w:val="baseline"/>
          <w:rtl w:val="0"/>
        </w:rPr>
        <w:t xml:space="preserve">exchange</w:t>
      </w:r>
      <w:r w:rsidDel="00000000" w:rsidR="00000000" w:rsidRPr="00000000">
        <w:rPr>
          <w:rFonts w:ascii="Palatino Linotype" w:cs="Palatino Linotype" w:eastAsia="Palatino Linotype" w:hAnsi="Palatino Linotype"/>
          <w:i w:val="1"/>
          <w:sz w:val="24"/>
          <w:szCs w:val="24"/>
          <w:vertAlign w:val="baseline"/>
          <w:rtl w:val="0"/>
        </w:rPr>
        <w:t xml:space="preserve"> of </w:t>
      </w:r>
      <w:r w:rsidDel="00000000" w:rsidR="00000000" w:rsidRPr="00000000">
        <w:rPr>
          <w:rFonts w:ascii="Palatino Linotype" w:cs="Palatino Linotype" w:eastAsia="Palatino Linotype" w:hAnsi="Palatino Linotype"/>
          <w:b w:val="1"/>
          <w:i w:val="1"/>
          <w:sz w:val="24"/>
          <w:szCs w:val="24"/>
          <w:vertAlign w:val="baseline"/>
          <w:rtl w:val="0"/>
        </w:rPr>
        <w:t xml:space="preserve">skeleton arguments.</w:t>
      </w:r>
      <w:r w:rsidDel="00000000" w:rsidR="00000000" w:rsidRPr="00000000">
        <w:rPr>
          <w:rFonts w:ascii="Palatino Linotype" w:cs="Palatino Linotype" w:eastAsia="Palatino Linotype" w:hAnsi="Palatino Linotype"/>
          <w:b w:val="1"/>
          <w:sz w:val="24"/>
          <w:szCs w:val="24"/>
          <w:vertAlign w:val="baseline"/>
          <w:rtl w:val="0"/>
        </w:rPr>
        <w:t xml:space="preserve">(</w:t>
      </w:r>
      <w:r w:rsidDel="00000000" w:rsidR="00000000" w:rsidRPr="00000000">
        <w:rPr>
          <w:rFonts w:ascii="Palatino Linotype" w:cs="Palatino Linotype" w:eastAsia="Palatino Linotype" w:hAnsi="Palatino Linotype"/>
          <w:sz w:val="24"/>
          <w:szCs w:val="24"/>
          <w:vertAlign w:val="baseline"/>
          <w:rtl w:val="0"/>
        </w:rPr>
        <w:t xml:space="preserve">The Act Stands repealed</w:t>
      </w:r>
      <w:r w:rsidDel="00000000" w:rsidR="00000000" w:rsidRPr="00000000">
        <w:rPr>
          <w:rFonts w:ascii="Palatino Linotype" w:cs="Palatino Linotype" w:eastAsia="Palatino Linotype" w:hAnsi="Palatino Linotype"/>
          <w:b w:val="1"/>
          <w:sz w:val="24"/>
          <w:szCs w:val="24"/>
          <w:vertAlign w:val="baseline"/>
          <w:rtl w:val="0"/>
        </w:rPr>
        <w:t xml:space="preserve">)</w:t>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Thus, by necessary implication, these practice notes of 2008 and practice rules of 2010 as aforementioned, having preceded the 2010 Civil Procedure Rules, and informed the drafting of Order 11 rule 2 thereof, create the legal foundation for the requirement of using skeleton arguments.</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It is noteworthy that in exercise of the powers conferred by Article 22(3) as read with Article 23, Article165 (3) (b) and Article 258 of the Constitution of Kenya, the Chief Justice made </w:t>
      </w:r>
      <w:r w:rsidDel="00000000" w:rsidR="00000000" w:rsidRPr="00000000">
        <w:rPr>
          <w:rFonts w:ascii="Palatino Linotype" w:cs="Palatino Linotype" w:eastAsia="Palatino Linotype" w:hAnsi="Palatino Linotype"/>
          <w:b w:val="1"/>
          <w:sz w:val="24"/>
          <w:szCs w:val="24"/>
          <w:vertAlign w:val="baseline"/>
          <w:rtl w:val="0"/>
        </w:rPr>
        <w:t xml:space="preserve">The Constitution of Kenya (Protection of Rights and Fundamental Freedoms and Enforcement of the Constitution) Practice and Procedure Rules, 2012.</w:t>
      </w:r>
      <w:r w:rsidDel="00000000" w:rsidR="00000000" w:rsidRPr="00000000">
        <w:rPr>
          <w:rFonts w:ascii="Palatino Linotype" w:cs="Palatino Linotype" w:eastAsia="Palatino Linotype" w:hAnsi="Palatino Linotype"/>
          <w:sz w:val="24"/>
          <w:szCs w:val="24"/>
          <w:vertAlign w:val="baseline"/>
          <w:rtl w:val="0"/>
        </w:rPr>
        <w:t xml:space="preserve"> At rule 19 on written submissions, the essentials elements that make a skeleton argument are enunciated. It states as follows:</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bookmarkStart w:colFirst="0" w:colLast="0" w:name="_gjdgxs" w:id="0"/>
      <w:bookmarkEnd w:id="0"/>
      <w:r w:rsidDel="00000000" w:rsidR="00000000" w:rsidRPr="00000000">
        <w:rPr>
          <w:rFonts w:ascii="Palatino Linotype" w:cs="Palatino Linotype" w:eastAsia="Palatino Linotype" w:hAnsi="Palatino Linotype"/>
          <w:sz w:val="24"/>
          <w:szCs w:val="24"/>
          <w:vertAlign w:val="baseline"/>
          <w:rtl w:val="0"/>
        </w:rPr>
        <w:t xml:space="preserve">19. The written submissions shall contain the following-</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(a) A </w:t>
      </w:r>
      <w:r w:rsidDel="00000000" w:rsidR="00000000" w:rsidRPr="00000000">
        <w:rPr>
          <w:rFonts w:ascii="Palatino Linotype" w:cs="Palatino Linotype" w:eastAsia="Palatino Linotype" w:hAnsi="Palatino Linotype"/>
          <w:b w:val="1"/>
          <w:sz w:val="24"/>
          <w:szCs w:val="24"/>
          <w:vertAlign w:val="baseline"/>
          <w:rtl w:val="0"/>
        </w:rPr>
        <w:t xml:space="preserve">brief statement of facts</w:t>
      </w:r>
      <w:r w:rsidDel="00000000" w:rsidR="00000000" w:rsidRPr="00000000">
        <w:rPr>
          <w:rFonts w:ascii="Palatino Linotype" w:cs="Palatino Linotype" w:eastAsia="Palatino Linotype" w:hAnsi="Palatino Linotype"/>
          <w:sz w:val="24"/>
          <w:szCs w:val="24"/>
          <w:vertAlign w:val="baseline"/>
          <w:rtl w:val="0"/>
        </w:rPr>
        <w:t xml:space="preserve"> with reference to exhibits, if any, attached to the petition.</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(b)</w:t>
      </w:r>
      <w:r w:rsidDel="00000000" w:rsidR="00000000" w:rsidRPr="00000000">
        <w:rPr>
          <w:rFonts w:ascii="Palatino Linotype" w:cs="Palatino Linotype" w:eastAsia="Palatino Linotype" w:hAnsi="Palatino Linotype"/>
          <w:b w:val="1"/>
          <w:sz w:val="24"/>
          <w:szCs w:val="24"/>
          <w:vertAlign w:val="baseline"/>
          <w:rtl w:val="0"/>
        </w:rPr>
        <w:t xml:space="preserve"> Issues</w:t>
      </w:r>
      <w:r w:rsidDel="00000000" w:rsidR="00000000" w:rsidRPr="00000000">
        <w:rPr>
          <w:rFonts w:ascii="Palatino Linotype" w:cs="Palatino Linotype" w:eastAsia="Palatino Linotype" w:hAnsi="Palatino Linotype"/>
          <w:sz w:val="24"/>
          <w:szCs w:val="24"/>
          <w:vertAlign w:val="baseline"/>
          <w:rtl w:val="0"/>
        </w:rPr>
        <w:t xml:space="preserve"> arising for determination.</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(c) </w:t>
      </w:r>
      <w:r w:rsidDel="00000000" w:rsidR="00000000" w:rsidRPr="00000000">
        <w:rPr>
          <w:rFonts w:ascii="Palatino Linotype" w:cs="Palatino Linotype" w:eastAsia="Palatino Linotype" w:hAnsi="Palatino Linotype"/>
          <w:b w:val="1"/>
          <w:sz w:val="24"/>
          <w:szCs w:val="24"/>
          <w:vertAlign w:val="baseline"/>
          <w:rtl w:val="0"/>
        </w:rPr>
        <w:t xml:space="preserve">Copies of the authorities</w:t>
      </w:r>
      <w:r w:rsidDel="00000000" w:rsidR="00000000" w:rsidRPr="00000000">
        <w:rPr>
          <w:rFonts w:ascii="Palatino Linotype" w:cs="Palatino Linotype" w:eastAsia="Palatino Linotype" w:hAnsi="Palatino Linotype"/>
          <w:sz w:val="24"/>
          <w:szCs w:val="24"/>
          <w:vertAlign w:val="baseline"/>
          <w:rtl w:val="0"/>
        </w:rPr>
        <w:t xml:space="preserve"> shall be </w:t>
      </w:r>
      <w:r w:rsidDel="00000000" w:rsidR="00000000" w:rsidRPr="00000000">
        <w:rPr>
          <w:rFonts w:ascii="Palatino Linotype" w:cs="Palatino Linotype" w:eastAsia="Palatino Linotype" w:hAnsi="Palatino Linotype"/>
          <w:b w:val="1"/>
          <w:sz w:val="24"/>
          <w:szCs w:val="24"/>
          <w:vertAlign w:val="baseline"/>
          <w:rtl w:val="0"/>
        </w:rPr>
        <w:t xml:space="preserve">attached</w:t>
      </w:r>
      <w:r w:rsidDel="00000000" w:rsidR="00000000" w:rsidRPr="00000000">
        <w:rPr>
          <w:rFonts w:ascii="Palatino Linotype" w:cs="Palatino Linotype" w:eastAsia="Palatino Linotype" w:hAnsi="Palatino Linotype"/>
          <w:sz w:val="24"/>
          <w:szCs w:val="24"/>
          <w:vertAlign w:val="baseline"/>
          <w:rtl w:val="0"/>
        </w:rPr>
        <w:t xml:space="preserve"> to the written submissions.</w:t>
      </w:r>
    </w:p>
    <w:p w:rsidR="00000000" w:rsidDel="00000000" w:rsidP="00000000" w:rsidRDefault="00000000" w:rsidRPr="00000000">
      <w:pPr>
        <w:contextualSpacing w:val="0"/>
        <w:jc w:val="both"/>
        <w:rPr>
          <w:rFonts w:ascii="Palatino Linotype" w:cs="Palatino Linotype" w:eastAsia="Palatino Linotype" w:hAnsi="Palatino Linotype"/>
          <w:color w:val="000000"/>
          <w:sz w:val="24"/>
          <w:szCs w:val="24"/>
          <w:u w:val="single"/>
          <w:vertAlign w:val="baseline"/>
        </w:rPr>
      </w:pPr>
      <w:r w:rsidDel="00000000" w:rsidR="00000000" w:rsidRPr="00000000">
        <w:br w:type="page"/>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singl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single"/>
          <w:shd w:fill="auto" w:val="clear"/>
          <w:vertAlign w:val="baseline"/>
          <w:rtl w:val="0"/>
        </w:rPr>
        <w:t xml:space="preserve">STRUCTURE AND CONTENT OF SKELETON ARGUMENTS</w:t>
      </w:r>
    </w:p>
    <w:p w:rsidR="00000000" w:rsidDel="00000000" w:rsidP="00000000" w:rsidRDefault="00000000" w:rsidRPr="0000000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single"/>
          <w:shd w:fill="auto" w:val="clear"/>
        </w:rPr>
      </w:pPr>
      <w:r w:rsidDel="00000000" w:rsidR="00000000" w:rsidRPr="00000000">
        <w:rPr>
          <w:rFonts w:ascii="Palatino Linotype" w:cs="Palatino Linotype" w:eastAsia="Palatino Linotype" w:hAnsi="Palatino Linotype"/>
          <w:b w:val="1"/>
          <w:i w:val="0"/>
          <w:smallCaps w:val="0"/>
          <w:strike w:val="0"/>
          <w:color w:val="000000"/>
          <w:sz w:val="24"/>
          <w:szCs w:val="24"/>
          <w:u w:val="single"/>
          <w:shd w:fill="auto" w:val="clear"/>
          <w:vertAlign w:val="baseline"/>
          <w:rtl w:val="0"/>
        </w:rPr>
        <w:t xml:space="preserve">HEADING</w:t>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The title should contain the full title, the record the no of the case and the names of all parties in the matter. It must state on whose behalf the skeleton arguments are made. E.g. SKELETON ARGUMENTS ON BEHALF OF THE PLAINTIFF/DEFENDANT/APPLICANT/ RESPONDENT</w:t>
      </w:r>
    </w:p>
    <w:p w:rsidR="00000000" w:rsidDel="00000000" w:rsidP="00000000" w:rsidRDefault="00000000" w:rsidRPr="0000000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single"/>
          <w:shd w:fill="auto" w:val="clear"/>
        </w:rPr>
      </w:pPr>
      <w:r w:rsidDel="00000000" w:rsidR="00000000" w:rsidRPr="00000000">
        <w:rPr>
          <w:rFonts w:ascii="Palatino Linotype" w:cs="Palatino Linotype" w:eastAsia="Palatino Linotype" w:hAnsi="Palatino Linotype"/>
          <w:b w:val="1"/>
          <w:i w:val="0"/>
          <w:smallCaps w:val="0"/>
          <w:strike w:val="0"/>
          <w:color w:val="000000"/>
          <w:sz w:val="24"/>
          <w:szCs w:val="24"/>
          <w:u w:val="single"/>
          <w:shd w:fill="auto" w:val="clear"/>
          <w:vertAlign w:val="baseline"/>
          <w:rtl w:val="0"/>
        </w:rPr>
        <w:t xml:space="preserve">INTRODUCTION</w:t>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This is a brief overview of your position. It tells the judge what you want, why you want it and why he should give it to you.</w:t>
      </w:r>
    </w:p>
    <w:p w:rsidR="00000000" w:rsidDel="00000000" w:rsidP="00000000" w:rsidRDefault="00000000" w:rsidRPr="0000000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single"/>
          <w:shd w:fill="auto" w:val="clear"/>
        </w:rPr>
      </w:pPr>
      <w:r w:rsidDel="00000000" w:rsidR="00000000" w:rsidRPr="00000000">
        <w:rPr>
          <w:rFonts w:ascii="Palatino Linotype" w:cs="Palatino Linotype" w:eastAsia="Palatino Linotype" w:hAnsi="Palatino Linotype"/>
          <w:b w:val="1"/>
          <w:i w:val="0"/>
          <w:smallCaps w:val="0"/>
          <w:strike w:val="0"/>
          <w:color w:val="000000"/>
          <w:sz w:val="24"/>
          <w:szCs w:val="24"/>
          <w:u w:val="single"/>
          <w:shd w:fill="auto" w:val="clear"/>
          <w:vertAlign w:val="baseline"/>
          <w:rtl w:val="0"/>
        </w:rPr>
        <w:t xml:space="preserve">FACTS</w:t>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Highlight the crucial facts and do not be overwhelmed by details. Make sure not to mis-state the facts or be seen to be misleading the court.</w:t>
      </w:r>
    </w:p>
    <w:p w:rsidR="00000000" w:rsidDel="00000000" w:rsidP="00000000" w:rsidRDefault="00000000" w:rsidRPr="0000000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single"/>
          <w:shd w:fill="auto" w:val="clear"/>
        </w:rPr>
      </w:pPr>
      <w:r w:rsidDel="00000000" w:rsidR="00000000" w:rsidRPr="00000000">
        <w:rPr>
          <w:rFonts w:ascii="Palatino Linotype" w:cs="Palatino Linotype" w:eastAsia="Palatino Linotype" w:hAnsi="Palatino Linotype"/>
          <w:b w:val="1"/>
          <w:i w:val="0"/>
          <w:smallCaps w:val="0"/>
          <w:strike w:val="0"/>
          <w:color w:val="000000"/>
          <w:sz w:val="24"/>
          <w:szCs w:val="24"/>
          <w:u w:val="single"/>
          <w:shd w:fill="auto" w:val="clear"/>
          <w:vertAlign w:val="baseline"/>
          <w:rtl w:val="0"/>
        </w:rPr>
        <w:t xml:space="preserve">ISSUES</w:t>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Identify the issue in question and where there are several, note them beginning with the most weighty and number them consecutively.</w:t>
      </w:r>
    </w:p>
    <w:p w:rsidR="00000000" w:rsidDel="00000000" w:rsidP="00000000" w:rsidRDefault="00000000" w:rsidRPr="0000000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single"/>
          <w:shd w:fill="auto" w:val="clear"/>
        </w:rPr>
      </w:pPr>
      <w:r w:rsidDel="00000000" w:rsidR="00000000" w:rsidRPr="00000000">
        <w:rPr>
          <w:rFonts w:ascii="Palatino Linotype" w:cs="Palatino Linotype" w:eastAsia="Palatino Linotype" w:hAnsi="Palatino Linotype"/>
          <w:b w:val="1"/>
          <w:i w:val="0"/>
          <w:smallCaps w:val="0"/>
          <w:strike w:val="0"/>
          <w:color w:val="000000"/>
          <w:sz w:val="24"/>
          <w:szCs w:val="24"/>
          <w:u w:val="single"/>
          <w:shd w:fill="auto" w:val="clear"/>
          <w:vertAlign w:val="baseline"/>
          <w:rtl w:val="0"/>
        </w:rPr>
        <w:t xml:space="preserve">THE LAW</w:t>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State the vital law that you rely on and the strongest cases that advance your arguments. If you are citing a passage, cite only the extract that is relevant and highlight it for easy reference by the judge. Do not cite passages in detail because if it is too long it defeats the purpose of being just a guide, a skeleton.</w:t>
      </w:r>
    </w:p>
    <w:p w:rsidR="00000000" w:rsidDel="00000000" w:rsidP="00000000" w:rsidRDefault="00000000" w:rsidRPr="0000000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single"/>
          <w:shd w:fill="auto" w:val="clear"/>
        </w:rPr>
      </w:pPr>
      <w:r w:rsidDel="00000000" w:rsidR="00000000" w:rsidRPr="00000000">
        <w:rPr>
          <w:rFonts w:ascii="Palatino Linotype" w:cs="Palatino Linotype" w:eastAsia="Palatino Linotype" w:hAnsi="Palatino Linotype"/>
          <w:b w:val="1"/>
          <w:i w:val="0"/>
          <w:smallCaps w:val="0"/>
          <w:strike w:val="0"/>
          <w:color w:val="000000"/>
          <w:sz w:val="24"/>
          <w:szCs w:val="24"/>
          <w:u w:val="single"/>
          <w:shd w:fill="auto" w:val="clear"/>
          <w:vertAlign w:val="baseline"/>
          <w:rtl w:val="0"/>
        </w:rPr>
        <w:t xml:space="preserve">SUBMISSIONS</w:t>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This is the application of the law to the facts. They are also answers to the issues raised by the facts. Write your submissions point by point so that it your arguments make sense and can easily be followed by the judge. Be brief and to the point. Use short sentences and paragraphs. Make every sentence count and in that regard use simple language, style and presentation.</w:t>
      </w:r>
    </w:p>
    <w:p w:rsidR="00000000" w:rsidDel="00000000" w:rsidP="00000000" w:rsidRDefault="00000000" w:rsidRPr="00000000">
      <w:pPr>
        <w:contextualSpacing w:val="0"/>
        <w:jc w:val="both"/>
        <w:rPr>
          <w:rFonts w:ascii="Palatino Linotype" w:cs="Palatino Linotype" w:eastAsia="Palatino Linotype" w:hAnsi="Palatino Linotype"/>
          <w:b w:val="0"/>
          <w:sz w:val="24"/>
          <w:szCs w:val="24"/>
          <w:u w:val="single"/>
          <w:vertAlign w:val="baseline"/>
        </w:rPr>
      </w:pPr>
      <w:r w:rsidDel="00000000" w:rsidR="00000000" w:rsidRPr="00000000">
        <w:br w:type="page"/>
      </w:r>
      <w:r w:rsidDel="00000000" w:rsidR="00000000" w:rsidRPr="00000000">
        <w:rPr>
          <w:rtl w:val="0"/>
        </w:rPr>
      </w:r>
    </w:p>
    <w:p w:rsidR="00000000" w:rsidDel="00000000" w:rsidP="00000000" w:rsidRDefault="00000000" w:rsidRPr="0000000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single"/>
          <w:shd w:fill="auto" w:val="clear"/>
        </w:rPr>
      </w:pPr>
      <w:r w:rsidDel="00000000" w:rsidR="00000000" w:rsidRPr="00000000">
        <w:rPr>
          <w:rFonts w:ascii="Palatino Linotype" w:cs="Palatino Linotype" w:eastAsia="Palatino Linotype" w:hAnsi="Palatino Linotype"/>
          <w:b w:val="1"/>
          <w:i w:val="0"/>
          <w:smallCaps w:val="0"/>
          <w:strike w:val="0"/>
          <w:color w:val="000000"/>
          <w:sz w:val="24"/>
          <w:szCs w:val="24"/>
          <w:u w:val="single"/>
          <w:shd w:fill="auto" w:val="clear"/>
          <w:vertAlign w:val="baseline"/>
          <w:rtl w:val="0"/>
        </w:rPr>
        <w:t xml:space="preserve">CONCLUSION</w:t>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The conclusion should flow naturally from the submissions. Just as in the introduction, say what you want the court to do, what orders you want it to make. The name of the advocate appearing on behalf of the party (but this does not apply if he is representing themselves).</w:t>
      </w:r>
    </w:p>
    <w:p w:rsidR="00000000" w:rsidDel="00000000" w:rsidP="00000000" w:rsidRDefault="00000000" w:rsidRPr="00000000">
      <w:pPr>
        <w:contextualSpacing w:val="0"/>
        <w:jc w:val="both"/>
        <w:rPr>
          <w:rFonts w:ascii="Palatino Linotype" w:cs="Palatino Linotype" w:eastAsia="Palatino Linotype" w:hAnsi="Palatino Linotype"/>
          <w:b w:val="0"/>
          <w:sz w:val="24"/>
          <w:szCs w:val="24"/>
          <w:u w:val="single"/>
          <w:vertAlign w:val="baseline"/>
        </w:rPr>
      </w:pPr>
      <w:r w:rsidDel="00000000" w:rsidR="00000000" w:rsidRPr="00000000">
        <w:rPr>
          <w:rFonts w:ascii="Palatino Linotype" w:cs="Palatino Linotype" w:eastAsia="Palatino Linotype" w:hAnsi="Palatino Linotype"/>
          <w:b w:val="1"/>
          <w:sz w:val="24"/>
          <w:szCs w:val="24"/>
          <w:u w:val="single"/>
          <w:vertAlign w:val="baseline"/>
          <w:rtl w:val="0"/>
        </w:rPr>
        <w:t xml:space="preserve">USE OF SKELETON ARGUMENTS IN ENGLAND</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In March 1989, Lord Donaldson issued a Practice Note ([1989] 1 All ER 891) requiring skeleton arguments in all cases from June 1989. They would have to be lodged by both sides and this was said to be a step toward the system operated in the United States Appellate courts of having written briefs supplemented by a brief oral argument.</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Pr>
        <w:footnoteReference w:customMarkFollows="0" w:id="5"/>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It was, probably, at least part of Lord Donoldson’s purpose in introducing skeleton arguments that judges should be provided, in advance of hearing, with the means to inform themselves of the questions they should be called upon to resolve and even to engage in preliminary reading of authorities with the view to saving time at the hearing.</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Pr>
        <w:footnoteReference w:customMarkFollows="0" w:id="6"/>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growth of written advocacy is one of the most striking recent developments in English civil justice. It is still not 30 years since Lord Donaldson officially sanctioned the use of “a skeleton of the argument” in the Court of Appeal. Yet today, skeleton arguments are mandatory for all but the most inconsequential hearings in the civil courts.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trouble is that, as written advocacy has become more pervasive, it has also become longer, much longer. To the point where, these days, there’s not much skeletal about many skeleton arguments.</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superscript"/>
        </w:rPr>
        <w:footnoteReference w:customMarkFollows="0" w:id="7"/>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This development has not gone unnoticed in the Court of Appeal, the cradle of written advocacy in England. In</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 Tombstone v Raja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[2008] EWCA Civ 1444, </w:t>
      </w:r>
      <w:hyperlink r:id="rId7">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[2008] All ER (D) 180 (Dec)</w:t>
        </w:r>
      </w:hyperlink>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judiciary through Lord Justice Mummery expressed his concerns and complained that “[i]n some cases we are weighed down by the skeleton arguments”. He had just reprimanded two senior barristers for producing a skeleton argument that ran to 110 pages.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Noteworthy</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is the fact that written briefs in the US are restricted to 50 pages regardless of the nature of claim and each brief must be accompanied by a certificate signed by counsel stating that it complies with the word limit. This rule applies across the board for all cases even the high profiled cases. For example in the case of Bush v Gore, an election petition to block the recount of votes, the fate of the US presidency was argued in only 50 pages.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singl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single"/>
          <w:shd w:fill="auto" w:val="clear"/>
          <w:vertAlign w:val="baseline"/>
          <w:rtl w:val="0"/>
        </w:rPr>
        <w:t xml:space="preserve">STATUTORY BASIS FOR THE USE OF SKELETON ARGUMENTS IN ENGLAND.</w:t>
      </w:r>
      <w:r w:rsidDel="00000000" w:rsidR="00000000" w:rsidRPr="00000000">
        <w:rPr>
          <w:rFonts w:ascii="Palatino Linotype" w:cs="Palatino Linotype" w:eastAsia="Palatino Linotype" w:hAnsi="Palatino Linotype"/>
          <w:b w:val="0"/>
          <w:i w:val="0"/>
          <w:smallCaps w:val="0"/>
          <w:strike w:val="0"/>
          <w:color w:val="000000"/>
          <w:sz w:val="24"/>
          <w:szCs w:val="24"/>
          <w:u w:val="single"/>
          <w:shd w:fill="auto" w:val="clear"/>
          <w:vertAlign w:val="superscript"/>
        </w:rPr>
        <w:footnoteReference w:customMarkFollows="0" w:id="8"/>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singl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single"/>
          <w:shd w:fill="auto" w:val="clear"/>
          <w:vertAlign w:val="baseline"/>
          <w:rtl w:val="0"/>
        </w:rPr>
        <w:t xml:space="preserve">The Practice Direction for Civil Procedure Rules, Practice 52A</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Section 5 makes provisions for Skeleton Arguments.</w:t>
      </w:r>
      <w:bookmarkStart w:colFirst="0" w:colLast="0" w:name="30j0zll" w:id="1"/>
      <w:bookmarkEnd w:id="1"/>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20202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202020"/>
          <w:sz w:val="24"/>
          <w:szCs w:val="24"/>
          <w:u w:val="none"/>
          <w:shd w:fill="auto" w:val="clear"/>
          <w:vertAlign w:val="baseline"/>
          <w:rtl w:val="0"/>
        </w:rPr>
        <w:t xml:space="preserve">Under Section 5(1)</w:t>
      </w:r>
      <w:bookmarkStart w:colFirst="0" w:colLast="0" w:name="1fob9te" w:id="2"/>
      <w:bookmarkEnd w:id="2"/>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w:t>
      </w: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purpose</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of a skeleton argument is to assist the court by setting out as concisely as practicable the arguments upon which a party intends to rely.</w:t>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 skeleton argument must–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 Be concise; The Chancery Guide of England 2003 allows the use of abbreviations in skeleton arguments. It also advices the advocate to avoid being too formal and use simple language.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   Both define and confine the areas of controversy;</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c)    Be set out in numbered paragraphs;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d)   Be cross-referenced to any relevant document in the bundle;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e) Be self-contained and not incorporate by reference material from previous skeleton arguments;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f)   Not include extensive quotations from documents or authorities.</w:t>
      </w:r>
    </w:p>
    <w:bookmarkStart w:colFirst="0" w:colLast="0" w:name="3znysh7" w:id="3"/>
    <w:bookmarkEnd w:id="3"/>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Documents to be relied on must be identified.</w:t>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Where it is necessary to refer to an authority, a skeleton argument must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 state the proposition of law the authority demonstrates; and</w:t>
      </w:r>
      <w:bookmarkStart w:colFirst="0" w:colLast="0" w:name="2et92p0" w:id="4"/>
      <w:bookmarkEnd w:id="4"/>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 identify the parts of the authority that support the proposition. If more than one authority is cited in support of a given proposition, the skeleton argument must briefly state why.</w:t>
      </w:r>
    </w:p>
    <w:bookmarkStart w:colFirst="0" w:colLast="0" w:name="tyjcwt" w:id="5"/>
    <w:bookmarkEnd w:id="5"/>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singl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single"/>
          <w:shd w:fill="auto" w:val="clear"/>
          <w:vertAlign w:val="baseline"/>
          <w:rtl w:val="0"/>
        </w:rPr>
        <w:t xml:space="preserve">Under the Practice Direction 52C governing appeals to the court of appeal- supplements CPR Part 52</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Skeleton arguments must comply with the provisions of Section V of the Practice Directions 52A mentioned above.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20202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Under Section 31 of Practice Directions 52C t</w:t>
      </w:r>
      <w:r w:rsidDel="00000000" w:rsidR="00000000" w:rsidRPr="00000000">
        <w:rPr>
          <w:rFonts w:ascii="Palatino Linotype" w:cs="Palatino Linotype" w:eastAsia="Palatino Linotype" w:hAnsi="Palatino Linotype"/>
          <w:b w:val="0"/>
          <w:i w:val="0"/>
          <w:smallCaps w:val="0"/>
          <w:strike w:val="0"/>
          <w:color w:val="202020"/>
          <w:sz w:val="24"/>
          <w:szCs w:val="24"/>
          <w:u w:val="none"/>
          <w:shd w:fill="auto" w:val="clear"/>
          <w:vertAlign w:val="baseline"/>
          <w:rtl w:val="0"/>
        </w:rPr>
        <w:t xml:space="preserve">he skeleton argument should</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 not normally exceed 25 pages (excluding front sheets and back sheets);</w:t>
      </w:r>
      <w:bookmarkStart w:colFirst="0" w:colLast="0" w:name="3dy6vkm" w:id="6"/>
      <w:bookmarkEnd w:id="6"/>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 be printed on A4 paper in not less than 12 point font and 1.5 line spacing.</w:t>
      </w:r>
    </w:p>
    <w:bookmarkStart w:colFirst="0" w:colLast="0" w:name="1t3h5sf" w:id="7"/>
    <w:bookmarkEnd w:id="7"/>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(2) Where an appellant has filed a skeleton argument in support of an application for permission to appeal, the same skeleton argument may be relied upon in the appeal or the appellant may file an appeal skeleton argument.</w:t>
      </w:r>
    </w:p>
    <w:bookmarkStart w:colFirst="0" w:colLast="0" w:name="4d34og8" w:id="8"/>
    <w:bookmarkEnd w:id="8"/>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20202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(3) At the hearing the court may refuse to hear argument on a point not included in a skeleton argument filed within the prescribed time.</w:t>
      </w:r>
    </w:p>
    <w:bookmarkStart w:colFirst="0" w:colLast="0" w:name="2s8eyo1" w:id="9"/>
    <w:bookmarkEnd w:id="9"/>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(4) The court may disallow the cost of preparing an appeal skeleton argument which does not comply with these requirements or was not filed within the prescribed time.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7d766f"/>
          <w:sz w:val="24"/>
          <w:szCs w:val="24"/>
          <w:u w:val="none"/>
          <w:shd w:fill="auto" w:val="clear"/>
          <w:vertAlign w:val="baseline"/>
        </w:rPr>
      </w:pPr>
      <w:r w:rsidDel="00000000" w:rsidR="00000000" w:rsidRPr="00000000">
        <w:rPr>
          <w:rtl w:val="0"/>
        </w:rPr>
      </w:r>
    </w:p>
    <w:bookmarkStart w:colFirst="0" w:colLast="0" w:name="17dp8vu" w:id="10"/>
    <w:bookmarkEnd w:id="10"/>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singl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single"/>
          <w:shd w:fill="auto" w:val="clear"/>
          <w:vertAlign w:val="baseline"/>
          <w:rtl w:val="0"/>
        </w:rPr>
        <w:t xml:space="preserve">Further Practice Directions Applying in The Court of Appeal (Criminal Division) - Criminal Procedure Rules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(Rule II.17.1) In all appeals against conviction a skeleton argument from the advocate for the appellant is to be lodged with the Registrar of Criminal Appeals and served on the prosecuting authority within 14 days of receipt by the advocate of the notification of the grant of leave to appeal against conviction or such longer period as the Registrar or the Court may direct. The skeleton may refer to an advice, which should be annexed with an indication of which parts of it are relied upon, and should include any additional arguments to be advanced.</w:t>
      </w:r>
    </w:p>
    <w:bookmarkStart w:colFirst="0" w:colLast="0" w:name="3rdcrjn" w:id="11"/>
    <w:bookmarkEnd w:id="11"/>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(Rule II.17.2) The advocate for the prosecuting authority should lodge with the Registrar and the advocate for the appellant his skeleton argument within 14 days of the receipt of the skeleton argument for the appellant or such longer (or, in exceptional cases, shorter) period as the Registrar or the Court may direct.</w:t>
      </w:r>
    </w:p>
    <w:bookmarkStart w:colFirst="0" w:colLast="0" w:name="26in1rg" w:id="12"/>
    <w:bookmarkEnd w:id="12"/>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(Rule II.17.3) Practitioners should ensure that, where reliance is placed upon unreported cases in skeleton arguments, short head notes are included.</w:t>
      </w:r>
    </w:p>
    <w:bookmarkStart w:colFirst="0" w:colLast="0" w:name="lnxbz9" w:id="13"/>
    <w:bookmarkEnd w:id="13"/>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(Rule II.17.4) </w:t>
      </w:r>
      <w:bookmarkStart w:colFirst="0" w:colLast="0" w:name="35nkun2" w:id="14"/>
      <w:bookmarkEnd w:id="14"/>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Advocates should ensure that the correct Criminal Appeal Office number appears at the beginning of their skeleton arguments and that their names are at the end.</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 skeleton argument should contain a numbered list of the points the advocate intends to argue, grouped under each ground of appeal, and stated in no more than one or two sentences.</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It should be as succinct as possible, the object being to identify each point, not to argue it or elaborate on it. Each listed point should be followed by full references to the material to which the advocate will refer in support of it, i.e. the relevant passages in the transcripts, authorities, etc. </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It should also contain anything the advocate would expect to be taken down by the Court during the hearing, such as propositions of law, chronologies, etc. If more convenient, these can be annexed to the skeleton rather than included in it. </w:t>
      </w:r>
    </w:p>
    <w:p w:rsidR="00000000" w:rsidDel="00000000" w:rsidP="00000000" w:rsidRDefault="00000000" w:rsidRPr="000000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0"/>
        <w:jc w:val="both"/>
        <w:rPr>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For points of law, the skeleton should state the point and cite the principal authority or authorities in support with reference to the passages where the principle is enunciated. Chronologies should, if possible, be agreed with the opposing advocate before the hearing. Respondents' skeletons should follow the same principles.  (Rule II.17.5)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OTHER JURISDICTIONS</w:t>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In South Africa, the term “heads of argument” is used to describe a document that is handed to the court in support of a specific argument. Heads of argument presents the argument of the attorney or advocate about an issue, it summarizes the evidence, and requests a particular order from the court.</w:t>
      </w:r>
      <w:r w:rsidDel="00000000" w:rsidR="00000000" w:rsidRPr="00000000">
        <w:rPr>
          <w:rFonts w:ascii="Palatino Linotype" w:cs="Palatino Linotype" w:eastAsia="Palatino Linotype" w:hAnsi="Palatino Linotype"/>
          <w:sz w:val="24"/>
          <w:szCs w:val="24"/>
          <w:vertAlign w:val="superscript"/>
        </w:rPr>
        <w:footnoteReference w:customMarkFollows="0" w:id="9"/>
      </w:r>
      <w:r w:rsidDel="00000000" w:rsidR="00000000" w:rsidRPr="00000000">
        <w:rPr>
          <w:rFonts w:ascii="Palatino Linotype" w:cs="Palatino Linotype" w:eastAsia="Palatino Linotype" w:hAnsi="Palatino Linotype"/>
          <w:sz w:val="24"/>
          <w:szCs w:val="24"/>
          <w:vertAlign w:val="baseline"/>
          <w:rtl w:val="0"/>
        </w:rPr>
        <w:t xml:space="preserve"> Apart from the local rules made under the Supreme Court Act 59 of 1959, the Judge Presidents of various High Courts have issued what is variously termed ‘Court Notices’, ‘Practice Notes’, ‘Practice Directions’ and ‘Practice Directives’. These deal with a wide variety of matters including heads of argument.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RULES REGULATING THE CONDUCT OF THE PROCEEDINGS OF THE SUPREME COURT OF APPEAL OF SOUTH AFRICA</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Rule 10: Heads of Argument</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Filing</w:t>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contextualSpacing w:val="0"/>
        <w:jc w:val="both"/>
        <w:rPr>
          <w:rFonts w:ascii="Palatino Linotype" w:cs="Palatino Linotype" w:eastAsia="Palatino Linotype" w:hAnsi="Palatino Linotype"/>
          <w:b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Unless the President otherwise directs-</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contextualSpacing w:val="0"/>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appellant shall lodge with the registrar six copies of his or her main heads of argument within six weeks from the lodging of the record; and</w:t>
      </w:r>
    </w:p>
    <w:p w:rsidR="00000000" w:rsidDel="00000000" w:rsidP="00000000" w:rsidRDefault="00000000" w:rsidRPr="00000000">
      <w:pPr>
        <w:keepNext w:val="0"/>
        <w:keepLines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contextualSpacing w:val="0"/>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respondent shall lodge with the registrar six copies of his or her main heads of argument within one month from the receipt of the appellant’s heads of argument.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Urgency</w:t>
      </w:r>
      <w:r w:rsidDel="00000000" w:rsidR="00000000" w:rsidRPr="00000000">
        <w:rPr>
          <w:rtl w:val="0"/>
        </w:rPr>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contextualSpacing w:val="0"/>
        <w:jc w:val="both"/>
        <w:rPr>
          <w:rFonts w:ascii="Palatino Linotype" w:cs="Palatino Linotype" w:eastAsia="Palatino Linotype" w:hAnsi="Palatino Linotype"/>
          <w:b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When the lodging of an application or record of appeal with the registrar does not allow the heads of argument to be lodged and served in terms of subrule (1), the applicant or appellant, as the case may be, shall file the same without delay and the respondent shall thereafter file the argument in answer as soon as possible.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(2A) Failure to file-</w:t>
      </w:r>
    </w:p>
    <w:p w:rsidR="00000000" w:rsidDel="00000000" w:rsidP="00000000" w:rsidRDefault="00000000" w:rsidRPr="00000000">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contextualSpacing w:val="0"/>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If the appellant fails to lodge heads of argument within the prescribed period or within the extended period, the appeal shall lapse.</w:t>
      </w:r>
    </w:p>
    <w:p w:rsidR="00000000" w:rsidDel="00000000" w:rsidP="00000000" w:rsidRDefault="00000000" w:rsidRPr="00000000">
      <w:pPr>
        <w:keepNext w:val="0"/>
        <w:keepLines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contextualSpacing w:val="0"/>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If, after the appellant has filed heads of argument, the respondent fails to lodge heads of argument within the prescribed period or within the extended period, the appeal shall be enrolled for hearing and the Court may at the hearing in the absence of the defaulting party, and after hearing argument, make such order as it deems fit.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Format</w:t>
      </w:r>
      <w:r w:rsidDel="00000000" w:rsidR="00000000" w:rsidRPr="00000000">
        <w:rPr>
          <w:rtl w:val="0"/>
        </w:rPr>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contextualSpacing w:val="0"/>
        <w:jc w:val="both"/>
        <w:rPr>
          <w:rFonts w:ascii="Palatino Linotype" w:cs="Palatino Linotype" w:eastAsia="Palatino Linotype" w:hAnsi="Palatino Linotype"/>
          <w:b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 (i) The heads of argument shall be clear, succinct and without unnecessary elaboration.</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(ii) Each point should be numbered and be stated as concisely as the nature of the case allows and must be followed by a reference to the record or an authority in support of the point.</w:t>
        <w:br w:type="textWrapping"/>
        <w:t xml:space="preserve">(b) (i) The heads of argument shall not contain lengthy quotations from the record or authorities.</w:t>
        <w:br w:type="textWrapping"/>
        <w:t xml:space="preserve">(ii) The heads of argument must state, in respect of each authority cited, the proposition of law that the authority states, and if more than one authority is cited for a proposition the reason for citing the additional authorities must be stated.</w:t>
        <w:br w:type="textWrapping"/>
        <w:t xml:space="preserve">(c) References to authorities and the record shall not be general but to specific pages and paragraphs.</w:t>
        <w:br w:type="textWrapping"/>
        <w:t xml:space="preserve">(d) (i) The heads of argument of the appellant shall be accompanied by a chronology table, duly cross-referenced, without argument.</w:t>
        <w:br w:type="textWrapping"/>
        <w:t xml:space="preserve">(ii) If the respondent disputes the correctness of the chronology table in a material respect, the respondent’s heads of argument shall be accompanied by the respondent’s version of the chronology table.</w:t>
        <w:br w:type="textWrapping"/>
        <w:t xml:space="preserve">(e) (i) The heads of argument shall be accompanied by a list of the authorities to be quoted in support of the argument and shall indicate with an asterisk the authorities to which particular reference will be made during the course of argument.</w:t>
        <w:br w:type="textWrapping"/>
        <w:t xml:space="preserve">(ii) If any such authority is not readily available, copies of the text relied upon shall accompany the heads of argument in a separate volume.</w:t>
        <w:br w:type="textWrapping"/>
        <w:t xml:space="preserve">(iii) The heads of argument shall define the form of order sought from the Court.</w:t>
        <w:br w:type="textWrapping"/>
        <w:t xml:space="preserve">(f) A photocopy, or a printout from an electronic database, of those provisions of any statute, regulation, rule, ordinance or by-law directly at issue, shall accompany the heads of argument in a separate volume.</w:t>
        <w:br w:type="textWrapping"/>
        <w:t xml:space="preserve">(g) The heads of argument of any appellant or respondent shall not exceed 40 pages, unless a judge, on request, otherwise orders.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Form</w:t>
      </w:r>
      <w:r w:rsidDel="00000000" w:rsidR="00000000" w:rsidRPr="00000000">
        <w:rPr>
          <w:rtl w:val="0"/>
        </w:rPr>
      </w:r>
    </w:p>
    <w:p w:rsidR="00000000" w:rsidDel="00000000" w:rsidP="00000000" w:rsidRDefault="00000000" w:rsidRPr="00000000">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contextualSpacing w:val="0"/>
        <w:jc w:val="both"/>
        <w:rPr>
          <w:rFonts w:ascii="Palatino Linotype" w:cs="Palatino Linotype" w:eastAsia="Palatino Linotype" w:hAnsi="Palatino Linotype"/>
          <w:b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 The heads of argument shall be clearly typed on stout A4 standard paper in double-spacing in black record ink, on one side of the paper only.</w:t>
        <w:br w:type="textWrapping"/>
        <w:t xml:space="preserve">(b) All annexures to the heads of argument shall be bound separately.</w:t>
        <w:br w:type="textWrapping"/>
        <w:t xml:space="preserve">(c) Heads of argument and annexures thereto shall be bound with plastic comb binders and card covers, white for the appellant and blue for the respondent.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Cross-appeals</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(5) Cross-appeals do not require a separate set of heads of argument. In all cases where there is an appeal and a cross-appeal, the appellant’s main heads of argument under rule 10 (1) (b) shall follow the same pattern.</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[R. 10 substituted by r. 10 of GNR.979 of 19 November 2010.]</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10A. Practice Note.</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w:t>
      </w:r>
      <w:r w:rsidDel="00000000" w:rsidR="00000000" w:rsidRPr="00000000">
        <w:rPr>
          <w:rFonts w:ascii="Palatino Linotype" w:cs="Palatino Linotype" w:eastAsia="Palatino Linotype" w:hAnsi="Palatino Linotype"/>
          <w:b w:val="0"/>
          <w:i w:val="1"/>
          <w:smallCaps w:val="0"/>
          <w:strike w:val="0"/>
          <w:color w:val="000000"/>
          <w:sz w:val="24"/>
          <w:szCs w:val="24"/>
          <w:u w:val="none"/>
          <w:shd w:fill="auto" w:val="clear"/>
          <w:vertAlign w:val="baseline"/>
          <w:rtl w:val="0"/>
        </w:rPr>
        <w:t xml:space="preserve">Contents</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heads of argument of each party must be accompanied by—</w:t>
        <w:br w:type="textWrapping"/>
        <w:t xml:space="preserve">(a) a brief typed note indicating—</w:t>
        <w:br w:type="textWrapping"/>
        <w:t xml:space="preserve">(i) the name and number of the matter;</w:t>
        <w:br w:type="textWrapping"/>
        <w:t xml:space="preserve">(ii) the nature of the appeal;</w:t>
        <w:br w:type="textWrapping"/>
        <w:t xml:space="preserve">(iii) a concise statement of the basis for jurisdiction in this Court, including the statutory provisions and time factors on which jurisdiction rests;</w:t>
        <w:br w:type="textWrapping"/>
        <w:t xml:space="preserve">(iv) if that party wishes to raise a constitutional question relating to the constitutional validity or the constitutional applicability of any law or the constitutional validity or applicability or extension of a common law rule, a concise definition of the question;</w:t>
        <w:br w:type="textWrapping"/>
        <w:t xml:space="preserve">(v) the issues on appeal succinctly stated (for example ‘negligence in MVA case’, ‘admissibility of a confession’, ‘interpretation of...’);</w:t>
        <w:br w:type="textWrapping"/>
        <w:t xml:space="preserve">(vi) an estimate of the duration of the argument;</w:t>
        <w:br w:type="textWrapping"/>
        <w:t xml:space="preserve">(vii) if more than one day is required for argument, the reasons for the request;</w:t>
        <w:br w:type="textWrapping"/>
        <w:t xml:space="preserve">(viii) which portions or pages of the record are in a language other than English;</w:t>
        <w:br w:type="textWrapping"/>
        <w:t xml:space="preserve">(ix) a list reflecting those parts of the record that, in the opinion of counsel, are necessary for the determination of the appeal;</w:t>
        <w:br w:type="textWrapping"/>
        <w:t xml:space="preserve">(x) a summary of the argument, not exceeding 100 words;</w:t>
        <w:br w:type="textWrapping"/>
        <w:t xml:space="preserve">(xi) if a core bundle is not appropriate for the appeal, the reasons for the conclusion;</w:t>
        <w:br w:type="textWrapping"/>
        <w:t xml:space="preserve">(xii) that there was due and timeous compliance with rule 8 (8) and (9), and if not, why not; and</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 a certificate signed by the legal practitioner responsible for the heads of argument that rules 10 and 10A (a) have been complied with.</w:t>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b w:val="0"/>
          <w:sz w:val="24"/>
          <w:szCs w:val="24"/>
          <w:u w:val="single"/>
          <w:vertAlign w:val="baseline"/>
        </w:rPr>
      </w:pPr>
      <w:r w:rsidDel="00000000" w:rsidR="00000000" w:rsidRPr="00000000">
        <w:rPr>
          <w:rFonts w:ascii="Palatino Linotype" w:cs="Palatino Linotype" w:eastAsia="Palatino Linotype" w:hAnsi="Palatino Linotype"/>
          <w:b w:val="1"/>
          <w:sz w:val="24"/>
          <w:szCs w:val="24"/>
          <w:u w:val="single"/>
          <w:vertAlign w:val="baseline"/>
          <w:rtl w:val="0"/>
        </w:rPr>
        <w:t xml:space="preserve">Conclusion</w:t>
      </w:r>
      <w:r w:rsidDel="00000000" w:rsidR="00000000" w:rsidRPr="00000000">
        <w:rPr>
          <w:rtl w:val="0"/>
        </w:rPr>
      </w:r>
    </w:p>
    <w:p w:rsidR="00000000" w:rsidDel="00000000" w:rsidP="00000000" w:rsidRDefault="00000000" w:rsidRPr="00000000">
      <w:pPr>
        <w:contextualSpacing w:val="0"/>
        <w:jc w:val="both"/>
        <w:rPr>
          <w:rFonts w:ascii="Palatino Linotype" w:cs="Palatino Linotype" w:eastAsia="Palatino Linotype" w:hAnsi="Palatino Linotype"/>
          <w:sz w:val="24"/>
          <w:szCs w:val="24"/>
          <w:vertAlign w:val="baseline"/>
        </w:rPr>
      </w:pPr>
      <w:r w:rsidDel="00000000" w:rsidR="00000000" w:rsidRPr="00000000">
        <w:rPr>
          <w:rFonts w:ascii="Palatino Linotype" w:cs="Palatino Linotype" w:eastAsia="Palatino Linotype" w:hAnsi="Palatino Linotype"/>
          <w:sz w:val="24"/>
          <w:szCs w:val="24"/>
          <w:vertAlign w:val="baseline"/>
          <w:rtl w:val="0"/>
        </w:rPr>
        <w:t xml:space="preserve">The following are very important and deserve the attention of every advocate:</w:t>
      </w:r>
    </w:p>
    <w:p w:rsidR="00000000" w:rsidDel="00000000" w:rsidP="00000000" w:rsidRDefault="00000000" w:rsidRPr="0000000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skeleton arguments </w:t>
      </w: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should be just that, a skeleton</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 lengthy skeleton argument will not be received well by the judge and he will question the advocate’s knowledge of the use of skeleton arguments.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contextualSpacing w:val="0"/>
        <w:jc w:val="both"/>
        <w:rPr>
          <w:rFonts w:ascii="Palatino Linotype" w:cs="Palatino Linotype" w:eastAsia="Palatino Linotype" w:hAnsi="Palatino Linotype"/>
          <w:b w:val="0"/>
          <w:i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Sir James Hunt a member of the bench in England commented on a 35 page document calling it </w:t>
      </w:r>
      <w:r w:rsidDel="00000000" w:rsidR="00000000" w:rsidRPr="00000000">
        <w:rPr>
          <w:rFonts w:ascii="Palatino Linotype" w:cs="Palatino Linotype" w:eastAsia="Palatino Linotype" w:hAnsi="Palatino Linotype"/>
          <w:b w:val="0"/>
          <w:i w:val="1"/>
          <w:smallCaps w:val="0"/>
          <w:strike w:val="0"/>
          <w:color w:val="000000"/>
          <w:sz w:val="24"/>
          <w:szCs w:val="24"/>
          <w:u w:val="single"/>
          <w:shd w:fill="auto" w:val="clear"/>
          <w:vertAlign w:val="baseline"/>
          <w:rtl w:val="0"/>
        </w:rPr>
        <w:t xml:space="preserve">fat and stiff and not skeleton</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He went further to state that the document which had coffee spill stains was disgusting to touch and it was worse than no skeleton at all.</w:t>
      </w:r>
    </w:p>
    <w:p w:rsidR="00000000" w:rsidDel="00000000" w:rsidP="00000000" w:rsidRDefault="00000000" w:rsidRPr="0000000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The above comments by Sir Hunt bring us to the next point. Presentation is everything. A skeleton argument </w:t>
      </w: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should be neat and easy to peruse</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The advocate should paginate the document and can go further to mark the pages that are most important to guide the judge. (Binding and arrangement)</w:t>
      </w:r>
    </w:p>
    <w:p w:rsidR="00000000" w:rsidDel="00000000" w:rsidP="00000000" w:rsidRDefault="00000000" w:rsidRPr="0000000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Your skeleton arguments should be </w:t>
      </w: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presented to the judge before the hearing date</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and will not be as effective if given to him on the day of the hearing. (Timing)</w:t>
      </w:r>
    </w:p>
    <w:p w:rsidR="00000000" w:rsidDel="00000000" w:rsidP="00000000" w:rsidRDefault="00000000" w:rsidRPr="0000000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Your skeleton arguments should </w:t>
      </w: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deal with your case first before responding to your opponents.</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This includes also dealing with authorities that are against you. Be clear and coherent so that your opponent’s case makes less sense than yours. (Start with the merits on your case and do not go on an attack mode)</w:t>
      </w:r>
    </w:p>
    <w:p w:rsidR="00000000" w:rsidDel="00000000" w:rsidP="00000000" w:rsidRDefault="00000000" w:rsidRPr="0000000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contextualSpacing w:val="1"/>
        <w:jc w:val="both"/>
        <w:rPr>
          <w:rFonts w:ascii="Palatino Linotype" w:cs="Palatino Linotype" w:eastAsia="Palatino Linotype" w:hAnsi="Palatino Linotype"/>
          <w:b w:val="0"/>
          <w:i w:val="0"/>
          <w:smallCaps w:val="0"/>
          <w:strike w:val="0"/>
          <w:color w:val="000000"/>
          <w:sz w:val="24"/>
          <w:szCs w:val="24"/>
          <w:u w:val="none"/>
          <w:shd w:fill="auto" w:val="clear"/>
        </w:rPr>
      </w:pP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Before presenting your skeleton arguments to the court, </w:t>
      </w:r>
      <w:r w:rsidDel="00000000" w:rsidR="00000000" w:rsidRPr="00000000">
        <w:rPr>
          <w:rFonts w:ascii="Palatino Linotype" w:cs="Palatino Linotype" w:eastAsia="Palatino Linotype" w:hAnsi="Palatino Linotype"/>
          <w:b w:val="1"/>
          <w:i w:val="0"/>
          <w:smallCaps w:val="0"/>
          <w:strike w:val="0"/>
          <w:color w:val="000000"/>
          <w:sz w:val="24"/>
          <w:szCs w:val="24"/>
          <w:u w:val="none"/>
          <w:shd w:fill="auto" w:val="clear"/>
          <w:vertAlign w:val="baseline"/>
          <w:rtl w:val="0"/>
        </w:rPr>
        <w:t xml:space="preserve">make sure they are free of errors</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 (spelling or grammatical). Errors in your document question the seriousness and competence of the advocate.</w:t>
      </w:r>
    </w:p>
    <w:sectPr>
      <w:footerReference r:id="rId8" w:type="default"/>
      <w:pgSz w:h="15840" w:w="12240"/>
      <w:pgMar w:bottom="864" w:top="864" w:left="1440"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Palatino Linotype"/>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otnote w:id="0">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Chancery Guide of England 2003</w:t>
      </w:r>
    </w:p>
  </w:footnote>
  <w:footnote w:id="1">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Cap 21 Laws of Kenya</w:t>
      </w:r>
    </w:p>
  </w:footnote>
  <w:footnote w:id="2">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hyperlink r:id="rId1">
        <w:r w:rsidDel="00000000" w:rsidR="00000000" w:rsidRPr="00000000">
          <w:rPr>
            <w:rFonts w:ascii="Palatino Linotype" w:cs="Palatino Linotype" w:eastAsia="Palatino Linotype" w:hAnsi="Palatino Linotype"/>
            <w:b w:val="0"/>
            <w:i w:val="0"/>
            <w:smallCaps w:val="0"/>
            <w:strike w:val="0"/>
            <w:color w:val="0000ff"/>
            <w:sz w:val="20"/>
            <w:szCs w:val="20"/>
            <w:u w:val="single"/>
            <w:shd w:fill="auto" w:val="clear"/>
            <w:vertAlign w:val="baseline"/>
            <w:rtl w:val="0"/>
          </w:rPr>
          <w:t xml:space="preserve">http://www.kenyalaw.org</w:t>
        </w:r>
      </w:hyperlink>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&lt;5 April 2013&gt;</w:t>
      </w:r>
    </w:p>
  </w:footnote>
  <w:footnote w:id="3">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Palatino Linotype" w:cs="Palatino Linotype" w:eastAsia="Palatino Linotype" w:hAnsi="Palatino Linotype"/>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Gazette Notice No 8167 of 2008</w:t>
      </w:r>
    </w:p>
  </w:footnote>
  <w:footnote w:id="4">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Palatino Linotype" w:cs="Palatino Linotype" w:eastAsia="Palatino Linotype" w:hAnsi="Palatino Linotype"/>
          <w:b w:val="0"/>
          <w:i w:val="0"/>
          <w:smallCaps w:val="0"/>
          <w:strike w:val="0"/>
          <w:color w:val="000000"/>
          <w:sz w:val="20"/>
          <w:szCs w:val="20"/>
          <w:u w:val="none"/>
          <w:shd w:fill="auto" w:val="clear"/>
          <w:vertAlign w:val="baseline"/>
          <w:rtl w:val="0"/>
        </w:rPr>
        <w:t xml:space="preserve"> Act No 9 of 2008 Laws of Kenya</w:t>
      </w:r>
      <w:r w:rsidDel="00000000" w:rsidR="00000000" w:rsidRPr="00000000">
        <w:rPr>
          <w:rtl w:val="0"/>
        </w:rPr>
      </w:r>
    </w:p>
  </w:footnote>
  <w:footnote w:id="5">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Michael Zander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The Law Making Process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(2004) 412.</w:t>
      </w:r>
    </w:p>
  </w:footnote>
  <w:footnote w:id="6">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J A Jolowicz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On Civil Procedure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(2000) 381.</w:t>
      </w:r>
    </w:p>
  </w:footnote>
  <w:footnote w:id="7">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David Pope,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Why Size Matters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News Law Journal </w:t>
      </w:r>
    </w:p>
  </w:footnote>
  <w:footnote w:id="8">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www.justice.gov.uk</w:t>
      </w:r>
    </w:p>
  </w:footnote>
  <w:footnote w:id="9">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 Viljoen, A Nienaber and A Kok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Skills Workbook for Law Students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(2002) 144.</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360" w:hanging="360"/>
      </w:pPr>
      <w:rPr>
        <w:i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shd w:fill="auto" w:val="clear"/>
        <w:vertAlign w:val="baseline"/>
        <w:lang w:val="en-U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er">
    <w:name w:val="Header"/>
    <w:basedOn w:val="Normal"/>
    <w:next w:val="Head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character" w:styleId="sectionitemno">
    <w:name w:val="sectionitemno"/>
    <w:basedOn w:val="DefaultParagraphFont"/>
    <w:next w:val="sectionitemno"/>
    <w:autoRedefine w:val="0"/>
    <w:hidden w:val="0"/>
    <w:qFormat w:val="0"/>
    <w:rPr>
      <w:w w:val="100"/>
      <w:position w:val="-1"/>
      <w:effect w:val="none"/>
      <w:vertAlign w:val="baseline"/>
      <w:cs w:val="0"/>
      <w:em w:val="none"/>
      <w:lang/>
    </w:rPr>
  </w:style>
  <w:style w:type="character" w:styleId="text">
    <w:name w:val="text"/>
    <w:basedOn w:val="DefaultParagraphFont"/>
    <w:next w:val="text"/>
    <w:autoRedefine w:val="0"/>
    <w:hidden w:val="0"/>
    <w:qFormat w:val="0"/>
    <w:rPr>
      <w:w w:val="100"/>
      <w:position w:val="-1"/>
      <w:effect w:val="none"/>
      <w:vertAlign w:val="baseline"/>
      <w:cs w:val="0"/>
      <w:em w:val="none"/>
      <w:lang/>
    </w:rPr>
  </w:style>
  <w:style w:type="character" w:styleId="subsectionno">
    <w:name w:val="subsectionno"/>
    <w:basedOn w:val="DefaultParagraphFont"/>
    <w:next w:val="subsectionno"/>
    <w:autoRedefine w:val="0"/>
    <w:hidden w:val="0"/>
    <w:qFormat w:val="0"/>
    <w:rPr>
      <w:w w:val="100"/>
      <w:position w:val="-1"/>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subsectiontext">
    <w:name w:val="subsectiontext"/>
    <w:basedOn w:val="DefaultParagraphFont"/>
    <w:next w:val="subsectiontext"/>
    <w:autoRedefine w:val="0"/>
    <w:hidden w:val="0"/>
    <w:qFormat w:val="0"/>
    <w:rPr>
      <w:w w:val="100"/>
      <w:position w:val="-1"/>
      <w:effect w:val="none"/>
      <w:vertAlign w:val="baseline"/>
      <w:cs w:val="0"/>
      <w:em w:val="none"/>
      <w:lang/>
    </w:rPr>
  </w:style>
  <w:style w:type="character" w:styleId="Hyperlink">
    <w:name w:val="Hyperlink"/>
    <w:basedOn w:val="DefaultParagraphFont"/>
    <w:next w:val="Hyperlink"/>
    <w:autoRedefine w:val="0"/>
    <w:hidden w:val="0"/>
    <w:qFormat w:val="1"/>
    <w:rPr>
      <w:color w:val="0000ff"/>
      <w:w w:val="100"/>
      <w:position w:val="-1"/>
      <w:u w:val="single"/>
      <w:effect w:val="none"/>
      <w:vertAlign w:val="baseline"/>
      <w:cs w:val="0"/>
      <w:em w:val="none"/>
      <w:lang/>
    </w:rPr>
  </w:style>
  <w:style w:type="paragraph" w:styleId="FootnoteText">
    <w:name w:val="Footnote Text"/>
    <w:basedOn w:val="Normal"/>
    <w:next w:val="FootnoteText"/>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FootnoteTextChar">
    <w:name w:val="Footnote Text Char"/>
    <w:basedOn w:val="DefaultParagraphFont"/>
    <w:next w:val="FootnoteTextChar"/>
    <w:autoRedefine w:val="0"/>
    <w:hidden w:val="0"/>
    <w:qFormat w:val="0"/>
    <w:rPr>
      <w:w w:val="100"/>
      <w:position w:val="-1"/>
      <w:sz w:val="20"/>
      <w:szCs w:val="20"/>
      <w:effect w:val="none"/>
      <w:vertAlign w:val="baseline"/>
      <w:cs w:val="0"/>
      <w:em w:val="none"/>
      <w:lang/>
    </w:rPr>
  </w:style>
  <w:style w:type="character" w:styleId="FootnoteReference">
    <w:name w:val="Footnote Reference"/>
    <w:basedOn w:val="DefaultParagraphFont"/>
    <w:next w:val="FootnoteReference"/>
    <w:autoRedefine w:val="0"/>
    <w:hidden w:val="0"/>
    <w:qFormat w:val="1"/>
    <w:rPr>
      <w:w w:val="100"/>
      <w:position w:val="-1"/>
      <w:effect w:val="none"/>
      <w:vertAlign w:val="superscript"/>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Strong">
    <w:name w:val="Strong"/>
    <w:basedOn w:val="DefaultParagraphFont"/>
    <w:next w:val="Strong"/>
    <w:autoRedefine w:val="0"/>
    <w:hidden w:val="0"/>
    <w:qFormat w:val="0"/>
    <w:rPr>
      <w:b w:val="1"/>
      <w:bCs w:val="1"/>
      <w:w w:val="100"/>
      <w:position w:val="-1"/>
      <w:effect w:val="none"/>
      <w:vertAlign w:val="baseline"/>
      <w:cs w:val="0"/>
      <w:em w:val="none"/>
      <w:lang/>
    </w:rPr>
  </w:style>
  <w:style w:type="character" w:styleId="Emphasis">
    <w:name w:val="Emphasis"/>
    <w:basedOn w:val="DefaultParagraphFont"/>
    <w:next w:val="Emphasis"/>
    <w:autoRedefine w:val="0"/>
    <w:hidden w:val="0"/>
    <w:qFormat w:val="0"/>
    <w:rPr>
      <w:i w:val="1"/>
      <w:iCs w:val="1"/>
      <w:w w:val="100"/>
      <w:position w:val="-1"/>
      <w:effect w:val="none"/>
      <w:vertAlign w:val="baseline"/>
      <w:cs w:val="0"/>
      <w:em w:val="none"/>
      <w:lang/>
    </w:rPr>
  </w:style>
  <w:style w:type="paragraph" w:styleId="ref-text">
    <w:name w:val="ref-text"/>
    <w:basedOn w:val="Normal"/>
    <w:next w:val="ref-text"/>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lexisnexis.com/uk/legal/docview/getDocForCuiReq?lni=7V7Y-B6Y0-Y96Y-H13W&amp;csi=274665&amp;oc=00240&amp;perma=true&amp;elb=t" TargetMode="Externa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kenyala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