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2E45D" w14:textId="41BE1B48" w:rsidR="003E0558" w:rsidRPr="000F14E0" w:rsidRDefault="000F14E0" w:rsidP="000F14E0">
      <w:pPr>
        <w:ind w:firstLine="0"/>
        <w:jc w:val="center"/>
        <w:rPr>
          <w:b/>
          <w:bCs/>
        </w:rPr>
      </w:pPr>
      <w:r w:rsidRPr="000F14E0">
        <w:rPr>
          <w:b/>
          <w:bCs/>
        </w:rPr>
        <w:t>LPM ASSIGNMENT 2- QUESTION 3A</w:t>
      </w:r>
    </w:p>
    <w:p w14:paraId="35296EF3" w14:textId="2799C1D9" w:rsidR="000F14E0" w:rsidRDefault="000F14E0" w:rsidP="000F14E0">
      <w:pPr>
        <w:ind w:firstLine="0"/>
      </w:pPr>
      <w:r>
        <w:t>Regimes under which our law firm will operate under</w:t>
      </w:r>
      <w:r w:rsidR="00AA6D71">
        <w:t>.</w:t>
      </w:r>
    </w:p>
    <w:p w14:paraId="50AE5C6D" w14:textId="034025A8" w:rsidR="00AA6D71" w:rsidRDefault="00AA6D71" w:rsidP="000F14E0">
      <w:pPr>
        <w:ind w:firstLine="0"/>
      </w:pPr>
      <w:r>
        <w:t>Our interpretation of this question was the legal regimes which will govern the operationalization of our law firm. As such, these are the laws, rules, and policies that govern how advocates act and practice. They are as follows:</w:t>
      </w:r>
    </w:p>
    <w:p w14:paraId="69B64930" w14:textId="24C6169D" w:rsidR="00B168F4" w:rsidRPr="00B168F4" w:rsidRDefault="00596A23" w:rsidP="00B168F4">
      <w:pPr>
        <w:pStyle w:val="ListParagraph"/>
        <w:numPr>
          <w:ilvl w:val="0"/>
          <w:numId w:val="1"/>
        </w:numPr>
        <w:rPr>
          <w:b/>
          <w:bCs/>
        </w:rPr>
      </w:pPr>
      <w:r>
        <w:rPr>
          <w:b/>
          <w:bCs/>
        </w:rPr>
        <w:t xml:space="preserve">Advocate’s </w:t>
      </w:r>
      <w:r w:rsidR="00B168F4" w:rsidRPr="00B168F4">
        <w:rPr>
          <w:b/>
          <w:bCs/>
        </w:rPr>
        <w:t>Statutory Legislation</w:t>
      </w:r>
    </w:p>
    <w:p w14:paraId="0D237505" w14:textId="63EAC2DC" w:rsidR="00B168F4" w:rsidRDefault="00B168F4" w:rsidP="00E4129D">
      <w:pPr>
        <w:ind w:firstLine="0"/>
      </w:pPr>
      <w:r>
        <w:t xml:space="preserve">These include laws and rules passed by Parliament to govern advocates and their profession. These laws comprise of the </w:t>
      </w:r>
      <w:r w:rsidR="00AA6D71">
        <w:t xml:space="preserve">Advocates Act </w:t>
      </w:r>
      <w:r w:rsidR="00E4129D">
        <w:t xml:space="preserve">(CAP 16) </w:t>
      </w:r>
      <w:r w:rsidR="00AA6D71">
        <w:t>and its</w:t>
      </w:r>
      <w:r w:rsidR="00E4129D">
        <w:t xml:space="preserve"> current 17</w:t>
      </w:r>
      <w:r w:rsidR="00AA6D71">
        <w:t xml:space="preserve"> subsidiary legislations </w:t>
      </w:r>
      <w:r w:rsidR="00E4129D">
        <w:t xml:space="preserve">since the </w:t>
      </w:r>
      <w:r w:rsidR="00E4129D">
        <w:t>Advocates (Continuing Legal Education) Regulations</w:t>
      </w:r>
      <w:r w:rsidR="00E4129D">
        <w:t xml:space="preserve"> of</w:t>
      </w:r>
      <w:r w:rsidR="00E4129D">
        <w:t xml:space="preserve"> 2004 </w:t>
      </w:r>
      <w:r w:rsidR="00E4129D">
        <w:t xml:space="preserve">was revoked by the </w:t>
      </w:r>
      <w:r>
        <w:t>Advocates (Continuing Professional Development) Rules</w:t>
      </w:r>
      <w:r>
        <w:t xml:space="preserve"> </w:t>
      </w:r>
      <w:r w:rsidR="00E4129D">
        <w:t>of 2014.</w:t>
      </w:r>
      <w:r w:rsidR="00E4129D">
        <w:t xml:space="preserve"> </w:t>
      </w:r>
      <w:r>
        <w:t>These laws govern all aspects of an advocate from his qualification, registration, and daily practice. The subsidiary legislations operationalize the rules set in the Advocates Act by establishing operational procedure and policy framework. These will affect the running of the firm since they touch on various issues such as remuneration, advertising and marketing, legal staffing, accounting for financial accounts held by the firm,</w:t>
      </w:r>
      <w:r w:rsidR="00A070B3">
        <w:t xml:space="preserve"> professional misconduct and the disciplinary processes for such offences,</w:t>
      </w:r>
      <w:r>
        <w:t xml:space="preserve"> and legal documents that must be available for the firm to operate in legal work such as the advocates’ practicing certificates, </w:t>
      </w:r>
      <w:r w:rsidR="00A070B3">
        <w:t xml:space="preserve">law firm registration certificate, </w:t>
      </w:r>
      <w:r>
        <w:t xml:space="preserve">indemnity covers among others. </w:t>
      </w:r>
    </w:p>
    <w:p w14:paraId="4EF150AF" w14:textId="22921EED" w:rsidR="00AA6D71" w:rsidRDefault="00B168F4" w:rsidP="00E4129D">
      <w:pPr>
        <w:ind w:firstLine="0"/>
      </w:pPr>
      <w:r>
        <w:t xml:space="preserve">The list of subsidiary legislations include the following: </w:t>
      </w:r>
      <w:r w:rsidR="00AA6D71">
        <w:t>Advocates Remuneration Order</w:t>
      </w:r>
      <w:r w:rsidR="00E4129D">
        <w:t>,</w:t>
      </w:r>
      <w:r w:rsidR="00E4129D" w:rsidRPr="00E4129D">
        <w:t xml:space="preserve"> </w:t>
      </w:r>
      <w:r w:rsidR="00E4129D">
        <w:t>Advocates (Fees for Restoration to the Roll) Regulations, 1962</w:t>
      </w:r>
      <w:r w:rsidR="00E4129D">
        <w:t xml:space="preserve">, </w:t>
      </w:r>
      <w:r w:rsidR="00E4129D">
        <w:t xml:space="preserve"> Advocates (Remuneration) Order, 1962</w:t>
      </w:r>
      <w:r w:rsidR="00E4129D">
        <w:t xml:space="preserve">, </w:t>
      </w:r>
      <w:r w:rsidR="00E4129D">
        <w:t>Advocates (Accounts) Rules, 1966</w:t>
      </w:r>
      <w:r w:rsidR="00E4129D">
        <w:t xml:space="preserve">, </w:t>
      </w:r>
      <w:r w:rsidR="00E4129D">
        <w:t>Advocates (Practice) Rules, 1966</w:t>
      </w:r>
      <w:r w:rsidR="00E4129D">
        <w:t xml:space="preserve">, </w:t>
      </w:r>
      <w:r w:rsidR="00E4129D">
        <w:t>Advocates (Deposit interest) Rules, 1967</w:t>
      </w:r>
      <w:r w:rsidR="00E4129D">
        <w:t xml:space="preserve">, </w:t>
      </w:r>
      <w:r w:rsidR="00E4129D">
        <w:t>Advocates (Accountants certificate) Rules, 1967</w:t>
      </w:r>
      <w:r w:rsidR="00E4129D">
        <w:t>,</w:t>
      </w:r>
      <w:r w:rsidR="00E4129D">
        <w:t xml:space="preserve"> Advocates (Disciplinary Committee) Rules, 1990</w:t>
      </w:r>
      <w:r w:rsidR="00E4129D">
        <w:t>,</w:t>
      </w:r>
      <w:r w:rsidR="00E4129D">
        <w:t xml:space="preserve"> Advocates (Practising Certificates) (Fees) Rules, 2003</w:t>
      </w:r>
      <w:r w:rsidR="00E4129D">
        <w:t>,</w:t>
      </w:r>
      <w:r w:rsidR="00E4129D">
        <w:t xml:space="preserve"> </w:t>
      </w:r>
      <w:r w:rsidR="00E4129D">
        <w:lastRenderedPageBreak/>
        <w:t>Advocates (Complaints Commission) (Structure and Procedure) Rules, 2003</w:t>
      </w:r>
      <w:r w:rsidR="00E4129D">
        <w:t>,</w:t>
      </w:r>
      <w:r w:rsidR="00E4129D">
        <w:t xml:space="preserve"> Advocates (Professional Indemnity) Regulations, 2004</w:t>
      </w:r>
      <w:r w:rsidR="00E4129D">
        <w:t>,</w:t>
      </w:r>
      <w:r w:rsidR="00E4129D">
        <w:t xml:space="preserve"> Advocates (Senior Counsel Conferment and Privileges) Rules, 2011</w:t>
      </w:r>
      <w:r w:rsidR="00E4129D">
        <w:t>,</w:t>
      </w:r>
      <w:r w:rsidR="00E4129D">
        <w:t xml:space="preserve"> Advocates (Marketing and Advertising) Rules, 2014</w:t>
      </w:r>
      <w:r w:rsidR="00E4129D">
        <w:t>,</w:t>
      </w:r>
      <w:r w:rsidR="00E4129D">
        <w:t xml:space="preserve"> </w:t>
      </w:r>
      <w:bookmarkStart w:id="0" w:name="_Hlk128034054"/>
      <w:r>
        <w:t xml:space="preserve">and the </w:t>
      </w:r>
      <w:r w:rsidR="00E4129D">
        <w:t>Advocates (Continuing Professional Development) Rules, 2014</w:t>
      </w:r>
      <w:bookmarkEnd w:id="0"/>
      <w:r>
        <w:t>.</w:t>
      </w:r>
    </w:p>
    <w:p w14:paraId="5AB935D9" w14:textId="129C045B" w:rsidR="00B168F4" w:rsidRPr="00B168F4" w:rsidRDefault="00B168F4" w:rsidP="00B168F4">
      <w:pPr>
        <w:pStyle w:val="ListParagraph"/>
        <w:numPr>
          <w:ilvl w:val="0"/>
          <w:numId w:val="1"/>
        </w:numPr>
        <w:rPr>
          <w:b/>
          <w:bCs/>
        </w:rPr>
      </w:pPr>
      <w:r w:rsidRPr="00B168F4">
        <w:rPr>
          <w:b/>
          <w:bCs/>
        </w:rPr>
        <w:t>Professional Regulations</w:t>
      </w:r>
    </w:p>
    <w:p w14:paraId="28290D4E" w14:textId="5E5E3C2E" w:rsidR="00AA6D71" w:rsidRDefault="00A070B3" w:rsidP="000F14E0">
      <w:pPr>
        <w:ind w:firstLine="0"/>
      </w:pPr>
      <w:r>
        <w:t xml:space="preserve">These includes all statutory and soft law connected with the Law Society of Kenya which is the regulator of the law profession in Kenya. They include the Law of Society (LSK) Act, Act No. 21 of 2014. The laws include the </w:t>
      </w:r>
      <w:r w:rsidR="00AA6D71">
        <w:t xml:space="preserve">2016 Code of Standards of Professional Practice and Ethical Conduct, </w:t>
      </w:r>
      <w:r>
        <w:t xml:space="preserve">and </w:t>
      </w:r>
      <w:r w:rsidR="00E4129D">
        <w:t>the 2018 LSK (General) Regulations</w:t>
      </w:r>
      <w:r>
        <w:t xml:space="preserve"> which is a subsidiary of the LSK Act. These laws supplement the ones in the advocate act and majorly deal with regulating the advocates and lawyers to ensure they conform with all necessary laws especially the Advocates Act. The general regulations touch on registration of members and firms with LSK by use of relevant forms provided in the schedule. The </w:t>
      </w:r>
      <w:r w:rsidR="00596A23">
        <w:t xml:space="preserve">2016 code of ethics covers all the major aspects of an advocate’s or law firm’s operation especially in regards to their clients by legislating the right conduct and what constitutes professional misconduct. It supplements the laws on advertising, certificates, fees and client property, conflict of interest, advocate’s use of social media and external (non-legal) interests, professional undertakings, and the client management process. </w:t>
      </w:r>
    </w:p>
    <w:p w14:paraId="6037A4EC" w14:textId="16146ACF" w:rsidR="00596A23" w:rsidRPr="00596A23" w:rsidRDefault="00596A23" w:rsidP="00596A23">
      <w:pPr>
        <w:pStyle w:val="ListParagraph"/>
        <w:numPr>
          <w:ilvl w:val="0"/>
          <w:numId w:val="1"/>
        </w:numPr>
        <w:rPr>
          <w:b/>
          <w:bCs/>
        </w:rPr>
      </w:pPr>
      <w:r w:rsidRPr="00596A23">
        <w:rPr>
          <w:b/>
          <w:bCs/>
        </w:rPr>
        <w:t>Business Regulations</w:t>
      </w:r>
    </w:p>
    <w:p w14:paraId="285255F3" w14:textId="051033A6" w:rsidR="00596A23" w:rsidRDefault="00596A23" w:rsidP="000F14E0">
      <w:pPr>
        <w:ind w:firstLine="0"/>
      </w:pPr>
      <w:r>
        <w:t xml:space="preserve">Since the law firm is a registered business entity, it will be governed by the law relevant to its registration. Lawtellers LLP is a limited liability partnership hence will be </w:t>
      </w:r>
      <w:r w:rsidR="009B7885">
        <w:t xml:space="preserve">majorly </w:t>
      </w:r>
      <w:r>
        <w:t xml:space="preserve">under the Limited Liability Partnership Act, Act No. 42 of 2011 and </w:t>
      </w:r>
      <w:r w:rsidR="009B7885">
        <w:t xml:space="preserve">relevant provisions of </w:t>
      </w:r>
      <w:r>
        <w:t>the Partnership Act, Act No.</w:t>
      </w:r>
      <w:r w:rsidR="009B7885">
        <w:t xml:space="preserve"> 16 of 2012. The provisions in this act will determine the roles, remuneration, taxation, and liability of the partners of the law firm. </w:t>
      </w:r>
    </w:p>
    <w:sectPr w:rsidR="00596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4F4D2E"/>
    <w:multiLevelType w:val="hybridMultilevel"/>
    <w:tmpl w:val="4A74C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469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4E0"/>
    <w:rsid w:val="000F14E0"/>
    <w:rsid w:val="00546C60"/>
    <w:rsid w:val="005512C4"/>
    <w:rsid w:val="00596A23"/>
    <w:rsid w:val="00624239"/>
    <w:rsid w:val="00765C44"/>
    <w:rsid w:val="008951B2"/>
    <w:rsid w:val="009B7885"/>
    <w:rsid w:val="00A070B3"/>
    <w:rsid w:val="00A10563"/>
    <w:rsid w:val="00AA6D71"/>
    <w:rsid w:val="00B168F4"/>
    <w:rsid w:val="00D10993"/>
    <w:rsid w:val="00D51A32"/>
    <w:rsid w:val="00DA62B2"/>
    <w:rsid w:val="00E4129D"/>
    <w:rsid w:val="00E925EB"/>
    <w:rsid w:val="00F70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91A0"/>
  <w15:chartTrackingRefBased/>
  <w15:docId w15:val="{08532FFD-2054-4E91-A9E5-E411ADDAF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SimSun"/>
        <w:sz w:val="24"/>
        <w:szCs w:val="22"/>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8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2023-02-23T05:17:00Z</dcterms:created>
  <dcterms:modified xsi:type="dcterms:W3CDTF">2023-02-23T06:10:00Z</dcterms:modified>
</cp:coreProperties>
</file>