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6AE48"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1. Sumantlal Chunilal Desai v Mrs. McFee and Mrs. Cooper t/a Rhobel (Desai v Cooper) (1950) 214 KLR 32 </w:t>
      </w:r>
    </w:p>
    <w:p w14:paraId="0908FA25"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Civil case No. 85 of 1950 </w:t>
      </w:r>
    </w:p>
    <w:p w14:paraId="387105D4"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Summary of Facts </w:t>
      </w:r>
    </w:p>
    <w:p w14:paraId="62F96C2E"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plaintiff’s brother was the lessee of the ground floor of the shop and he sub-let a portion of the shop to Mrs. Pearse in 1944. The front and back portion of the shop were separated by a wooden partition. By that agreement, Mrs. Pearse was authorised to have not more than six tailors at the back portion of the shop. The agreement provided the timelines when the front door would be open to allow them to access the back portion. In 1949, Mrs. Pearse sold her dress making business and assigned her interest in the portion of the shop to the defendants. However, at this point there were some alterations at the partitioning. The plaintiff also took over from his brother as the tenant for the whole shop. They entered into an agreement where the plaintiff took a small portion from the back portion of the shop occupied by the defendants and reduced the rent. The defendants use of their portion was restricted as there was only one way of getting into their portion of the shop (through the front door) which was occupied by the plaintiff. </w:t>
      </w:r>
    </w:p>
    <w:p w14:paraId="15B81C92"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Issues for determination </w:t>
      </w:r>
    </w:p>
    <w:p w14:paraId="532CCA2E"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Whether the defendants are licensees or tenants or partly licensees and partly tenants of the portion of the premises they occupy. </w:t>
      </w:r>
    </w:p>
    <w:p w14:paraId="785528F0"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Analysis </w:t>
      </w:r>
    </w:p>
    <w:p w14:paraId="76108468"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court was of the view that it was the intention of the parties to create a lease in respect of the whole shop and a license in respect of the back portion of the premises. The court relied on Halsbury, Vol XX, Part 1 paragraph 5 to explain the distinction between a lease and a license. It provided that a license would arise where a party only has the right to use the premises without exclusive possession. The owner retains possession and control of the property. On the other hand, a lease would arise where there is exclusive right of occupation subject to certain reservations. </w:t>
      </w:r>
    </w:p>
    <w:p w14:paraId="72B4887B"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defendants argued that they are tenants with respect to the portion of the premises that they use exclusively, and licensees with respect to the part that they share with the plaintiff. The court relied on the case of </w:t>
      </w:r>
      <w:r w:rsidRPr="0064110B">
        <w:rPr>
          <w:rFonts w:ascii="TimesNewRomanPS" w:eastAsia="Times New Roman" w:hAnsi="TimesNewRomanPS" w:cs="Times New Roman"/>
          <w:i/>
          <w:iCs/>
          <w:lang w:eastAsia="en-GB"/>
        </w:rPr>
        <w:t xml:space="preserve">Karamat Ali v Champion Shoe Co </w:t>
      </w:r>
      <w:r w:rsidRPr="0064110B">
        <w:rPr>
          <w:rFonts w:ascii="TimesNewRomanPSMT" w:eastAsia="Times New Roman" w:hAnsi="TimesNewRomanPSMT" w:cs="Times New Roman"/>
          <w:lang w:eastAsia="en-GB"/>
        </w:rPr>
        <w:t xml:space="preserve">which had almost similar facts to this case. </w:t>
      </w:r>
    </w:p>
    <w:p w14:paraId="12E4DCE2" w14:textId="08F9BF89" w:rsidR="0064110B" w:rsidRPr="0064110B" w:rsidRDefault="0064110B" w:rsidP="0064110B">
      <w:pPr>
        <w:rPr>
          <w:rFonts w:ascii="Times New Roman" w:eastAsia="Times New Roman" w:hAnsi="Times New Roman" w:cs="Times New Roman"/>
          <w:lang w:eastAsia="en-GB"/>
        </w:rPr>
      </w:pP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"/var/folders/5x/kfl_db_s7k3_v6s3_wtcwtjc0000gn/T/com.microsoft.Word/WebArchiveCopyPasteTempFiles/page1image1999808"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7F2E6A29" wp14:editId="78379FC8">
            <wp:extent cx="5486400" cy="9525"/>
            <wp:effectExtent l="0" t="0" r="0" b="3175"/>
            <wp:docPr id="23" name="Picture 23" descr="page1image1999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199980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6400"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"/var/folders/5x/kfl_db_s7k3_v6s3_wtcwtjc0000gn/T/com.microsoft.Word/WebArchiveCopyPasteTempFiles/page1image2002112"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32ABA1EE" wp14:editId="0A9E4C55">
            <wp:extent cx="1231900" cy="9525"/>
            <wp:effectExtent l="0" t="0" r="0" b="3175"/>
            <wp:docPr id="22" name="Picture 22" descr="page1image200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20021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1900"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"/var/folders/5x/kfl_db_s7k3_v6s3_wtcwtjc0000gn/T/com.microsoft.Word/WebArchiveCopyPasteTempFiles/page1image1999424"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7D6FE4D3" wp14:editId="722AF5E1">
            <wp:extent cx="1576705" cy="9525"/>
            <wp:effectExtent l="0" t="0" r="0" b="3175"/>
            <wp:docPr id="21" name="Picture 21" descr="page1image1999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1image19994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76705"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"/var/folders/5x/kfl_db_s7k3_v6s3_wtcwtjc0000gn/T/com.microsoft.Word/WebArchiveCopyPasteTempFiles/page1image2005184"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48AA69CA" wp14:editId="0C0E1772">
            <wp:extent cx="1194435" cy="9525"/>
            <wp:effectExtent l="0" t="0" r="0" b="3175"/>
            <wp:docPr id="20" name="Picture 20" descr="page1image200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1image20051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4435"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"/var/folders/5x/kfl_db_s7k3_v6s3_wtcwtjc0000gn/T/com.microsoft.Word/WebArchiveCopyPasteTempFiles/page1image2004800"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4CA93D07" wp14:editId="4DE4C554">
            <wp:extent cx="1576705" cy="9525"/>
            <wp:effectExtent l="0" t="0" r="0" b="3175"/>
            <wp:docPr id="19" name="Picture 19" descr="page1image2004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1image20048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76705"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"/var/folders/5x/kfl_db_s7k3_v6s3_wtcwtjc0000gn/T/com.microsoft.Word/WebArchiveCopyPasteTempFiles/page1image2005376"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13971CCC" wp14:editId="77081B3B">
            <wp:extent cx="550545" cy="9525"/>
            <wp:effectExtent l="0" t="0" r="0" b="3175"/>
            <wp:docPr id="18" name="Picture 18" descr="page1image2005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ge1image20053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545"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p>
    <w:p w14:paraId="70FA89DD"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In that case, the dependants did not have a key and they relied on the plaintiffs to access their portion. The court found that the defendants were licensees. </w:t>
      </w:r>
    </w:p>
    <w:p w14:paraId="5687D33A"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Determination </w:t>
      </w:r>
    </w:p>
    <w:p w14:paraId="33BF404C"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lastRenderedPageBreak/>
        <w:t xml:space="preserve">The court found that in determining whether a person has a lease or a license, it is dependent on whether he has exclusive possession or exclusive use of the premises. In this case, the defendant did not have exclusive use of the portion of the premises. They were thus licensees and not tenants. The judgement was entered for the plaintiff. </w:t>
      </w:r>
    </w:p>
    <w:p w14:paraId="4B12707C"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Opinion </w:t>
      </w:r>
    </w:p>
    <w:p w14:paraId="1D722CD3"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We agree with the decision of the court as it clearly distinguished between situations when a lease or a license may arise. The distinguishing feature, in this case, being exclusive possession for a lease and exclusive use for a licence. </w:t>
      </w:r>
    </w:p>
    <w:p w14:paraId="402E6415"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2. RUNDA COFFEE ESTATE VS UJAGAR SINGH [1966] EA 564 Court of Appeal, Nairobi</w:t>
      </w:r>
      <w:r w:rsidRPr="0064110B">
        <w:rPr>
          <w:rFonts w:ascii="TimesNewRomanPS" w:eastAsia="Times New Roman" w:hAnsi="TimesNewRomanPS" w:cs="Times New Roman"/>
          <w:b/>
          <w:bCs/>
          <w:lang w:eastAsia="en-GB"/>
        </w:rPr>
        <w:br/>
        <w:t>Civil Appeal No. 8 of 1966</w:t>
      </w:r>
      <w:r w:rsidRPr="0064110B">
        <w:rPr>
          <w:rFonts w:ascii="TimesNewRomanPS" w:eastAsia="Times New Roman" w:hAnsi="TimesNewRomanPS" w:cs="Times New Roman"/>
          <w:b/>
          <w:bCs/>
          <w:lang w:eastAsia="en-GB"/>
        </w:rPr>
        <w:br/>
        <w:t xml:space="preserve">Summary of facts </w:t>
      </w:r>
    </w:p>
    <w:p w14:paraId="4EC253C4"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appellant sued for recovery of possession of a structure built on his farm by the defendant’s father. The defendant had continued in possession of the land after his father’s death. He relied on a license agreement made orally by his father and the appellant’s first predecessor in title that he would remain in possession of the combined house and shop until compensation was made. </w:t>
      </w:r>
    </w:p>
    <w:p w14:paraId="101473C0"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terms of the agreement were in English; a language that neither the defendant nor his father could understand. It was also unclear, from the minutes of the meeting held, whether the license agreement was personal to the defendant’s father only and also if it could be terminated once the farm was sold to another party. The farm was later sold to the appellant’s third predecessor in title with a notice indicating the right to compensation. The appellant then purchased the land and a notice was issued to him regarding his obligations to the right of compensation. </w:t>
      </w:r>
    </w:p>
    <w:p w14:paraId="7BA955A7"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It was the defendant’s argument that the appellant had no right to terminate the license without compensation for the expenses his father incurred in the expectation of being allowed to stay on </w:t>
      </w:r>
    </w:p>
    <w:p w14:paraId="2A47DDC2" w14:textId="4CBB9F86" w:rsidR="0064110B" w:rsidRPr="0064110B" w:rsidRDefault="0064110B" w:rsidP="0064110B">
      <w:pPr>
        <w:rPr>
          <w:rFonts w:ascii="Times New Roman" w:eastAsia="Times New Roman" w:hAnsi="Times New Roman" w:cs="Times New Roman"/>
          <w:lang w:eastAsia="en-GB"/>
        </w:rPr>
      </w:pP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"/var/folders/5x/kfl_db_s7k3_v6s3_wtcwtjc0000gn/T/com.microsoft.Word/WebArchiveCopyPasteTempFiles/page2image1947904"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27387D20" wp14:editId="724E9BCB">
            <wp:extent cx="942340" cy="9525"/>
            <wp:effectExtent l="0" t="0" r="0" b="3175"/>
            <wp:docPr id="17" name="Picture 17" descr="page2image194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2image19479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2340"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"/var/folders/5x/kfl_db_s7k3_v6s3_wtcwtjc0000gn/T/com.microsoft.Word/WebArchiveCopyPasteTempFiles/page2image1940224"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3D250540" wp14:editId="6231D4C9">
            <wp:extent cx="532130" cy="9525"/>
            <wp:effectExtent l="0" t="0" r="1270" b="3175"/>
            <wp:docPr id="16" name="Picture 16" descr="page2image194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ge2image19402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130"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"/var/folders/5x/kfl_db_s7k3_v6s3_wtcwtjc0000gn/T/com.microsoft.Word/WebArchiveCopyPasteTempFiles/page2image1944640"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50472CCF" wp14:editId="196660F8">
            <wp:extent cx="4245610" cy="9525"/>
            <wp:effectExtent l="0" t="0" r="0" b="3175"/>
            <wp:docPr id="15" name="Picture 15" descr="page2image194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ge2image19446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5610"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"/var/folders/5x/kfl_db_s7k3_v6s3_wtcwtjc0000gn/T/com.microsoft.Word/WebArchiveCopyPasteTempFiles/page2image1945408"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558EE2C1" wp14:editId="691539DC">
            <wp:extent cx="1147445" cy="9525"/>
            <wp:effectExtent l="0" t="0" r="0" b="3175"/>
            <wp:docPr id="14" name="Picture 14" descr="page2image1945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ge2image19454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7445"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p>
    <w:p w14:paraId="22131925"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farm. The trial judge held that the plaintiff had the obligation to compensate the defendant as per section 40 of the Transfer of Property Act. </w:t>
      </w:r>
    </w:p>
    <w:p w14:paraId="51B866B9"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Before this court, the appellant argued that license agreement was personal to the defendant’s father and should have been terminated on the first sale of the farm in 1956. The defendant argued that the agreement extended to him as his father’s successor. </w:t>
      </w:r>
    </w:p>
    <w:p w14:paraId="2A49AF95"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Issues for determination </w:t>
      </w:r>
    </w:p>
    <w:p w14:paraId="67E1C1F1"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(a) Whether the defendant had any right to compensation by the Plaintiff. </w:t>
      </w:r>
    </w:p>
    <w:p w14:paraId="5ADA1A15"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lastRenderedPageBreak/>
        <w:t xml:space="preserve">(b) Whether the plaintiff, on account of the license agreement between the defendant’s father and the plaintiff’s first predecessor in title, could be estopped from recovering possession of the building from the defendant. </w:t>
      </w:r>
    </w:p>
    <w:p w14:paraId="7C27882B"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Applicable Law </w:t>
      </w:r>
    </w:p>
    <w:p w14:paraId="139FD315"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Transfer of Property Act </w:t>
      </w:r>
    </w:p>
    <w:p w14:paraId="75719109"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Analysis </w:t>
      </w:r>
    </w:p>
    <w:p w14:paraId="20D60041"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(a) Whether the defendant had any right to compensation by the Plaintiff. </w:t>
      </w:r>
    </w:p>
    <w:p w14:paraId="4CD48C5D"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court relied on the case of </w:t>
      </w:r>
      <w:r w:rsidRPr="0064110B">
        <w:rPr>
          <w:rFonts w:ascii="TimesNewRomanPS" w:eastAsia="Times New Roman" w:hAnsi="TimesNewRomanPS" w:cs="Times New Roman"/>
          <w:i/>
          <w:iCs/>
          <w:lang w:eastAsia="en-GB"/>
        </w:rPr>
        <w:t xml:space="preserve">Ramsden vs. Dyson [1866] </w:t>
      </w:r>
      <w:r w:rsidRPr="0064110B">
        <w:rPr>
          <w:rFonts w:ascii="TimesNewRomanPSMT" w:eastAsia="Times New Roman" w:hAnsi="TimesNewRomanPSMT" w:cs="Times New Roman"/>
          <w:lang w:eastAsia="en-GB"/>
        </w:rPr>
        <w:t xml:space="preserve">where it was stated that no claim by a tenant who incurred expenses in the hope of being allowed to stay on a piece of land can be enforced in an instance where the landlord did not encourage such tenant to continually stay on the said land. In the case at hand, it was found that whatever the nature of the agreement the defendant’s father had made, the defendant still could not recover the costs he incurred. </w:t>
      </w:r>
    </w:p>
    <w:p w14:paraId="1119A1F5"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court held that there was no contractual obligation to compensate the defendant for the expenses his father incurred so as to be allowed to stay on the suit land. It had been clearly intimated to the defendant’s father that any expenses he would incur were to be on him. Since the father could not be compensated on the expenses incurred, the same could not be extended to the son. </w:t>
      </w:r>
    </w:p>
    <w:p w14:paraId="1F66E323"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As to whether the defendant had a right of compensation under section 40 of the Transfer of Property Act, it was held that a license cannot be assigned to a third party. Therefore, should the right of compensation have been available to the father, it could not be extended to the son. </w:t>
      </w:r>
    </w:p>
    <w:p w14:paraId="492472DB" w14:textId="0D93CAFF" w:rsidR="0064110B" w:rsidRPr="0064110B" w:rsidRDefault="0064110B" w:rsidP="0064110B">
      <w:pPr>
        <w:rPr>
          <w:rFonts w:ascii="Times New Roman" w:eastAsia="Times New Roman" w:hAnsi="Times New Roman" w:cs="Times New Roman"/>
          <w:lang w:eastAsia="en-GB"/>
        </w:rPr>
      </w:pP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"/var/folders/5x/kfl_db_s7k3_v6s3_wtcwtjc0000gn/T/com.microsoft.Word/WebArchiveCopyPasteTempFiles/page3image1944448"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659DF2FB" wp14:editId="3F6E8291">
            <wp:extent cx="1576705" cy="9525"/>
            <wp:effectExtent l="0" t="0" r="0" b="3175"/>
            <wp:docPr id="13" name="Picture 13" descr="page3image1944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ge3image19444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76705"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"/var/folders/5x/kfl_db_s7k3_v6s3_wtcwtjc0000gn/T/com.microsoft.Word/WebArchiveCopyPasteTempFiles/page3image1870272"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777F8476" wp14:editId="46881E24">
            <wp:extent cx="1026160" cy="9525"/>
            <wp:effectExtent l="0" t="0" r="2540" b="3175"/>
            <wp:docPr id="12" name="Picture 12" descr="page3image187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age3image18702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26160"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"/var/folders/5x/kfl_db_s7k3_v6s3_wtcwtjc0000gn/T/com.microsoft.Word/WebArchiveCopyPasteTempFiles/page3image1873152"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720997AD" wp14:editId="22EF46DE">
            <wp:extent cx="550545" cy="9525"/>
            <wp:effectExtent l="0" t="0" r="0" b="3175"/>
            <wp:docPr id="11" name="Picture 11" descr="page3image187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ge3image18731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545"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"/var/folders/5x/kfl_db_s7k3_v6s3_wtcwtjc0000gn/T/com.microsoft.Word/WebArchiveCopyPasteTempFiles/page3image1870656"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750CCEF1" wp14:editId="7BF2A27A">
            <wp:extent cx="4572000" cy="9525"/>
            <wp:effectExtent l="0" t="0" r="0" b="3175"/>
            <wp:docPr id="10" name="Picture 10" descr="page3image1870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age3image18706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p>
    <w:p w14:paraId="16571DCB"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(b) Whether the appellant, on account of the license agreement between the defendant’s father and the plaintiff’s first predecessor in title, could be estopped from recovering possession of the building from the defendant. </w:t>
      </w:r>
    </w:p>
    <w:p w14:paraId="271EAD3E"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court found that the defendant’s father’s right to estoppel did not give him any title to the building. The father could not then pass title to his son by operation of law. The judge relied on the case of </w:t>
      </w:r>
      <w:r w:rsidRPr="0064110B">
        <w:rPr>
          <w:rFonts w:ascii="TimesNewRomanPS" w:eastAsia="Times New Roman" w:hAnsi="TimesNewRomanPS" w:cs="Times New Roman"/>
          <w:i/>
          <w:iCs/>
          <w:lang w:eastAsia="en-GB"/>
        </w:rPr>
        <w:t xml:space="preserve">Errington vs Errington </w:t>
      </w:r>
      <w:r w:rsidRPr="0064110B">
        <w:rPr>
          <w:rFonts w:ascii="TimesNewRomanPSMT" w:eastAsia="Times New Roman" w:hAnsi="TimesNewRomanPSMT" w:cs="Times New Roman"/>
          <w:lang w:eastAsia="en-GB"/>
        </w:rPr>
        <w:t xml:space="preserve">where it was held, </w:t>
      </w:r>
    </w:p>
    <w:p w14:paraId="5EE8FBB6"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i/>
          <w:iCs/>
          <w:lang w:eastAsia="en-GB"/>
        </w:rPr>
        <w:t xml:space="preserve">“...of persons who by permission were occupying a building in respect of which they expended a sum of money, they were not tenants at will, but licensees. They had a mere personal privilege to remain there with no right to assign or sub-let.” </w:t>
      </w:r>
    </w:p>
    <w:p w14:paraId="2B0D6D4E"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It was held that the nature of the licence was personal to the father. The appellant could not then be estopped from terminating the defendant’s occupation of the land. The defendant had been in wrongful possession of the land and thus the plaintiff was entitled to mesne profits amounting to Kshs. 1500/=. </w:t>
      </w:r>
    </w:p>
    <w:p w14:paraId="3D270A4D"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lastRenderedPageBreak/>
        <w:t xml:space="preserve">Determination </w:t>
      </w:r>
    </w:p>
    <w:p w14:paraId="1DC2F1F5"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This was a revocable license that could be terminated on the death of either party or on sale of the land. The Appellants could terminate the defendant’s occupation of the building without compensating him. The appeal was allowed. </w:t>
      </w:r>
    </w:p>
    <w:p w14:paraId="5AC91081"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Conclusion </w:t>
      </w:r>
    </w:p>
    <w:p w14:paraId="6E8B1028"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This case elucidates on whether the licensee’s rights can be assigned to a 3</w:t>
      </w:r>
      <w:r w:rsidRPr="0064110B">
        <w:rPr>
          <w:rFonts w:ascii="TimesNewRomanPSMT" w:eastAsia="Times New Roman" w:hAnsi="TimesNewRomanPSMT" w:cs="Times New Roman"/>
          <w:position w:val="8"/>
          <w:sz w:val="16"/>
          <w:szCs w:val="16"/>
          <w:lang w:eastAsia="en-GB"/>
        </w:rPr>
        <w:t xml:space="preserve">rd </w:t>
      </w:r>
      <w:r w:rsidRPr="0064110B">
        <w:rPr>
          <w:rFonts w:ascii="TimesNewRomanPSMT" w:eastAsia="Times New Roman" w:hAnsi="TimesNewRomanPSMT" w:cs="Times New Roman"/>
          <w:lang w:eastAsia="en-GB"/>
        </w:rPr>
        <w:t xml:space="preserve">Party. </w:t>
      </w:r>
    </w:p>
    <w:p w14:paraId="67F7D2ED"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3. </w:t>
      </w:r>
      <w:r w:rsidRPr="0064110B">
        <w:rPr>
          <w:rFonts w:ascii="TimesNewRomanPS" w:eastAsia="Times New Roman" w:hAnsi="TimesNewRomanPS" w:cs="Times New Roman"/>
          <w:b/>
          <w:bCs/>
          <w:lang w:eastAsia="en-GB"/>
        </w:rPr>
        <w:t>STREET v MOUNTFORD (</w:t>
      </w:r>
      <w:r w:rsidRPr="0064110B">
        <w:rPr>
          <w:rFonts w:ascii="TimesNewRomanPSMT" w:eastAsia="Times New Roman" w:hAnsi="TimesNewRomanPSMT" w:cs="Times New Roman"/>
          <w:lang w:eastAsia="en-GB"/>
        </w:rPr>
        <w:t xml:space="preserve">1985) 2 WLR 877 </w:t>
      </w:r>
    </w:p>
    <w:p w14:paraId="2963CCCE"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SymbolMT" w:eastAsia="Times New Roman" w:hAnsi="SymbolMT" w:cs="Times New Roman"/>
          <w:lang w:eastAsia="en-GB"/>
        </w:rPr>
        <w:t xml:space="preserve">• </w:t>
      </w:r>
      <w:r w:rsidRPr="0064110B">
        <w:rPr>
          <w:rFonts w:ascii="TimesNewRomanPS" w:eastAsia="Times New Roman" w:hAnsi="TimesNewRomanPS" w:cs="Times New Roman"/>
          <w:b/>
          <w:bCs/>
          <w:shd w:val="clear" w:color="auto" w:fill="FFFFFF"/>
          <w:lang w:eastAsia="en-GB"/>
        </w:rPr>
        <w:t xml:space="preserve">Summary of Facts </w:t>
      </w:r>
    </w:p>
    <w:p w14:paraId="74B4B43A"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shd w:val="clear" w:color="auto" w:fill="FFFFFF"/>
          <w:lang w:eastAsia="en-GB"/>
        </w:rPr>
        <w:t xml:space="preserve">Mr Street, by an agreement which stated that it was a licence, granted Mrs Mountford the right to occupy rooms for a rent of </w:t>
      </w:r>
      <w:r w:rsidRPr="0064110B">
        <w:rPr>
          <w:rFonts w:ascii="TimesNewRomanPSMT" w:eastAsia="Times New Roman" w:hAnsi="TimesNewRomanPSMT" w:cs="Times New Roman"/>
          <w:color w:val="1E1E21"/>
          <w:sz w:val="22"/>
          <w:szCs w:val="22"/>
          <w:lang w:eastAsia="en-GB"/>
        </w:rPr>
        <w:t>£</w:t>
      </w:r>
      <w:r w:rsidRPr="0064110B">
        <w:rPr>
          <w:rFonts w:ascii="TimesNewRomanPSMT" w:eastAsia="Times New Roman" w:hAnsi="TimesNewRomanPSMT" w:cs="Times New Roman"/>
          <w:shd w:val="clear" w:color="auto" w:fill="FFFFFF"/>
          <w:lang w:eastAsia="en-GB"/>
        </w:rPr>
        <w:t xml:space="preserve">37.00 per week. The terms of the agreement included that Mr Street could enter the rooms at any time to inspect, to read the meter, to carryout maintenance and install or replace furniture, or for any other reasonable purpose. </w:t>
      </w:r>
    </w:p>
    <w:p w14:paraId="53731A84" w14:textId="17EC7838" w:rsidR="0064110B" w:rsidRPr="0064110B" w:rsidRDefault="0064110B" w:rsidP="0064110B">
      <w:pPr>
        <w:rPr>
          <w:rFonts w:ascii="Times New Roman" w:eastAsia="Times New Roman" w:hAnsi="Times New Roman" w:cs="Times New Roman"/>
          <w:lang w:eastAsia="en-GB"/>
        </w:rPr>
      </w:pP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"/var/folders/5x/kfl_db_s7k3_v6s3_wtcwtjc0000gn/T/com.microsoft.Word/WebArchiveCopyPasteTempFiles/page4image1873344"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076BE093" wp14:editId="1130CB1B">
            <wp:extent cx="5710555" cy="9525"/>
            <wp:effectExtent l="0" t="0" r="4445" b="3175"/>
            <wp:docPr id="9" name="Picture 9" descr="page4image1873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age4image18733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0555"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"/var/folders/5x/kfl_db_s7k3_v6s3_wtcwtjc0000gn/T/com.microsoft.Word/WebArchiveCopyPasteTempFiles/page4image1982464"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509325F7" wp14:editId="213D768F">
            <wp:extent cx="5731510" cy="8890"/>
            <wp:effectExtent l="0" t="0" r="0" b="3810"/>
            <wp:docPr id="8" name="Picture 8" descr="page4image198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age4image19824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8890"/>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"/var/folders/5x/kfl_db_s7k3_v6s3_wtcwtjc0000gn/T/com.microsoft.Word/WebArchiveCopyPasteTempFiles/page4image1982656"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38246845" wp14:editId="0C4A1C6E">
            <wp:extent cx="2985770" cy="9525"/>
            <wp:effectExtent l="0" t="0" r="0" b="3175"/>
            <wp:docPr id="7" name="Picture 7" descr="page4image198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ge4image19826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85770"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"/var/folders/5x/kfl_db_s7k3_v6s3_wtcwtjc0000gn/T/com.microsoft.Word/WebArchiveCopyPasteTempFiles/page4image1982848"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67C0FC5A" wp14:editId="460C8CC9">
            <wp:extent cx="942340" cy="9525"/>
            <wp:effectExtent l="0" t="0" r="0" b="3175"/>
            <wp:docPr id="6" name="Picture 6" descr="page4image1982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age4image19828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2340"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"/var/folders/5x/kfl_db_s7k3_v6s3_wtcwtjc0000gn/T/com.microsoft.Word/WebArchiveCopyPasteTempFiles/page4image1983040"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719DE800" wp14:editId="4483D1C8">
            <wp:extent cx="727710" cy="9525"/>
            <wp:effectExtent l="0" t="0" r="0" b="3175"/>
            <wp:docPr id="5" name="Picture 5" descr="page4image198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age4image19830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7710"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p>
    <w:p w14:paraId="01CD2721"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shd w:val="clear" w:color="auto" w:fill="FFFFFF"/>
          <w:lang w:eastAsia="en-GB"/>
        </w:rPr>
        <w:t xml:space="preserve">Furthermore, no one other than Mrs Mountford could occupy or sleep in the room without permission and no children or pets were allowed. The licence could be terminated by 14 days’ written notice. </w:t>
      </w:r>
    </w:p>
    <w:p w14:paraId="3662C30E"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shd w:val="clear" w:color="auto" w:fill="FFFFFF"/>
          <w:lang w:eastAsia="en-GB"/>
        </w:rPr>
        <w:t xml:space="preserve">The agreement also stated that the licence did not and was not intended to give a tenancy, and conferred no protection from the Landlord and Tenant Act 1954. It was also labelled as ‘license agreement.’ </w:t>
      </w:r>
    </w:p>
    <w:p w14:paraId="05E1AE0F"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shd w:val="clear" w:color="auto" w:fill="FFFFFF"/>
          <w:lang w:eastAsia="en-GB"/>
        </w:rPr>
        <w:t xml:space="preserve">Mrs. Mountford however, contended that this was a tenancy and not a licence. But Mr. Street argued that an occupier granted exclusive possession for a term at rent can nevertheless be a licensee based on the intention of the parties </w:t>
      </w:r>
    </w:p>
    <w:p w14:paraId="3DDF21E2"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shd w:val="clear" w:color="auto" w:fill="FFFFFF"/>
          <w:lang w:eastAsia="en-GB"/>
        </w:rPr>
        <w:t xml:space="preserve">Issue for determination </w:t>
      </w:r>
    </w:p>
    <w:p w14:paraId="3423A9ED"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shd w:val="clear" w:color="auto" w:fill="FFFFFF"/>
          <w:lang w:eastAsia="en-GB"/>
        </w:rPr>
        <w:t xml:space="preserve">The question for the court was whether the agreement was a licence or lease agreement. </w:t>
      </w:r>
    </w:p>
    <w:p w14:paraId="573AC63C"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Determination </w:t>
      </w:r>
    </w:p>
    <w:p w14:paraId="04D3BD2C"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shd w:val="clear" w:color="auto" w:fill="FFFFFF"/>
          <w:lang w:eastAsia="en-GB"/>
        </w:rPr>
        <w:t xml:space="preserve">The Court held that the agreement was a lease. This was because Mrs. Mountford had exclusive possession at a term that was fixed and paid rent to the Landlord. This was evidence that a Lease had been granted to the Tenant (Mrs. Mountford). </w:t>
      </w:r>
    </w:p>
    <w:p w14:paraId="4A0CFE80"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shd w:val="clear" w:color="auto" w:fill="FFFFFF"/>
          <w:lang w:eastAsia="en-GB"/>
        </w:rPr>
        <w:t xml:space="preserve">Lord Templeman further provided a test for distinguishing between a tenancy and a license of land, and noted that the distinction lies in the ‘grant of land for a term at a rent with exclusive possession.’ </w:t>
      </w:r>
    </w:p>
    <w:p w14:paraId="6F8C5335"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shd w:val="clear" w:color="auto" w:fill="FFFFFF"/>
          <w:lang w:eastAsia="en-GB"/>
        </w:rPr>
        <w:t xml:space="preserve">Case relevance </w:t>
      </w:r>
    </w:p>
    <w:p w14:paraId="756108DE"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shd w:val="clear" w:color="auto" w:fill="FFFFFF"/>
          <w:lang w:eastAsia="en-GB"/>
        </w:rPr>
        <w:lastRenderedPageBreak/>
        <w:t xml:space="preserve">This case provides a test to be able to distinguish between a licence and a lease. Furthermore, the test assists with detecting leases disguised as licences as is in the case before us. </w:t>
      </w:r>
    </w:p>
    <w:p w14:paraId="269E2D27"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4. PAUL HECHT V S. T. MORGAN [H.M. SUPREME COURT OF KENYA AT NAIROBI (MacDuff, J), May 6 and June 15, 1957] </w:t>
      </w:r>
    </w:p>
    <w:p w14:paraId="1D36F86D"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CIVIL APPEAL NO. 31 OF 1956 Summary of Facts </w:t>
      </w:r>
    </w:p>
    <w:p w14:paraId="60E53D78" w14:textId="6B706C49" w:rsidR="0064110B" w:rsidRPr="0064110B" w:rsidRDefault="0064110B" w:rsidP="0064110B">
      <w:pPr>
        <w:rPr>
          <w:rFonts w:ascii="Times New Roman" w:eastAsia="Times New Roman" w:hAnsi="Times New Roman" w:cs="Times New Roman"/>
          <w:lang w:eastAsia="en-GB"/>
        </w:rPr>
      </w:pP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"/var/folders/5x/kfl_db_s7k3_v6s3_wtcwtjc0000gn/T/com.microsoft.Word/WebArchiveCopyPasteTempFiles/page5image1858688"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51DA4A00" wp14:editId="02435069">
            <wp:extent cx="942340" cy="9525"/>
            <wp:effectExtent l="0" t="0" r="0" b="3175"/>
            <wp:docPr id="4" name="Picture 4" descr="page5image185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age5image18586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2340"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"/var/folders/5x/kfl_db_s7k3_v6s3_wtcwtjc0000gn/T/com.microsoft.Word/WebArchiveCopyPasteTempFiles/page5image1861184"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3E55C189" wp14:editId="2C3F31A3">
            <wp:extent cx="1194435" cy="9525"/>
            <wp:effectExtent l="0" t="0" r="0" b="3175"/>
            <wp:docPr id="3" name="Picture 3" descr="page5image186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age5image18611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4435"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p>
    <w:p w14:paraId="5574168F"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appellant and respondent had entered into an agreement wherein the appellant took on the respondent, his wife and child as “paying guests’ in a flat that was part of a building. </w:t>
      </w:r>
    </w:p>
    <w:p w14:paraId="6192505A"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arrangement was such that the respondent was to pay a “price” of Shs 600 per month and there was a provision for the termination of the occupation by either party giving notice four weeks prior to the last day of the month. </w:t>
      </w:r>
    </w:p>
    <w:p w14:paraId="452175D2"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flat was a self-contained lock-up flat consisting of a living room, bedroom, bathroom and kitchen. The door between this portion of the building and the remainder of the building which was occupied by the appellant was permanently locked. The flat had a separate front door leading into the living room and a separate back door leading into the kitchen. </w:t>
      </w:r>
    </w:p>
    <w:p w14:paraId="2FB1CD0F"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agreement provided that the Shs 600 price was without bed linen and towels and without breakfast, but included early morning tea, electric power water and bath as well as part service. The appellant was also to use the bathroom in the premises twice a week. </w:t>
      </w:r>
    </w:p>
    <w:p w14:paraId="53149522"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respondent had lodged a complaint with the Central Rent Control Board against the appellant as his landlord in relation to a rent issue. </w:t>
      </w:r>
    </w:p>
    <w:p w14:paraId="57AA2DA4"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appellant responded to the complaint arguing, </w:t>
      </w:r>
      <w:r w:rsidRPr="0064110B">
        <w:rPr>
          <w:rFonts w:ascii="TimesNewRomanPS" w:eastAsia="Times New Roman" w:hAnsi="TimesNewRomanPS" w:cs="Times New Roman"/>
          <w:i/>
          <w:iCs/>
          <w:lang w:eastAsia="en-GB"/>
        </w:rPr>
        <w:t>inter alia</w:t>
      </w:r>
      <w:r w:rsidRPr="0064110B">
        <w:rPr>
          <w:rFonts w:ascii="TimesNewRomanPSMT" w:eastAsia="Times New Roman" w:hAnsi="TimesNewRomanPSMT" w:cs="Times New Roman"/>
          <w:lang w:eastAsia="en-GB"/>
        </w:rPr>
        <w:t xml:space="preserve">, that his relationship to the respondent was one of a licensee rather than a tenancy relationship. As such, the appellant argued that the board lacked jurisdiction to determine the dispute given that it was disputed whether there was a tenancy relationship or not. </w:t>
      </w:r>
    </w:p>
    <w:p w14:paraId="36A5C2D2"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board inter alia found in favor of the respondent that there was a tenancy relationship between the appellant and respondent. </w:t>
      </w:r>
    </w:p>
    <w:p w14:paraId="102FCEC1"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On appeal, the appellant relied on the definition of the respondent as “paying guests” in the agreement with the supply of morning tea and provision of “part services” to argue that the respondent was not a tenant but a licensee. </w:t>
      </w:r>
    </w:p>
    <w:p w14:paraId="151B7B23"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appellant argued that, instead, the respondent had exclusive use of the premises rather than exclusive possession as would be the case in a tenancy relationship. </w:t>
      </w:r>
    </w:p>
    <w:p w14:paraId="5A4FA9F5"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respondent had argued that he signed the agreement because he was desperate for accommodation and therefore paid no attention to the fact he was described as a “paying guest” although he knew he could not be so considered. </w:t>
      </w:r>
    </w:p>
    <w:p w14:paraId="3D37F758"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Issues for determination </w:t>
      </w:r>
    </w:p>
    <w:p w14:paraId="2718AE8E"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lastRenderedPageBreak/>
        <w:t xml:space="preserve">One of the issues for determination was whether the relationship between the parties was one of tenancy or licence. </w:t>
      </w:r>
    </w:p>
    <w:p w14:paraId="78ED5147"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 w:eastAsia="Times New Roman" w:hAnsi="TimesNewRomanPS" w:cs="Times New Roman"/>
          <w:b/>
          <w:bCs/>
          <w:lang w:eastAsia="en-GB"/>
        </w:rPr>
        <w:t xml:space="preserve">Determination </w:t>
      </w:r>
    </w:p>
    <w:p w14:paraId="43540CE0"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Generally, the court observed that in a tenancy there were certain conditions to be met which would establish such a relationship. </w:t>
      </w:r>
    </w:p>
    <w:p w14:paraId="0A7EBF6D"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court agreed with the board’s assessment that the respondent had control over the premises which amounted to exclusive occupation of the premises. In cases where the conditions were not clear, the court observed that reliance would be placed on the intention of the parties. </w:t>
      </w:r>
    </w:p>
    <w:p w14:paraId="3B82681A"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court observed that the self-contained nature of the flat, its separate entrances and the terms as to notice were consistent with the agreement constituting a tenancy. It also observed that the appellant’s provision of certain services and his occasional use of the flat’s bathroom were not inconsistent therewith. </w:t>
      </w:r>
    </w:p>
    <w:p w14:paraId="14E08D6E"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court, </w:t>
      </w:r>
      <w:r w:rsidRPr="0064110B">
        <w:rPr>
          <w:rFonts w:ascii="TimesNewRomanPS" w:eastAsia="Times New Roman" w:hAnsi="TimesNewRomanPS" w:cs="Times New Roman"/>
          <w:i/>
          <w:iCs/>
          <w:lang w:eastAsia="en-GB"/>
        </w:rPr>
        <w:t>inter alia</w:t>
      </w:r>
      <w:r w:rsidRPr="0064110B">
        <w:rPr>
          <w:rFonts w:ascii="TimesNewRomanPSMT" w:eastAsia="Times New Roman" w:hAnsi="TimesNewRomanPSMT" w:cs="Times New Roman"/>
          <w:lang w:eastAsia="en-GB"/>
        </w:rPr>
        <w:t xml:space="preserve">, held that the although the appellant intended to create a license the respondent had not accepted that intention. The court held that if the appellant intended to create a licence by the agreement, he failed as the whole effect of the agreement was to create a tenancy rather than a licence </w:t>
      </w:r>
    </w:p>
    <w:p w14:paraId="059E8297" w14:textId="77777777" w:rsidR="0064110B" w:rsidRPr="0064110B" w:rsidRDefault="0064110B" w:rsidP="0064110B">
      <w:pPr>
        <w:spacing w:before="100" w:beforeAutospacing="1" w:after="100" w:afterAutospacing="1"/>
        <w:rPr>
          <w:rFonts w:ascii="Times New Roman" w:eastAsia="Times New Roman" w:hAnsi="Times New Roman" w:cs="Times New Roman"/>
          <w:lang w:eastAsia="en-GB"/>
        </w:rPr>
      </w:pPr>
      <w:r w:rsidRPr="0064110B">
        <w:rPr>
          <w:rFonts w:ascii="TimesNewRomanPSMT" w:eastAsia="Times New Roman" w:hAnsi="TimesNewRomanPSMT" w:cs="Times New Roman"/>
          <w:lang w:eastAsia="en-GB"/>
        </w:rPr>
        <w:t xml:space="preserve">The appeal was dismissed </w:t>
      </w:r>
    </w:p>
    <w:p w14:paraId="2D04953A" w14:textId="29E365FE" w:rsidR="0064110B" w:rsidRPr="0064110B" w:rsidRDefault="0064110B" w:rsidP="0064110B">
      <w:pPr>
        <w:rPr>
          <w:rFonts w:ascii="Times New Roman" w:eastAsia="Times New Roman" w:hAnsi="Times New Roman" w:cs="Times New Roman"/>
          <w:lang w:eastAsia="en-GB"/>
        </w:rPr>
      </w:pP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"/var/folders/5x/kfl_db_s7k3_v6s3_wtcwtjc0000gn/T/com.microsoft.Word/WebArchiveCopyPasteTempFiles/page7image1862528"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7AEE6EF2" wp14:editId="3DB02760">
            <wp:extent cx="868045" cy="9525"/>
            <wp:effectExtent l="0" t="0" r="0" b="3175"/>
            <wp:docPr id="2" name="Picture 2" descr="page7image186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age7image18625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68045"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r w:rsidRPr="0064110B">
        <w:rPr>
          <w:rFonts w:ascii="Times New Roman" w:eastAsia="Times New Roman" w:hAnsi="Times New Roman" w:cs="Times New Roman"/>
          <w:lang w:eastAsia="en-GB"/>
        </w:rPr>
        <w:fldChar w:fldCharType="begin"/>
      </w:r>
      <w:r w:rsidRPr="0064110B">
        <w:rPr>
          <w:rFonts w:ascii="Times New Roman" w:eastAsia="Times New Roman" w:hAnsi="Times New Roman" w:cs="Times New Roman"/>
          <w:lang w:eastAsia="en-GB"/>
        </w:rPr>
        <w:instrText xml:space="preserve"> INCLUDEPICTURE "/var/folders/5x/kfl_db_s7k3_v6s3_wtcwtjc0000gn/T/com.microsoft.Word/WebArchiveCopyPasteTempFiles/page7image1862720" \* MERGEFORMATINET </w:instrText>
      </w:r>
      <w:r w:rsidRPr="0064110B">
        <w:rPr>
          <w:rFonts w:ascii="Times New Roman" w:eastAsia="Times New Roman" w:hAnsi="Times New Roman" w:cs="Times New Roman"/>
          <w:lang w:eastAsia="en-GB"/>
        </w:rPr>
        <w:fldChar w:fldCharType="separate"/>
      </w:r>
      <w:r w:rsidRPr="0064110B">
        <w:rPr>
          <w:rFonts w:ascii="Times New Roman" w:eastAsia="Times New Roman" w:hAnsi="Times New Roman" w:cs="Times New Roman"/>
          <w:noProof/>
          <w:lang w:eastAsia="en-GB"/>
        </w:rPr>
        <w:drawing>
          <wp:inline distT="0" distB="0" distL="0" distR="0" wp14:anchorId="28233360" wp14:editId="19B6A247">
            <wp:extent cx="942340" cy="9525"/>
            <wp:effectExtent l="0" t="0" r="0" b="3175"/>
            <wp:docPr id="1" name="Picture 1" descr="page7image186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age7image18627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2340" cy="9525"/>
                    </a:xfrm>
                    <a:prstGeom prst="rect">
                      <a:avLst/>
                    </a:prstGeom>
                    <a:noFill/>
                    <a:ln>
                      <a:noFill/>
                    </a:ln>
                  </pic:spPr>
                </pic:pic>
              </a:graphicData>
            </a:graphic>
          </wp:inline>
        </w:drawing>
      </w:r>
      <w:r w:rsidRPr="0064110B">
        <w:rPr>
          <w:rFonts w:ascii="Times New Roman" w:eastAsia="Times New Roman" w:hAnsi="Times New Roman" w:cs="Times New Roman"/>
          <w:lang w:eastAsia="en-GB"/>
        </w:rPr>
        <w:fldChar w:fldCharType="end"/>
      </w:r>
    </w:p>
    <w:p w14:paraId="0B618787" w14:textId="77777777" w:rsidR="0064110B" w:rsidRDefault="0064110B"/>
    <w:sectPr w:rsidR="006411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
    <w:altName w:val="Times New Roman"/>
    <w:panose1 w:val="020B0604020202020204"/>
    <w:charset w:val="00"/>
    <w:family w:val="roman"/>
    <w:notTrueType/>
    <w:pitch w:val="default"/>
  </w:font>
  <w:font w:name="TimesNewRomanPSMT">
    <w:altName w:val="Times New Roman"/>
    <w:panose1 w:val="020B0604020202020204"/>
    <w:charset w:val="00"/>
    <w:family w:val="roman"/>
    <w:notTrueType/>
    <w:pitch w:val="default"/>
  </w:font>
  <w:font w:name="SymbolM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10B"/>
    <w:rsid w:val="0064110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A9FBA"/>
  <w15:chartTrackingRefBased/>
  <w15:docId w15:val="{3AF8C1A3-3931-8344-9A93-DAFB5C9AB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110B"/>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796180">
      <w:bodyDiv w:val="1"/>
      <w:marLeft w:val="0"/>
      <w:marRight w:val="0"/>
      <w:marTop w:val="0"/>
      <w:marBottom w:val="0"/>
      <w:divBdr>
        <w:top w:val="none" w:sz="0" w:space="0" w:color="auto"/>
        <w:left w:val="none" w:sz="0" w:space="0" w:color="auto"/>
        <w:bottom w:val="none" w:sz="0" w:space="0" w:color="auto"/>
        <w:right w:val="none" w:sz="0" w:space="0" w:color="auto"/>
      </w:divBdr>
      <w:divsChild>
        <w:div w:id="1590121421">
          <w:marLeft w:val="0"/>
          <w:marRight w:val="0"/>
          <w:marTop w:val="0"/>
          <w:marBottom w:val="0"/>
          <w:divBdr>
            <w:top w:val="none" w:sz="0" w:space="0" w:color="auto"/>
            <w:left w:val="none" w:sz="0" w:space="0" w:color="auto"/>
            <w:bottom w:val="none" w:sz="0" w:space="0" w:color="auto"/>
            <w:right w:val="none" w:sz="0" w:space="0" w:color="auto"/>
          </w:divBdr>
          <w:divsChild>
            <w:div w:id="1498303596">
              <w:marLeft w:val="0"/>
              <w:marRight w:val="0"/>
              <w:marTop w:val="0"/>
              <w:marBottom w:val="0"/>
              <w:divBdr>
                <w:top w:val="none" w:sz="0" w:space="0" w:color="auto"/>
                <w:left w:val="none" w:sz="0" w:space="0" w:color="auto"/>
                <w:bottom w:val="none" w:sz="0" w:space="0" w:color="auto"/>
                <w:right w:val="none" w:sz="0" w:space="0" w:color="auto"/>
              </w:divBdr>
              <w:divsChild>
                <w:div w:id="143589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557">
          <w:marLeft w:val="0"/>
          <w:marRight w:val="0"/>
          <w:marTop w:val="0"/>
          <w:marBottom w:val="0"/>
          <w:divBdr>
            <w:top w:val="none" w:sz="0" w:space="0" w:color="auto"/>
            <w:left w:val="none" w:sz="0" w:space="0" w:color="auto"/>
            <w:bottom w:val="none" w:sz="0" w:space="0" w:color="auto"/>
            <w:right w:val="none" w:sz="0" w:space="0" w:color="auto"/>
          </w:divBdr>
          <w:divsChild>
            <w:div w:id="459612309">
              <w:marLeft w:val="0"/>
              <w:marRight w:val="0"/>
              <w:marTop w:val="0"/>
              <w:marBottom w:val="0"/>
              <w:divBdr>
                <w:top w:val="none" w:sz="0" w:space="0" w:color="auto"/>
                <w:left w:val="none" w:sz="0" w:space="0" w:color="auto"/>
                <w:bottom w:val="none" w:sz="0" w:space="0" w:color="auto"/>
                <w:right w:val="none" w:sz="0" w:space="0" w:color="auto"/>
              </w:divBdr>
              <w:divsChild>
                <w:div w:id="210437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99397">
          <w:marLeft w:val="0"/>
          <w:marRight w:val="0"/>
          <w:marTop w:val="0"/>
          <w:marBottom w:val="0"/>
          <w:divBdr>
            <w:top w:val="none" w:sz="0" w:space="0" w:color="auto"/>
            <w:left w:val="none" w:sz="0" w:space="0" w:color="auto"/>
            <w:bottom w:val="none" w:sz="0" w:space="0" w:color="auto"/>
            <w:right w:val="none" w:sz="0" w:space="0" w:color="auto"/>
          </w:divBdr>
          <w:divsChild>
            <w:div w:id="1680765560">
              <w:marLeft w:val="0"/>
              <w:marRight w:val="0"/>
              <w:marTop w:val="0"/>
              <w:marBottom w:val="0"/>
              <w:divBdr>
                <w:top w:val="none" w:sz="0" w:space="0" w:color="auto"/>
                <w:left w:val="none" w:sz="0" w:space="0" w:color="auto"/>
                <w:bottom w:val="none" w:sz="0" w:space="0" w:color="auto"/>
                <w:right w:val="none" w:sz="0" w:space="0" w:color="auto"/>
              </w:divBdr>
              <w:divsChild>
                <w:div w:id="111911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5867">
          <w:marLeft w:val="0"/>
          <w:marRight w:val="0"/>
          <w:marTop w:val="0"/>
          <w:marBottom w:val="0"/>
          <w:divBdr>
            <w:top w:val="none" w:sz="0" w:space="0" w:color="auto"/>
            <w:left w:val="none" w:sz="0" w:space="0" w:color="auto"/>
            <w:bottom w:val="none" w:sz="0" w:space="0" w:color="auto"/>
            <w:right w:val="none" w:sz="0" w:space="0" w:color="auto"/>
          </w:divBdr>
          <w:divsChild>
            <w:div w:id="1470586422">
              <w:marLeft w:val="0"/>
              <w:marRight w:val="0"/>
              <w:marTop w:val="0"/>
              <w:marBottom w:val="0"/>
              <w:divBdr>
                <w:top w:val="none" w:sz="0" w:space="0" w:color="auto"/>
                <w:left w:val="none" w:sz="0" w:space="0" w:color="auto"/>
                <w:bottom w:val="none" w:sz="0" w:space="0" w:color="auto"/>
                <w:right w:val="none" w:sz="0" w:space="0" w:color="auto"/>
              </w:divBdr>
              <w:divsChild>
                <w:div w:id="6967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07154">
          <w:marLeft w:val="0"/>
          <w:marRight w:val="0"/>
          <w:marTop w:val="0"/>
          <w:marBottom w:val="0"/>
          <w:divBdr>
            <w:top w:val="none" w:sz="0" w:space="0" w:color="auto"/>
            <w:left w:val="none" w:sz="0" w:space="0" w:color="auto"/>
            <w:bottom w:val="none" w:sz="0" w:space="0" w:color="auto"/>
            <w:right w:val="none" w:sz="0" w:space="0" w:color="auto"/>
          </w:divBdr>
          <w:divsChild>
            <w:div w:id="769355428">
              <w:marLeft w:val="0"/>
              <w:marRight w:val="0"/>
              <w:marTop w:val="0"/>
              <w:marBottom w:val="0"/>
              <w:divBdr>
                <w:top w:val="none" w:sz="0" w:space="0" w:color="auto"/>
                <w:left w:val="none" w:sz="0" w:space="0" w:color="auto"/>
                <w:bottom w:val="none" w:sz="0" w:space="0" w:color="auto"/>
                <w:right w:val="none" w:sz="0" w:space="0" w:color="auto"/>
              </w:divBdr>
              <w:divsChild>
                <w:div w:id="63622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0266">
          <w:marLeft w:val="0"/>
          <w:marRight w:val="0"/>
          <w:marTop w:val="0"/>
          <w:marBottom w:val="0"/>
          <w:divBdr>
            <w:top w:val="none" w:sz="0" w:space="0" w:color="auto"/>
            <w:left w:val="none" w:sz="0" w:space="0" w:color="auto"/>
            <w:bottom w:val="none" w:sz="0" w:space="0" w:color="auto"/>
            <w:right w:val="none" w:sz="0" w:space="0" w:color="auto"/>
          </w:divBdr>
          <w:divsChild>
            <w:div w:id="1631090119">
              <w:marLeft w:val="0"/>
              <w:marRight w:val="0"/>
              <w:marTop w:val="0"/>
              <w:marBottom w:val="0"/>
              <w:divBdr>
                <w:top w:val="none" w:sz="0" w:space="0" w:color="auto"/>
                <w:left w:val="none" w:sz="0" w:space="0" w:color="auto"/>
                <w:bottom w:val="none" w:sz="0" w:space="0" w:color="auto"/>
                <w:right w:val="none" w:sz="0" w:space="0" w:color="auto"/>
              </w:divBdr>
              <w:divsChild>
                <w:div w:id="188633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4806">
          <w:marLeft w:val="0"/>
          <w:marRight w:val="0"/>
          <w:marTop w:val="0"/>
          <w:marBottom w:val="0"/>
          <w:divBdr>
            <w:top w:val="none" w:sz="0" w:space="0" w:color="auto"/>
            <w:left w:val="none" w:sz="0" w:space="0" w:color="auto"/>
            <w:bottom w:val="none" w:sz="0" w:space="0" w:color="auto"/>
            <w:right w:val="none" w:sz="0" w:space="0" w:color="auto"/>
          </w:divBdr>
          <w:divsChild>
            <w:div w:id="1013653471">
              <w:marLeft w:val="0"/>
              <w:marRight w:val="0"/>
              <w:marTop w:val="0"/>
              <w:marBottom w:val="0"/>
              <w:divBdr>
                <w:top w:val="none" w:sz="0" w:space="0" w:color="auto"/>
                <w:left w:val="none" w:sz="0" w:space="0" w:color="auto"/>
                <w:bottom w:val="none" w:sz="0" w:space="0" w:color="auto"/>
                <w:right w:val="none" w:sz="0" w:space="0" w:color="auto"/>
              </w:divBdr>
              <w:divsChild>
                <w:div w:id="1645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2607</Words>
  <Characters>14135</Characters>
  <Application>Microsoft Office Word</Application>
  <DocSecurity>0</DocSecurity>
  <Lines>271</Lines>
  <Paragraphs>62</Paragraphs>
  <ScaleCrop>false</ScaleCrop>
  <Company/>
  <LinksUpToDate>false</LinksUpToDate>
  <CharactersWithSpaces>16680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Rogers Githinji</dc:creator>
  <cp:keywords/>
  <dc:description/>
  <cp:lastModifiedBy>Rogers Githinji</cp:lastModifiedBy>
  <cp:revision>1</cp:revision>
  <dcterms:created xsi:type="dcterms:W3CDTF">2022-05-25T16:33:00Z</dcterms:created>
  <dcterms:modified xsi:type="dcterms:W3CDTF">2022-05-25T16:34:00Z</dcterms:modified>
</cp:coreProperties>
</file>