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Exceptions to corporate personality rule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67 companies act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505, 506,508,509 insolvency act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Sec 519 and 640 (3 c) companies act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PROMOTERS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Definition case whaley bridge printing co v green (1880)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Statutory duties of promoters; sec 44 (1)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Remedies for breach of promoters duties; sec 504 of insolvency act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SHARES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Sections 356 to 362 of the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Section 386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Rights of memberships attached to shares; sec 30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SHARES TRANSFER/RESTRICTIONS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Case; smith v fawcett 1942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Secs 338 to 353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498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780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Share warrants; sec 504 CA AND sec 21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Company’s constitution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Sec 49(offensive name), 50, 58, 60,61,62,63 of CA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508 insolvency act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Object clauses sec 28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Alterations of articles sec 22, 23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DIRECTORS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128 and 139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780 to 782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Disqualifications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215 to 217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505 of insolvency act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218 IA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223 IA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DUTIES; sec 140 to 147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POWERS sec 139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133 CA- defects of appointment or qualifications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TURQUANDS RULE; THE DOCTRIN OF INDOOR MANAGEMENT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COMPANY SECRETARY ; sec 243 OF 254 CA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MINORITY PROTECTION; Rule in foss v harbottle (sec 238 of CA)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Remedies; sec 238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Sec 780-782 of CA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SEC 424 OF CA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Read on company meetings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Debentures 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charges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F39EB"/>
    <w:rsid w:val="681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2022-07-19T19:21:00Z</dcterms:created>
  <dc:creator>AKAM</dc:creator>
  <cp:lastModifiedBy>AKAM</cp:lastModifiedBy>
  <dcterms:modified xsi:type="dcterms:W3CDTF">2022-07-19T19:22:00Z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F9152BB8A1F34D2E81B703841844330A</vt:lpwstr>
  </property>
</Properties>
</file>