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FF0000"/>
        </w:rPr>
        <w:t>New</w:t>
      </w:r>
      <w:r>
        <w:rPr>
          <w:color w:val="FF0000"/>
          <w:spacing w:val="-3"/>
        </w:rPr>
        <w:t> </w:t>
      </w:r>
      <w:r>
        <w:rPr>
          <w:color w:val="FF0000"/>
        </w:rPr>
        <w:t>Approaches</w:t>
      </w:r>
    </w:p>
    <w:p>
      <w:pPr>
        <w:pStyle w:val="BodyText"/>
        <w:spacing w:before="2"/>
        <w:rPr>
          <w:rFonts w:ascii="Arial"/>
          <w:b/>
          <w:sz w:val="33"/>
        </w:rPr>
      </w:pPr>
    </w:p>
    <w:p>
      <w:pPr>
        <w:pStyle w:val="BodyText"/>
        <w:spacing w:line="285" w:lineRule="auto"/>
        <w:ind w:left="845" w:right="801"/>
      </w:pPr>
      <w:r>
        <w:rPr>
          <w:spacing w:val="-2"/>
        </w:rPr>
        <w:t>The decision of </w:t>
      </w:r>
      <w:r>
        <w:rPr>
          <w:spacing w:val="-1"/>
        </w:rPr>
        <w:t>the Court of Appeal in </w:t>
      </w:r>
      <w:r>
        <w:rPr>
          <w:rFonts w:ascii="Arial"/>
          <w:b/>
          <w:i/>
          <w:spacing w:val="-1"/>
        </w:rPr>
        <w:t>Adams v Cape Industries plc </w:t>
      </w:r>
      <w:r>
        <w:rPr>
          <w:spacing w:val="-1"/>
        </w:rPr>
        <w:t>clearly indicates that the</w:t>
      </w:r>
      <w:r>
        <w:rPr/>
        <w:t> </w:t>
      </w:r>
      <w:r>
        <w:rPr>
          <w:spacing w:val="-2"/>
        </w:rPr>
        <w:t>courts are not quick to pierce the veil and the number of grounds </w:t>
      </w:r>
      <w:r>
        <w:rPr>
          <w:spacing w:val="-1"/>
        </w:rPr>
        <w:t>upon which the veil can be</w:t>
      </w:r>
      <w:r>
        <w:rPr/>
        <w:t> </w:t>
      </w:r>
      <w:r>
        <w:rPr>
          <w:spacing w:val="-3"/>
        </w:rPr>
        <w:t>pierced is limited. The Supreme </w:t>
      </w:r>
      <w:r>
        <w:rPr>
          <w:spacing w:val="-2"/>
        </w:rPr>
        <w:t>Court case</w:t>
      </w:r>
      <w:r>
        <w:rPr>
          <w:spacing w:val="-1"/>
        </w:rPr>
        <w:t> </w:t>
      </w:r>
      <w:r>
        <w:rPr>
          <w:spacing w:val="-2"/>
        </w:rPr>
        <w:t>of </w:t>
      </w:r>
      <w:r>
        <w:rPr>
          <w:rFonts w:ascii="Arial"/>
          <w:b/>
          <w:i/>
          <w:spacing w:val="-2"/>
        </w:rPr>
        <w:t>Petrodel Resources Ltd v Prest </w:t>
      </w:r>
      <w:r>
        <w:rPr>
          <w:rFonts w:ascii="Arial"/>
          <w:b/>
          <w:spacing w:val="-2"/>
        </w:rPr>
        <w:t>[2013] </w:t>
      </w:r>
      <w:r>
        <w:rPr>
          <w:spacing w:val="-2"/>
        </w:rPr>
        <w:t>has</w:t>
      </w:r>
      <w:r>
        <w:rPr>
          <w:spacing w:val="-1"/>
        </w:rPr>
        <w:t> </w:t>
      </w:r>
      <w:r>
        <w:rPr>
          <w:spacing w:val="-2"/>
        </w:rPr>
        <w:t>further limited the grounds </w:t>
      </w:r>
      <w:r>
        <w:rPr>
          <w:spacing w:val="-1"/>
        </w:rPr>
        <w:t>on which the veil can be pierced by stating that there is only one</w:t>
      </w:r>
      <w:r>
        <w:rPr/>
        <w:t> </w:t>
      </w:r>
      <w:r>
        <w:rPr>
          <w:spacing w:val="-2"/>
        </w:rPr>
        <w:t>instance</w:t>
      </w:r>
      <w:r>
        <w:rPr>
          <w:spacing w:val="-1"/>
        </w:rPr>
        <w:t> </w:t>
      </w:r>
      <w:r>
        <w:rPr>
          <w:spacing w:val="-2"/>
        </w:rPr>
        <w:t>in</w:t>
      </w:r>
      <w:r>
        <w:rPr>
          <w:spacing w:val="-1"/>
        </w:rPr>
        <w:t> </w:t>
      </w:r>
      <w:r>
        <w:rPr>
          <w:spacing w:val="-2"/>
        </w:rPr>
        <w:t>which</w:t>
      </w:r>
      <w:r>
        <w:rPr>
          <w:spacing w:val="-1"/>
        </w:rPr>
        <w:t> the</w:t>
      </w:r>
      <w:r>
        <w:rPr/>
        <w:t> </w:t>
      </w:r>
      <w:r>
        <w:rPr>
          <w:spacing w:val="-1"/>
        </w:rPr>
        <w:t>veil</w:t>
      </w:r>
      <w:r>
        <w:rPr>
          <w:spacing w:val="-15"/>
        </w:rPr>
        <w:t> </w:t>
      </w:r>
      <w:r>
        <w:rPr>
          <w:spacing w:val="-1"/>
        </w:rPr>
        <w:t>can be pierced</w:t>
      </w:r>
      <w:r>
        <w:rPr>
          <w:spacing w:val="-2"/>
        </w:rPr>
        <w:t> </w:t>
      </w:r>
      <w:r>
        <w:rPr>
          <w:spacing w:val="-1"/>
        </w:rPr>
        <w:t>and,</w:t>
      </w:r>
      <w:r>
        <w:rPr>
          <w:spacing w:val="-7"/>
        </w:rPr>
        <w:t> </w:t>
      </w:r>
      <w:r>
        <w:rPr>
          <w:spacing w:val="-1"/>
        </w:rPr>
        <w:t>even</w:t>
      </w:r>
      <w:r>
        <w:rPr>
          <w:spacing w:val="-19"/>
        </w:rPr>
        <w:t> </w:t>
      </w:r>
      <w:r>
        <w:rPr>
          <w:spacing w:val="-1"/>
        </w:rPr>
        <w:t>in that instance, the</w:t>
      </w:r>
      <w:r>
        <w:rPr/>
        <w:t> </w:t>
      </w:r>
      <w:r>
        <w:rPr>
          <w:spacing w:val="-1"/>
        </w:rPr>
        <w:t>veil</w:t>
      </w:r>
      <w:r>
        <w:rPr>
          <w:spacing w:val="-15"/>
        </w:rPr>
        <w:t> </w:t>
      </w:r>
      <w:r>
        <w:rPr>
          <w:spacing w:val="-1"/>
        </w:rPr>
        <w:t>will only be pierced</w:t>
      </w:r>
      <w:r>
        <w:rPr>
          <w:spacing w:val="-55"/>
        </w:rPr>
        <w:t> </w:t>
      </w:r>
      <w:r>
        <w:rPr>
          <w:spacing w:val="-2"/>
        </w:rPr>
        <w:t>if it is necessary </w:t>
      </w:r>
      <w:r>
        <w:rPr>
          <w:spacing w:val="-1"/>
        </w:rPr>
        <w:t>to do so. </w:t>
      </w:r>
      <w:r>
        <w:rPr>
          <w:rFonts w:ascii="Arial"/>
          <w:b/>
          <w:i/>
          <w:spacing w:val="-1"/>
        </w:rPr>
        <w:t>Prest </w:t>
      </w:r>
      <w:r>
        <w:rPr>
          <w:spacing w:val="-1"/>
        </w:rPr>
        <w:t>must now be regarded as the leading case in this area and</w:t>
      </w:r>
      <w:r>
        <w:rPr/>
        <w:t> casts significant doubt</w:t>
      </w:r>
      <w:r>
        <w:rPr>
          <w:spacing w:val="1"/>
        </w:rPr>
        <w:t> </w:t>
      </w:r>
      <w:r>
        <w:rPr/>
        <w:t>on the validity of many of the cases discussed (at least in terms of</w:t>
      </w:r>
      <w:r>
        <w:rPr>
          <w:spacing w:val="1"/>
        </w:rPr>
        <w:t> </w:t>
      </w:r>
      <w:r>
        <w:rPr/>
        <w:t>them</w:t>
      </w:r>
      <w:r>
        <w:rPr>
          <w:spacing w:val="-4"/>
        </w:rPr>
        <w:t> </w:t>
      </w:r>
      <w:r>
        <w:rPr/>
        <w:t>being</w:t>
      </w:r>
      <w:r>
        <w:rPr>
          <w:spacing w:val="-8"/>
        </w:rPr>
        <w:t> </w:t>
      </w:r>
      <w:r>
        <w:rPr/>
        <w:t>regarded</w:t>
      </w:r>
      <w:r>
        <w:rPr>
          <w:spacing w:val="-10"/>
        </w:rPr>
        <w:t> </w:t>
      </w:r>
      <w:r>
        <w:rPr/>
        <w:t>as</w:t>
      </w:r>
      <w:r>
        <w:rPr>
          <w:spacing w:val="-2"/>
        </w:rPr>
        <w:t> </w:t>
      </w:r>
      <w:r>
        <w:rPr/>
        <w:t>instances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piercing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veil).</w:t>
      </w: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5"/>
        </w:rPr>
      </w:pPr>
    </w:p>
    <w:p>
      <w:pPr>
        <w:spacing w:before="0"/>
        <w:ind w:left="1053" w:right="0" w:firstLine="0"/>
        <w:jc w:val="left"/>
        <w:rPr>
          <w:sz w:val="25"/>
        </w:rPr>
      </w:pPr>
      <w:r>
        <w:rPr>
          <w:rFonts w:ascii="Arial"/>
          <w:i/>
          <w:w w:val="105"/>
          <w:sz w:val="25"/>
        </w:rPr>
        <w:t>Petrodel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Resources</w:t>
      </w:r>
      <w:r>
        <w:rPr>
          <w:rFonts w:ascii="Arial"/>
          <w:i/>
          <w:spacing w:val="-1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Ltd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v</w:t>
      </w:r>
      <w:r>
        <w:rPr>
          <w:rFonts w:ascii="Arial"/>
          <w:i/>
          <w:spacing w:val="-1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Prest</w:t>
      </w:r>
      <w:r>
        <w:rPr>
          <w:rFonts w:ascii="Arial"/>
          <w:i/>
          <w:spacing w:val="-3"/>
          <w:w w:val="105"/>
          <w:sz w:val="25"/>
        </w:rPr>
        <w:t> </w:t>
      </w:r>
      <w:r>
        <w:rPr>
          <w:color w:val="ABABAB"/>
          <w:w w:val="105"/>
          <w:sz w:val="25"/>
        </w:rPr>
        <w:t>[2013]</w:t>
      </w:r>
      <w:r>
        <w:rPr>
          <w:color w:val="ABABAB"/>
          <w:spacing w:val="-2"/>
          <w:w w:val="105"/>
          <w:sz w:val="25"/>
        </w:rPr>
        <w:t> </w:t>
      </w:r>
      <w:r>
        <w:rPr>
          <w:color w:val="ABABAB"/>
          <w:w w:val="105"/>
          <w:sz w:val="25"/>
        </w:rPr>
        <w:t>UKSC</w:t>
      </w:r>
      <w:r>
        <w:rPr>
          <w:color w:val="ABABAB"/>
          <w:spacing w:val="-1"/>
          <w:w w:val="105"/>
          <w:sz w:val="25"/>
        </w:rPr>
        <w:t> </w:t>
      </w:r>
      <w:r>
        <w:rPr>
          <w:color w:val="ABABAB"/>
          <w:w w:val="105"/>
          <w:sz w:val="25"/>
        </w:rPr>
        <w:t>34</w:t>
      </w:r>
    </w:p>
    <w:p>
      <w:pPr>
        <w:pStyle w:val="BodyText"/>
        <w:rPr>
          <w:sz w:val="28"/>
        </w:rPr>
      </w:pPr>
    </w:p>
    <w:p>
      <w:pPr>
        <w:pStyle w:val="Heading1"/>
        <w:spacing w:before="201"/>
        <w:ind w:left="1053"/>
      </w:pPr>
      <w:r>
        <w:rPr/>
        <w:t>FACTS:</w:t>
      </w:r>
    </w:p>
    <w:p>
      <w:pPr>
        <w:pStyle w:val="BodyText"/>
        <w:spacing w:line="285" w:lineRule="auto" w:before="160"/>
        <w:ind w:left="1053" w:right="1084"/>
      </w:pPr>
      <w:r>
        <w:rPr>
          <w:spacing w:val="-3"/>
        </w:rPr>
        <w:t>The case involved a divorce settlement between Mr and </w:t>
      </w:r>
      <w:r>
        <w:rPr>
          <w:spacing w:val="-2"/>
        </w:rPr>
        <w:t>Mrs Prest. The High Court had</w:t>
      </w:r>
      <w:r>
        <w:rPr>
          <w:spacing w:val="-1"/>
        </w:rPr>
        <w:t> awarded Mrs Prest a divorce settlement </w:t>
      </w:r>
      <w:r>
        <w:rPr/>
        <w:t>totalling £17.5 million, but much of Mr Prest’s</w:t>
      </w:r>
      <w:r>
        <w:rPr>
          <w:spacing w:val="1"/>
        </w:rPr>
        <w:t> </w:t>
      </w:r>
      <w:r>
        <w:rPr/>
        <w:t>assets were </w:t>
      </w:r>
      <w:r>
        <w:rPr>
          <w:rFonts w:ascii="Arial" w:hAnsi="Arial"/>
          <w:b/>
          <w:color w:val="79786F"/>
        </w:rPr>
        <w:t>(p. 39) </w:t>
      </w:r>
      <w:r>
        <w:rPr/>
        <w:t>tied up in companies that were solely controlled by him. </w:t>
      </w:r>
      <w:r>
        <w:rPr>
          <w:rFonts w:ascii="Arial" w:hAnsi="Arial"/>
          <w:b/>
        </w:rPr>
        <w:t>Section</w:t>
      </w:r>
      <w:r>
        <w:rPr>
          <w:rFonts w:ascii="Arial" w:hAnsi="Arial"/>
          <w:b/>
          <w:spacing w:val="1"/>
        </w:rPr>
        <w:t> </w:t>
      </w:r>
      <w:r>
        <w:rPr>
          <w:rFonts w:ascii="Arial" w:hAnsi="Arial"/>
          <w:b/>
        </w:rPr>
        <w:t>24(1)(a)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the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Matrimonial</w:t>
      </w:r>
      <w:r>
        <w:rPr>
          <w:rFonts w:ascii="Arial" w:hAnsi="Arial"/>
          <w:b/>
          <w:spacing w:val="1"/>
        </w:rPr>
        <w:t> </w:t>
      </w:r>
      <w:r>
        <w:rPr>
          <w:rFonts w:ascii="Arial" w:hAnsi="Arial"/>
          <w:b/>
        </w:rPr>
        <w:t>Causes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Act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1973</w:t>
      </w:r>
      <w:r>
        <w:rPr>
          <w:rFonts w:ascii="Arial" w:hAnsi="Arial"/>
          <w:b/>
          <w:spacing w:val="-10"/>
        </w:rPr>
        <w:t> </w:t>
      </w:r>
      <w:r>
        <w:rPr/>
        <w:t>grants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court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power</w:t>
      </w:r>
      <w:r>
        <w:rPr>
          <w:spacing w:val="-13"/>
        </w:rPr>
        <w:t> </w:t>
      </w:r>
      <w:r>
        <w:rPr/>
        <w:t>to</w:t>
      </w:r>
      <w:r>
        <w:rPr>
          <w:spacing w:val="1"/>
        </w:rPr>
        <w:t> </w:t>
      </w:r>
      <w:r>
        <w:rPr/>
        <w:t>‘order</w:t>
      </w:r>
      <w:r>
        <w:rPr>
          <w:spacing w:val="-11"/>
        </w:rPr>
        <w:t> </w:t>
      </w:r>
      <w:r>
        <w:rPr/>
        <w:t>that</w:t>
      </w:r>
      <w:r>
        <w:rPr>
          <w:spacing w:val="-5"/>
        </w:rPr>
        <w:t> </w:t>
      </w:r>
      <w:r>
        <w:rPr/>
        <w:t>a</w:t>
      </w:r>
      <w:r>
        <w:rPr>
          <w:spacing w:val="-55"/>
        </w:rPr>
        <w:t> </w:t>
      </w:r>
      <w:r>
        <w:rPr/>
        <w:t>party to the marriage shall transfer to the other party … property to which the first</w:t>
      </w:r>
      <w:r>
        <w:rPr>
          <w:spacing w:val="1"/>
        </w:rPr>
        <w:t> </w:t>
      </w:r>
      <w:r>
        <w:rPr>
          <w:spacing w:val="-2"/>
        </w:rPr>
        <w:t>mentioned </w:t>
      </w:r>
      <w:r>
        <w:rPr>
          <w:spacing w:val="-1"/>
        </w:rPr>
        <w:t>party is entitled’. The High Court utilized this power to pierce the corporate</w:t>
      </w:r>
      <w:r>
        <w:rPr/>
        <w:t> </w:t>
      </w:r>
      <w:r>
        <w:rPr>
          <w:spacing w:val="-3"/>
        </w:rPr>
        <w:t>veils of </w:t>
      </w:r>
      <w:r>
        <w:rPr>
          <w:spacing w:val="-2"/>
        </w:rPr>
        <w:t>these companies and order the relevant properties to be transferred to Mrs Prest.</w:t>
      </w:r>
      <w:r>
        <w:rPr>
          <w:spacing w:val="-1"/>
        </w:rPr>
        <w:t> </w:t>
      </w:r>
      <w:r>
        <w:rPr>
          <w:spacing w:val="-2"/>
        </w:rPr>
        <w:t>Mr Prest appealed, questioning whether </w:t>
      </w:r>
      <w:r>
        <w:rPr>
          <w:spacing w:val="-1"/>
        </w:rPr>
        <w:t>the court had the power to do this given that the</w:t>
      </w:r>
      <w:r>
        <w:rPr/>
        <w:t> </w:t>
      </w:r>
      <w:r>
        <w:rPr>
          <w:spacing w:val="-2"/>
        </w:rPr>
        <w:t>properties did not belong to Mr Prest, </w:t>
      </w:r>
      <w:r>
        <w:rPr>
          <w:spacing w:val="-1"/>
        </w:rPr>
        <w:t>but to his companies. The Court of Appeal, in</w:t>
      </w:r>
      <w:r>
        <w:rPr/>
        <w:t> </w:t>
      </w:r>
      <w:r>
        <w:rPr>
          <w:spacing w:val="-1"/>
        </w:rPr>
        <w:t>allowing Mr Prest’s appeal, held that the veil could not be pierced in these circumstances</w:t>
      </w:r>
      <w:r>
        <w:rPr>
          <w:spacing w:val="-56"/>
        </w:rPr>
        <w:t> </w:t>
      </w:r>
      <w:r>
        <w:rPr>
          <w:spacing w:val="-1"/>
        </w:rPr>
        <w:t>and so the High Court had no jurisdiction to make the </w:t>
      </w:r>
      <w:r>
        <w:rPr/>
        <w:t>order under </w:t>
      </w:r>
      <w:r>
        <w:rPr>
          <w:rFonts w:ascii="Arial" w:hAnsi="Arial"/>
          <w:b/>
        </w:rPr>
        <w:t>s 24(1)(a)</w:t>
      </w:r>
      <w:r>
        <w:rPr/>
        <w:t>. Mrs Prest</w:t>
      </w:r>
      <w:r>
        <w:rPr>
          <w:spacing w:val="1"/>
        </w:rPr>
        <w:t> </w:t>
      </w:r>
      <w:r>
        <w:rPr/>
        <w:t>appealed.</w:t>
      </w:r>
    </w:p>
    <w:p>
      <w:pPr>
        <w:pStyle w:val="BodyText"/>
        <w:spacing w:before="10"/>
        <w:rPr>
          <w:sz w:val="29"/>
        </w:rPr>
      </w:pPr>
    </w:p>
    <w:p>
      <w:pPr>
        <w:pStyle w:val="Heading1"/>
        <w:spacing w:before="1"/>
        <w:ind w:left="1053"/>
      </w:pPr>
      <w:r>
        <w:rPr/>
        <w:t>HELD:</w:t>
      </w:r>
    </w:p>
    <w:p>
      <w:pPr>
        <w:pStyle w:val="BodyText"/>
        <w:spacing w:line="285" w:lineRule="auto" w:before="145"/>
        <w:ind w:left="1053" w:right="883"/>
      </w:pPr>
      <w:r>
        <w:rPr/>
        <w:t>The appeal was unanimously allowed, but not on the ground that the veil could be pierced.</w:t>
      </w:r>
      <w:r>
        <w:rPr>
          <w:spacing w:val="-56"/>
        </w:rPr>
        <w:t> </w:t>
      </w:r>
      <w:r>
        <w:rPr/>
        <w:t>The Supreme Court held that the properties were held on trust by the companies for the</w:t>
      </w:r>
      <w:r>
        <w:rPr>
          <w:spacing w:val="1"/>
        </w:rPr>
        <w:t> </w:t>
      </w:r>
      <w:r>
        <w:rPr/>
        <w:t>benefit of Mr Prest and, as such, they could form part of the divorce settlement. More</w:t>
      </w:r>
      <w:r>
        <w:rPr>
          <w:spacing w:val="1"/>
        </w:rPr>
        <w:t> </w:t>
      </w:r>
      <w:r>
        <w:rPr/>
        <w:t>importantly for present purposes, the Court unanimously refused to pierce the corporate</w:t>
      </w:r>
      <w:r>
        <w:rPr>
          <w:spacing w:val="1"/>
        </w:rPr>
        <w:t> </w:t>
      </w:r>
      <w:r>
        <w:rPr/>
        <w:t>veil and significantly limited the instances in which the veil could be pierced. The leading</w:t>
      </w:r>
      <w:r>
        <w:rPr>
          <w:spacing w:val="1"/>
        </w:rPr>
        <w:t> </w:t>
      </w:r>
      <w:r>
        <w:rPr/>
        <w:t>judgment of Lord Sumption began by looking at what piercing the corporate veil actually</w:t>
      </w:r>
      <w:r>
        <w:rPr>
          <w:spacing w:val="1"/>
        </w:rPr>
        <w:t> </w:t>
      </w:r>
      <w:r>
        <w:rPr/>
        <w:t>means:</w:t>
      </w:r>
    </w:p>
    <w:p>
      <w:pPr>
        <w:pStyle w:val="BodyText"/>
        <w:spacing w:line="285" w:lineRule="auto" w:before="134"/>
        <w:ind w:left="1053" w:right="824"/>
      </w:pPr>
      <w:r>
        <w:rPr/>
        <w:t>Properly</w:t>
      </w:r>
      <w:r>
        <w:rPr>
          <w:spacing w:val="5"/>
        </w:rPr>
        <w:t> </w:t>
      </w:r>
      <w:r>
        <w:rPr/>
        <w:t>speaking,</w:t>
      </w:r>
      <w:r>
        <w:rPr>
          <w:spacing w:val="5"/>
        </w:rPr>
        <w:t> </w:t>
      </w:r>
      <w:r>
        <w:rPr/>
        <w:t>it</w:t>
      </w:r>
      <w:r>
        <w:rPr>
          <w:spacing w:val="6"/>
        </w:rPr>
        <w:t> </w:t>
      </w:r>
      <w:r>
        <w:rPr/>
        <w:t>means</w:t>
      </w:r>
      <w:r>
        <w:rPr>
          <w:spacing w:val="5"/>
        </w:rPr>
        <w:t> </w:t>
      </w:r>
      <w:r>
        <w:rPr/>
        <w:t>disregarding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separate</w:t>
      </w:r>
      <w:r>
        <w:rPr>
          <w:spacing w:val="6"/>
        </w:rPr>
        <w:t> </w:t>
      </w:r>
      <w:r>
        <w:rPr/>
        <w:t>personality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company.</w:t>
      </w:r>
      <w:r>
        <w:rPr>
          <w:spacing w:val="3"/>
        </w:rPr>
        <w:t> </w:t>
      </w:r>
      <w:r>
        <w:rPr/>
        <w:t>There</w:t>
      </w:r>
      <w:r>
        <w:rPr>
          <w:spacing w:val="1"/>
        </w:rPr>
        <w:t> </w:t>
      </w:r>
      <w:r>
        <w:rPr/>
        <w:t>is a range of situations in which the law attributes the acts or property of a company to</w:t>
      </w:r>
      <w:r>
        <w:rPr>
          <w:spacing w:val="1"/>
        </w:rPr>
        <w:t> </w:t>
      </w:r>
      <w:r>
        <w:rPr/>
        <w:t>those who control it, without disregarding its separate legal personality. The controller may</w:t>
      </w:r>
      <w:r>
        <w:rPr>
          <w:spacing w:val="1"/>
        </w:rPr>
        <w:t> </w:t>
      </w:r>
      <w:r>
        <w:rPr/>
        <w:t>be personally liable, generally in addition</w:t>
      </w:r>
      <w:r>
        <w:rPr>
          <w:spacing w:val="1"/>
        </w:rPr>
        <w:t> </w:t>
      </w:r>
      <w:r>
        <w:rPr/>
        <w:t>to the company, for something that he has done</w:t>
      </w:r>
      <w:r>
        <w:rPr>
          <w:spacing w:val="1"/>
        </w:rPr>
        <w:t> </w:t>
      </w:r>
      <w:r>
        <w:rPr/>
        <w:t>as its agent or as a joint actor. Property legally vested in a company may belong</w:t>
      </w:r>
      <w:r>
        <w:rPr>
          <w:spacing w:val="1"/>
        </w:rPr>
        <w:t> </w:t>
      </w:r>
      <w:r>
        <w:rPr/>
        <w:t>beneficially to the controller, if the arrangements in relation to the property are such as to</w:t>
      </w:r>
      <w:r>
        <w:rPr>
          <w:spacing w:val="1"/>
        </w:rPr>
        <w:t> </w:t>
      </w:r>
      <w:r>
        <w:rPr>
          <w:spacing w:val="-1"/>
        </w:rPr>
        <w:t>make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company</w:t>
      </w:r>
      <w:r>
        <w:rPr>
          <w:spacing w:val="-6"/>
        </w:rPr>
        <w:t> </w:t>
      </w:r>
      <w:r>
        <w:rPr/>
        <w:t>its</w:t>
      </w:r>
      <w:r>
        <w:rPr>
          <w:spacing w:val="-5"/>
        </w:rPr>
        <w:t> </w:t>
      </w:r>
      <w:r>
        <w:rPr/>
        <w:t>controller’s</w:t>
      </w:r>
      <w:r>
        <w:rPr>
          <w:spacing w:val="-6"/>
        </w:rPr>
        <w:t> </w:t>
      </w:r>
      <w:r>
        <w:rPr/>
        <w:t>nominee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trustee</w:t>
      </w:r>
      <w:r>
        <w:rPr>
          <w:spacing w:val="-6"/>
        </w:rPr>
        <w:t> </w:t>
      </w:r>
      <w:r>
        <w:rPr/>
        <w:t>for</w:t>
      </w:r>
      <w:r>
        <w:rPr>
          <w:spacing w:val="-15"/>
        </w:rPr>
        <w:t> </w:t>
      </w:r>
      <w:r>
        <w:rPr/>
        <w:t>that</w:t>
      </w:r>
      <w:r>
        <w:rPr>
          <w:spacing w:val="-5"/>
        </w:rPr>
        <w:t> </w:t>
      </w:r>
      <w:r>
        <w:rPr/>
        <w:t>purpose…</w:t>
      </w:r>
      <w:r>
        <w:rPr>
          <w:spacing w:val="-12"/>
        </w:rPr>
        <w:t> </w:t>
      </w:r>
      <w:r>
        <w:rPr/>
        <w:t>But</w:t>
      </w:r>
      <w:r>
        <w:rPr>
          <w:spacing w:val="-5"/>
        </w:rPr>
        <w:t> </w:t>
      </w:r>
      <w:r>
        <w:rPr/>
        <w:t>when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speak</w:t>
      </w:r>
      <w:r>
        <w:rPr>
          <w:spacing w:val="-56"/>
        </w:rPr>
        <w:t> </w:t>
      </w:r>
      <w:r>
        <w:rPr>
          <w:spacing w:val="-1"/>
        </w:rPr>
        <w:t>of piercing the corporate veil, we are not (or should not be) speaking of any </w:t>
      </w:r>
      <w:r>
        <w:rPr/>
        <w:t>of these</w:t>
      </w:r>
      <w:r>
        <w:rPr>
          <w:spacing w:val="1"/>
        </w:rPr>
        <w:t> </w:t>
      </w:r>
      <w:r>
        <w:rPr/>
        <w:t>situations,</w:t>
      </w:r>
      <w:r>
        <w:rPr>
          <w:spacing w:val="-3"/>
        </w:rPr>
        <w:t> </w:t>
      </w:r>
      <w:r>
        <w:rPr/>
        <w:t>but</w:t>
      </w:r>
      <w:r>
        <w:rPr>
          <w:spacing w:val="-9"/>
        </w:rPr>
        <w:t> </w:t>
      </w:r>
      <w:r>
        <w:rPr/>
        <w:t>only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those</w:t>
      </w:r>
      <w:r>
        <w:rPr>
          <w:spacing w:val="-3"/>
        </w:rPr>
        <w:t> </w:t>
      </w:r>
      <w:r>
        <w:rPr/>
        <w:t>cases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are</w:t>
      </w:r>
      <w:r>
        <w:rPr>
          <w:spacing w:val="-11"/>
        </w:rPr>
        <w:t> </w:t>
      </w:r>
      <w:r>
        <w:rPr/>
        <w:t>true</w:t>
      </w:r>
      <w:r>
        <w:rPr>
          <w:spacing w:val="-3"/>
        </w:rPr>
        <w:t> </w:t>
      </w:r>
      <w:r>
        <w:rPr/>
        <w:t>exceptions</w:t>
      </w:r>
      <w:r>
        <w:rPr>
          <w:spacing w:val="-4"/>
        </w:rPr>
        <w:t> </w:t>
      </w:r>
      <w:r>
        <w:rPr/>
        <w:t>to</w:t>
      </w:r>
      <w:r>
        <w:rPr>
          <w:spacing w:val="3"/>
        </w:rPr>
        <w:t> </w:t>
      </w:r>
      <w:r>
        <w:rPr/>
        <w:t>the</w:t>
      </w:r>
      <w:r>
        <w:rPr>
          <w:spacing w:val="-2"/>
        </w:rPr>
        <w:t> </w:t>
      </w:r>
      <w:r>
        <w:rPr/>
        <w:t>rule</w:t>
      </w:r>
      <w:r>
        <w:rPr>
          <w:spacing w:val="-9"/>
        </w:rPr>
        <w:t> </w:t>
      </w:r>
      <w:r>
        <w:rPr/>
        <w:t>in</w:t>
      </w:r>
      <w:r>
        <w:rPr>
          <w:spacing w:val="-3"/>
        </w:rPr>
        <w:t> </w:t>
      </w:r>
      <w:r>
        <w:rPr/>
        <w:t>Salomon</w:t>
      </w:r>
      <w:r>
        <w:rPr>
          <w:spacing w:val="-3"/>
        </w:rPr>
        <w:t> </w:t>
      </w:r>
      <w:r>
        <w:rPr/>
        <w:t>…</w:t>
      </w:r>
      <w:r>
        <w:rPr>
          <w:spacing w:val="-4"/>
        </w:rPr>
        <w:t> </w:t>
      </w:r>
      <w:r>
        <w:rPr/>
        <w:t>i.e.</w:t>
      </w:r>
    </w:p>
    <w:p>
      <w:pPr>
        <w:spacing w:after="0" w:line="285" w:lineRule="auto"/>
        <w:sectPr>
          <w:footerReference w:type="default" r:id="rId5"/>
          <w:type w:val="continuous"/>
          <w:pgSz w:w="11910" w:h="16840"/>
          <w:pgMar w:footer="681" w:top="1500" w:bottom="880" w:left="720" w:right="840"/>
          <w:pgNumType w:start="1"/>
        </w:sectPr>
      </w:pPr>
    </w:p>
    <w:p>
      <w:pPr>
        <w:pStyle w:val="BodyText"/>
        <w:spacing w:line="285" w:lineRule="auto" w:before="72"/>
        <w:ind w:left="1053" w:right="1129"/>
      </w:pPr>
      <w:r>
        <w:rPr/>
        <w:t>where</w:t>
      </w:r>
      <w:r>
        <w:rPr>
          <w:spacing w:val="-15"/>
        </w:rPr>
        <w:t> </w:t>
      </w:r>
      <w:r>
        <w:rPr/>
        <w:t>a</w:t>
      </w:r>
      <w:r>
        <w:rPr>
          <w:spacing w:val="-4"/>
        </w:rPr>
        <w:t> </w:t>
      </w:r>
      <w:r>
        <w:rPr/>
        <w:t>person</w:t>
      </w:r>
      <w:r>
        <w:rPr>
          <w:spacing w:val="-5"/>
        </w:rPr>
        <w:t> </w:t>
      </w:r>
      <w:r>
        <w:rPr/>
        <w:t>who</w:t>
      </w:r>
      <w:r>
        <w:rPr>
          <w:spacing w:val="-13"/>
        </w:rPr>
        <w:t> </w:t>
      </w:r>
      <w:r>
        <w:rPr/>
        <w:t>owns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controls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company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said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certain</w:t>
      </w:r>
      <w:r>
        <w:rPr>
          <w:spacing w:val="-5"/>
        </w:rPr>
        <w:t> </w:t>
      </w:r>
      <w:r>
        <w:rPr/>
        <w:t>circumstances</w:t>
      </w:r>
      <w:r>
        <w:rPr>
          <w:spacing w:val="-6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-55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law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virtue</w:t>
      </w:r>
      <w:r>
        <w:rPr>
          <w:spacing w:val="-12"/>
        </w:rPr>
        <w:t> </w:t>
      </w:r>
      <w:r>
        <w:rPr/>
        <w:t>of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ownership</w:t>
      </w:r>
      <w:r>
        <w:rPr>
          <w:spacing w:val="-8"/>
        </w:rPr>
        <w:t> </w:t>
      </w:r>
      <w:r>
        <w:rPr/>
        <w:t>and</w:t>
      </w:r>
      <w:r>
        <w:rPr>
          <w:spacing w:val="1"/>
        </w:rPr>
        <w:t> </w:t>
      </w:r>
      <w:r>
        <w:rPr/>
        <w:t>control.</w:t>
      </w:r>
    </w:p>
    <w:p>
      <w:pPr>
        <w:pStyle w:val="BodyText"/>
        <w:spacing w:line="285" w:lineRule="auto" w:before="136"/>
        <w:ind w:left="1053" w:right="813"/>
      </w:pPr>
      <w:r>
        <w:rPr/>
        <w:t>Accordingly, it is clear that Lord Sumption does not regard many of the cases discussed as</w:t>
      </w:r>
      <w:r>
        <w:rPr>
          <w:spacing w:val="-56"/>
        </w:rPr>
        <w:t> </w:t>
      </w:r>
      <w:r>
        <w:rPr/>
        <w:t>true situations in which the veil was pierced (especially those cases involving groups of</w:t>
      </w:r>
      <w:r>
        <w:rPr>
          <w:spacing w:val="1"/>
        </w:rPr>
        <w:t> </w:t>
      </w:r>
      <w:r>
        <w:rPr/>
        <w:t>companies or a relationship of agency). Accordingly, the question is when can the courts</w:t>
      </w:r>
      <w:r>
        <w:rPr>
          <w:spacing w:val="1"/>
        </w:rPr>
        <w:t> </w:t>
      </w:r>
      <w:r>
        <w:rPr/>
        <w:t>pierce the veil? Lord Sumption stated that there was only one instance in which the courts</w:t>
      </w:r>
      <w:r>
        <w:rPr>
          <w:spacing w:val="1"/>
        </w:rPr>
        <w:t> </w:t>
      </w:r>
      <w:r>
        <w:rPr/>
        <w:t>could pierce the veil, namely where ‘a person is under an existing legal obligation or liability</w:t>
      </w:r>
      <w:r>
        <w:rPr>
          <w:spacing w:val="-56"/>
        </w:rPr>
        <w:t> </w:t>
      </w:r>
      <w:r>
        <w:rPr/>
        <w:t>or subject to an existing legal restriction which he deliberately evades or whose</w:t>
      </w:r>
      <w:r>
        <w:rPr>
          <w:spacing w:val="1"/>
        </w:rPr>
        <w:t> </w:t>
      </w:r>
      <w:r>
        <w:rPr/>
        <w:t>enforcement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deliberately</w:t>
      </w:r>
      <w:r>
        <w:rPr>
          <w:spacing w:val="-2"/>
        </w:rPr>
        <w:t> </w:t>
      </w:r>
      <w:r>
        <w:rPr/>
        <w:t>frustrates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interposing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company under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control’.</w:t>
      </w:r>
    </w:p>
    <w:p>
      <w:pPr>
        <w:pStyle w:val="BodyText"/>
        <w:spacing w:line="285" w:lineRule="auto"/>
        <w:ind w:left="1053" w:right="1129"/>
      </w:pPr>
      <w:r>
        <w:rPr/>
        <w:t>Further, a court could only pierce the veil in this instance if ‘all other, more conventional,</w:t>
      </w:r>
      <w:r>
        <w:rPr>
          <w:spacing w:val="-56"/>
        </w:rPr>
        <w:t> </w:t>
      </w:r>
      <w:r>
        <w:rPr/>
        <w:t>remedies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proved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assistance’.</w:t>
      </w: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0"/>
        </w:rPr>
      </w:pPr>
    </w:p>
    <w:p>
      <w:pPr>
        <w:spacing w:before="1"/>
        <w:ind w:left="84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 direct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duty of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care</w:t>
      </w:r>
    </w:p>
    <w:p>
      <w:pPr>
        <w:pStyle w:val="BodyText"/>
        <w:spacing w:before="2"/>
        <w:rPr>
          <w:rFonts w:ascii="Arial"/>
          <w:b/>
          <w:sz w:val="25"/>
        </w:rPr>
      </w:pPr>
    </w:p>
    <w:p>
      <w:pPr>
        <w:pStyle w:val="BodyText"/>
        <w:spacing w:line="285" w:lineRule="auto"/>
        <w:ind w:left="845" w:right="859"/>
      </w:pPr>
      <w:r>
        <w:rPr>
          <w:spacing w:val="-2"/>
        </w:rPr>
        <w:t>In </w:t>
      </w:r>
      <w:r>
        <w:rPr>
          <w:rFonts w:ascii="Arial" w:hAnsi="Arial"/>
          <w:b/>
          <w:i/>
          <w:spacing w:val="-2"/>
        </w:rPr>
        <w:t>Prest</w:t>
      </w:r>
      <w:r>
        <w:rPr>
          <w:spacing w:val="-2"/>
        </w:rPr>
        <w:t>, Lords Sumption and Neuberger were clearly of the opinion that many </w:t>
      </w:r>
      <w:r>
        <w:rPr>
          <w:spacing w:val="-1"/>
        </w:rPr>
        <w:t>of the cases</w:t>
      </w:r>
      <w:r>
        <w:rPr/>
        <w:t> </w:t>
      </w:r>
      <w:r>
        <w:rPr>
          <w:spacing w:val="-2"/>
        </w:rPr>
        <w:t>that are traditionally regarded as examples of piercing the </w:t>
      </w:r>
      <w:r>
        <w:rPr>
          <w:spacing w:val="-1"/>
        </w:rPr>
        <w:t>veil did not in fact involve a piercing</w:t>
      </w:r>
      <w:r>
        <w:rPr/>
        <w:t> </w:t>
      </w:r>
      <w:r>
        <w:rPr>
          <w:spacing w:val="-2"/>
        </w:rPr>
        <w:t>of the veil, and that the same result could be achieved in some other </w:t>
      </w:r>
      <w:r>
        <w:rPr>
          <w:spacing w:val="-1"/>
        </w:rPr>
        <w:t>way. Lord Neuberger</w:t>
      </w:r>
      <w:r>
        <w:rPr/>
        <w:t> </w:t>
      </w:r>
      <w:r>
        <w:rPr>
          <w:spacing w:val="-2"/>
        </w:rPr>
        <w:t>even went so far as to say that there </w:t>
      </w:r>
      <w:r>
        <w:rPr>
          <w:spacing w:val="-1"/>
        </w:rPr>
        <w:t>has never been ‘a single instance in this jurisdiction in</w:t>
      </w:r>
      <w:r>
        <w:rPr/>
        <w:t> </w:t>
      </w:r>
      <w:r>
        <w:rPr>
          <w:spacing w:val="-2"/>
        </w:rPr>
        <w:t>which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doctrine</w:t>
      </w:r>
      <w:r>
        <w:rPr>
          <w:spacing w:val="-1"/>
        </w:rPr>
        <w:t> </w:t>
      </w:r>
      <w:r>
        <w:rPr>
          <w:spacing w:val="-2"/>
        </w:rPr>
        <w:t>[of</w:t>
      </w:r>
      <w:r>
        <w:rPr>
          <w:spacing w:val="-1"/>
        </w:rPr>
        <w:t> </w:t>
      </w:r>
      <w:r>
        <w:rPr>
          <w:spacing w:val="-2"/>
        </w:rPr>
        <w:t>piercing</w:t>
      </w:r>
      <w:r>
        <w:rPr>
          <w:spacing w:val="-1"/>
        </w:rPr>
        <w:t> the veil]</w:t>
      </w:r>
      <w:r>
        <w:rPr>
          <w:spacing w:val="-13"/>
        </w:rPr>
        <w:t> </w:t>
      </w:r>
      <w:r>
        <w:rPr>
          <w:spacing w:val="-1"/>
        </w:rPr>
        <w:t>has</w:t>
      </w:r>
      <w:r>
        <w:rPr>
          <w:spacing w:val="-7"/>
        </w:rPr>
        <w:t> </w:t>
      </w:r>
      <w:r>
        <w:rPr>
          <w:spacing w:val="-1"/>
        </w:rPr>
        <w:t>been</w:t>
      </w:r>
      <w:r>
        <w:rPr>
          <w:spacing w:val="-7"/>
        </w:rPr>
        <w:t> </w:t>
      </w:r>
      <w:r>
        <w:rPr>
          <w:spacing w:val="-1"/>
        </w:rPr>
        <w:t>invoked</w:t>
      </w:r>
      <w:r>
        <w:rPr>
          <w:spacing w:val="-9"/>
        </w:rPr>
        <w:t> </w:t>
      </w:r>
      <w:r>
        <w:rPr>
          <w:spacing w:val="-1"/>
        </w:rPr>
        <w:t>properly</w:t>
      </w:r>
      <w:r>
        <w:rPr>
          <w:spacing w:val="-9"/>
        </w:rPr>
        <w:t> </w:t>
      </w:r>
      <w:r>
        <w:rPr>
          <w:spacing w:val="-1"/>
        </w:rPr>
        <w:t>and</w:t>
      </w:r>
      <w:r>
        <w:rPr>
          <w:spacing w:val="-7"/>
        </w:rPr>
        <w:t> </w:t>
      </w:r>
      <w:r>
        <w:rPr>
          <w:spacing w:val="-1"/>
        </w:rPr>
        <w:t>successfully’.</w:t>
      </w:r>
      <w:r>
        <w:rPr>
          <w:spacing w:val="4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result</w:t>
      </w:r>
      <w:r>
        <w:rPr>
          <w:spacing w:val="-56"/>
        </w:rPr>
        <w:t> </w:t>
      </w:r>
      <w:r>
        <w:rPr/>
        <w:t>is that, in certain cases, the courts can, by alternative means, achieve the same result as if</w:t>
      </w:r>
      <w:r>
        <w:rPr>
          <w:spacing w:val="1"/>
        </w:rPr>
        <w:t> </w:t>
      </w:r>
      <w:r>
        <w:rPr>
          <w:spacing w:val="-3"/>
        </w:rPr>
        <w:t>they </w:t>
      </w:r>
      <w:r>
        <w:rPr>
          <w:spacing w:val="-2"/>
        </w:rPr>
        <w:t>pierced the veil without actually having to pierce the veil. The following case provides a</w:t>
      </w:r>
      <w:r>
        <w:rPr>
          <w:spacing w:val="-1"/>
        </w:rPr>
        <w:t> good</w:t>
      </w:r>
      <w:r>
        <w:rPr>
          <w:spacing w:val="-11"/>
        </w:rPr>
        <w:t> </w:t>
      </w:r>
      <w:r>
        <w:rPr>
          <w:spacing w:val="-1"/>
        </w:rPr>
        <w:t>example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case where</w:t>
      </w:r>
      <w:r>
        <w:rPr>
          <w:spacing w:val="-14"/>
        </w:rPr>
        <w:t> </w:t>
      </w:r>
      <w:r>
        <w:rPr/>
        <w:t>the</w:t>
      </w:r>
      <w:r>
        <w:rPr>
          <w:spacing w:val="-6"/>
        </w:rPr>
        <w:t> </w:t>
      </w:r>
      <w:r>
        <w:rPr/>
        <w:t>Court</w:t>
      </w:r>
      <w:r>
        <w:rPr>
          <w:spacing w:val="-14"/>
        </w:rPr>
        <w:t> </w:t>
      </w:r>
      <w:r>
        <w:rPr/>
        <w:t>was</w:t>
      </w:r>
      <w:r>
        <w:rPr>
          <w:spacing w:val="-13"/>
        </w:rPr>
        <w:t> </w:t>
      </w:r>
      <w:r>
        <w:rPr/>
        <w:t>able</w:t>
      </w:r>
      <w:r>
        <w:rPr>
          <w:spacing w:val="-5"/>
        </w:rPr>
        <w:t> </w:t>
      </w:r>
      <w:r>
        <w:rPr/>
        <w:t>to impose</w:t>
      </w:r>
      <w:r>
        <w:rPr>
          <w:spacing w:val="-5"/>
        </w:rPr>
        <w:t> </w:t>
      </w:r>
      <w:r>
        <w:rPr/>
        <w:t>liability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parent</w:t>
      </w:r>
      <w:r>
        <w:rPr>
          <w:spacing w:val="-12"/>
        </w:rPr>
        <w:t> </w:t>
      </w:r>
      <w:r>
        <w:rPr/>
        <w:t>company</w:t>
      </w:r>
      <w:r>
        <w:rPr>
          <w:spacing w:val="-6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acts</w:t>
      </w:r>
      <w:r>
        <w:rPr>
          <w:spacing w:val="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subsidiary</w:t>
      </w:r>
      <w:r>
        <w:rPr>
          <w:spacing w:val="-2"/>
        </w:rPr>
        <w:t> </w:t>
      </w:r>
      <w:r>
        <w:rPr/>
        <w:t>without</w:t>
      </w:r>
      <w:r>
        <w:rPr>
          <w:spacing w:val="-1"/>
        </w:rPr>
        <w:t> </w:t>
      </w:r>
      <w:r>
        <w:rPr/>
        <w:t>piercing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corporate</w:t>
      </w:r>
      <w:r>
        <w:rPr>
          <w:spacing w:val="-1"/>
        </w:rPr>
        <w:t> </w:t>
      </w:r>
      <w:r>
        <w:rPr/>
        <w:t>veil.</w:t>
      </w: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28"/>
        </w:rPr>
      </w:pPr>
    </w:p>
    <w:p>
      <w:pPr>
        <w:spacing w:before="1"/>
        <w:ind w:left="917" w:right="0" w:firstLine="0"/>
        <w:jc w:val="left"/>
        <w:rPr>
          <w:sz w:val="25"/>
        </w:rPr>
      </w:pPr>
      <w:r>
        <w:rPr>
          <w:rFonts w:ascii="Arial"/>
          <w:i/>
          <w:w w:val="105"/>
          <w:sz w:val="25"/>
        </w:rPr>
        <w:t>Chandler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v</w:t>
      </w:r>
      <w:r>
        <w:rPr>
          <w:rFonts w:ascii="Arial"/>
          <w:i/>
          <w:spacing w:val="-1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Cape</w:t>
      </w:r>
      <w:r>
        <w:rPr>
          <w:rFonts w:ascii="Arial"/>
          <w:i/>
          <w:spacing w:val="-1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plc</w:t>
      </w:r>
      <w:r>
        <w:rPr>
          <w:rFonts w:ascii="Arial"/>
          <w:i/>
          <w:spacing w:val="-3"/>
          <w:w w:val="105"/>
          <w:sz w:val="25"/>
        </w:rPr>
        <w:t> </w:t>
      </w:r>
      <w:r>
        <w:rPr>
          <w:color w:val="ABABAB"/>
          <w:w w:val="105"/>
          <w:sz w:val="25"/>
        </w:rPr>
        <w:t>[2012]</w:t>
      </w:r>
      <w:r>
        <w:rPr>
          <w:color w:val="ABABAB"/>
          <w:spacing w:val="-2"/>
          <w:w w:val="105"/>
          <w:sz w:val="25"/>
        </w:rPr>
        <w:t> </w:t>
      </w:r>
      <w:r>
        <w:rPr>
          <w:color w:val="ABABAB"/>
          <w:w w:val="105"/>
          <w:sz w:val="25"/>
        </w:rPr>
        <w:t>EWCA</w:t>
      </w:r>
      <w:r>
        <w:rPr>
          <w:color w:val="ABABAB"/>
          <w:spacing w:val="-1"/>
          <w:w w:val="105"/>
          <w:sz w:val="25"/>
        </w:rPr>
        <w:t> </w:t>
      </w:r>
      <w:r>
        <w:rPr>
          <w:color w:val="ABABAB"/>
          <w:w w:val="105"/>
          <w:sz w:val="25"/>
        </w:rPr>
        <w:t>Civ</w:t>
      </w:r>
      <w:r>
        <w:rPr>
          <w:color w:val="ABABAB"/>
          <w:spacing w:val="-2"/>
          <w:w w:val="105"/>
          <w:sz w:val="25"/>
        </w:rPr>
        <w:t> </w:t>
      </w:r>
      <w:r>
        <w:rPr>
          <w:color w:val="ABABAB"/>
          <w:w w:val="105"/>
          <w:sz w:val="25"/>
        </w:rPr>
        <w:t>525</w:t>
      </w:r>
    </w:p>
    <w:p>
      <w:pPr>
        <w:pStyle w:val="BodyText"/>
        <w:rPr>
          <w:sz w:val="28"/>
        </w:rPr>
      </w:pPr>
    </w:p>
    <w:p>
      <w:pPr>
        <w:pStyle w:val="Heading1"/>
        <w:spacing w:before="205"/>
      </w:pPr>
      <w:r>
        <w:rPr/>
        <w:t>FACTS:</w:t>
      </w:r>
    </w:p>
    <w:p>
      <w:pPr>
        <w:pStyle w:val="BodyText"/>
        <w:spacing w:line="285" w:lineRule="auto" w:before="160"/>
        <w:ind w:left="917" w:right="801"/>
      </w:pPr>
      <w:r>
        <w:rPr>
          <w:spacing w:val="-2"/>
        </w:rPr>
        <w:t>Mr Chandler </w:t>
      </w:r>
      <w:r>
        <w:rPr>
          <w:spacing w:val="-1"/>
        </w:rPr>
        <w:t>(the claimant) was, for periods between 1959 and 1962, an employee of Cape</w:t>
      </w:r>
      <w:r>
        <w:rPr/>
        <w:t> </w:t>
      </w:r>
      <w:r>
        <w:rPr>
          <w:spacing w:val="-1"/>
        </w:rPr>
        <w:t>Building</w:t>
      </w:r>
      <w:r>
        <w:rPr>
          <w:spacing w:val="-6"/>
        </w:rPr>
        <w:t> </w:t>
      </w:r>
      <w:r>
        <w:rPr>
          <w:spacing w:val="-1"/>
        </w:rPr>
        <w:t>Products</w:t>
      </w:r>
      <w:r>
        <w:rPr>
          <w:spacing w:val="-5"/>
        </w:rPr>
        <w:t> </w:t>
      </w:r>
      <w:r>
        <w:rPr>
          <w:spacing w:val="-1"/>
        </w:rPr>
        <w:t>Ltd</w:t>
      </w:r>
      <w:r>
        <w:rPr>
          <w:spacing w:val="-5"/>
        </w:rPr>
        <w:t> </w:t>
      </w:r>
      <w:r>
        <w:rPr>
          <w:spacing w:val="-1"/>
        </w:rPr>
        <w:t>(CBP),</w:t>
      </w:r>
      <w:r>
        <w:rPr>
          <w:spacing w:val="-5"/>
        </w:rPr>
        <w:t> </w:t>
      </w:r>
      <w:r>
        <w:rPr>
          <w:spacing w:val="-1"/>
        </w:rPr>
        <w:t>a</w:t>
      </w:r>
      <w:r>
        <w:rPr>
          <w:spacing w:val="-5"/>
        </w:rPr>
        <w:t> </w:t>
      </w:r>
      <w:r>
        <w:rPr>
          <w:spacing w:val="-1"/>
        </w:rPr>
        <w:t>subsidiary</w:t>
      </w:r>
      <w:r>
        <w:rPr>
          <w:spacing w:val="-5"/>
        </w:rPr>
        <w:t> </w:t>
      </w:r>
      <w:r>
        <w:rPr>
          <w:spacing w:val="-1"/>
        </w:rPr>
        <w:t>of</w:t>
      </w:r>
      <w:r>
        <w:rPr>
          <w:spacing w:val="-6"/>
        </w:rPr>
        <w:t> </w:t>
      </w:r>
      <w:r>
        <w:rPr>
          <w:spacing w:val="-1"/>
        </w:rPr>
        <w:t>Cape</w:t>
      </w:r>
      <w:r>
        <w:rPr>
          <w:spacing w:val="-13"/>
        </w:rPr>
        <w:t> </w:t>
      </w:r>
      <w:r>
        <w:rPr>
          <w:spacing w:val="-1"/>
        </w:rPr>
        <w:t>plc.</w:t>
      </w:r>
      <w:r>
        <w:rPr>
          <w:spacing w:val="-5"/>
        </w:rPr>
        <w:t> </w:t>
      </w:r>
      <w:r>
        <w:rPr/>
        <w:t>In</w:t>
      </w:r>
      <w:r>
        <w:rPr>
          <w:spacing w:val="-14"/>
        </w:rPr>
        <w:t> </w:t>
      </w:r>
      <w:r>
        <w:rPr/>
        <w:t>2007,</w:t>
      </w:r>
      <w:r>
        <w:rPr>
          <w:spacing w:val="-13"/>
        </w:rPr>
        <w:t> </w:t>
      </w:r>
      <w:r>
        <w:rPr/>
        <w:t>Chandler</w:t>
      </w:r>
      <w:r>
        <w:rPr>
          <w:spacing w:val="-13"/>
        </w:rPr>
        <w:t> </w:t>
      </w:r>
      <w:r>
        <w:rPr/>
        <w:t>discovered</w:t>
      </w:r>
      <w:r>
        <w:rPr>
          <w:spacing w:val="-10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-10"/>
        </w:rPr>
        <w:t> </w:t>
      </w:r>
      <w:r>
        <w:rPr/>
        <w:t>contracted</w:t>
      </w:r>
      <w:r>
        <w:rPr>
          <w:spacing w:val="-4"/>
        </w:rPr>
        <w:t> </w:t>
      </w:r>
      <w:r>
        <w:rPr/>
        <w:t>asbestosis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being</w:t>
      </w:r>
      <w:r>
        <w:rPr>
          <w:spacing w:val="-10"/>
        </w:rPr>
        <w:t> </w:t>
      </w:r>
      <w:r>
        <w:rPr/>
        <w:t>exposed</w:t>
      </w:r>
      <w:r>
        <w:rPr>
          <w:spacing w:val="-4"/>
        </w:rPr>
        <w:t> </w:t>
      </w:r>
      <w:r>
        <w:rPr/>
        <w:t>to</w:t>
      </w:r>
      <w:r>
        <w:rPr>
          <w:spacing w:val="2"/>
        </w:rPr>
        <w:t> </w:t>
      </w:r>
      <w:r>
        <w:rPr/>
        <w:t>asbestos</w:t>
      </w:r>
      <w:r>
        <w:rPr>
          <w:spacing w:val="-4"/>
        </w:rPr>
        <w:t> </w:t>
      </w:r>
      <w:r>
        <w:rPr/>
        <w:t>whilst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for</w:t>
      </w:r>
      <w:r>
        <w:rPr>
          <w:spacing w:val="-14"/>
        </w:rPr>
        <w:t> </w:t>
      </w:r>
      <w:r>
        <w:rPr/>
        <w:t>CBP.</w:t>
      </w:r>
      <w:r>
        <w:rPr>
          <w:spacing w:val="-55"/>
        </w:rPr>
        <w:t> </w:t>
      </w:r>
      <w:r>
        <w:rPr>
          <w:spacing w:val="-1"/>
        </w:rPr>
        <w:t>He sought to obtain compensation, </w:t>
      </w:r>
      <w:r>
        <w:rPr/>
        <w:t>but CBP had been dissolved many years before and,</w:t>
      </w:r>
      <w:r>
        <w:rPr>
          <w:spacing w:val="1"/>
        </w:rPr>
        <w:t> </w:t>
      </w:r>
      <w:r>
        <w:rPr/>
        <w:t>during Chandler’s period of employment, CBP had no insurance policy in place that would</w:t>
      </w:r>
      <w:r>
        <w:rPr>
          <w:spacing w:val="1"/>
        </w:rPr>
        <w:t> </w:t>
      </w:r>
      <w:r>
        <w:rPr>
          <w:spacing w:val="-2"/>
        </w:rPr>
        <w:t>indemnify Chandler for his loss. Accordingly, </w:t>
      </w:r>
      <w:r>
        <w:rPr>
          <w:spacing w:val="-1"/>
        </w:rPr>
        <w:t>Chandler commenced proceedings against the</w:t>
      </w:r>
      <w:r>
        <w:rPr>
          <w:spacing w:val="-56"/>
        </w:rPr>
        <w:t> </w:t>
      </w:r>
      <w:r>
        <w:rPr/>
        <w:t>parent,</w:t>
      </w:r>
      <w:r>
        <w:rPr>
          <w:spacing w:val="-8"/>
        </w:rPr>
        <w:t> </w:t>
      </w:r>
      <w:r>
        <w:rPr/>
        <w:t>Cape</w:t>
      </w:r>
      <w:r>
        <w:rPr>
          <w:spacing w:val="10"/>
        </w:rPr>
        <w:t> </w:t>
      </w:r>
      <w:r>
        <w:rPr/>
        <w:t>plc.</w:t>
      </w:r>
    </w:p>
    <w:p>
      <w:pPr>
        <w:pStyle w:val="BodyText"/>
        <w:spacing w:before="7"/>
        <w:rPr>
          <w:sz w:val="29"/>
        </w:rPr>
      </w:pPr>
    </w:p>
    <w:p>
      <w:pPr>
        <w:pStyle w:val="Heading1"/>
      </w:pPr>
      <w:r>
        <w:rPr/>
        <w:t>HELD:</w:t>
      </w:r>
    </w:p>
    <w:p>
      <w:pPr>
        <w:pStyle w:val="BodyText"/>
        <w:spacing w:before="11"/>
        <w:rPr>
          <w:rFonts w:ascii="Arial"/>
          <w:b/>
          <w:sz w:val="33"/>
        </w:rPr>
      </w:pPr>
    </w:p>
    <w:p>
      <w:pPr>
        <w:pStyle w:val="BodyText"/>
        <w:spacing w:line="285" w:lineRule="auto"/>
        <w:ind w:left="917" w:right="1022"/>
        <w:jc w:val="both"/>
      </w:pPr>
      <w:r>
        <w:rPr/>
        <w:t>The Court held that Cape plc assumed responsibility towards Chandler and so owed him a</w:t>
      </w:r>
      <w:r>
        <w:rPr>
          <w:spacing w:val="-56"/>
        </w:rPr>
        <w:t> </w:t>
      </w:r>
      <w:r>
        <w:rPr/>
        <w:t>duty of care, which it had breached. Accordingly, Cape plc was ordered to pay damages to</w:t>
      </w:r>
      <w:r>
        <w:rPr>
          <w:spacing w:val="-56"/>
        </w:rPr>
        <w:t> </w:t>
      </w:r>
      <w:r>
        <w:rPr/>
        <w:t>Chandler.</w:t>
      </w:r>
    </w:p>
    <w:p>
      <w:pPr>
        <w:pStyle w:val="BodyText"/>
        <w:spacing w:before="9"/>
        <w:rPr>
          <w:sz w:val="24"/>
        </w:rPr>
      </w:pPr>
    </w:p>
    <w:p>
      <w:pPr>
        <w:pStyle w:val="BodyText"/>
        <w:spacing w:line="285" w:lineRule="auto"/>
        <w:ind w:left="725" w:right="516"/>
      </w:pPr>
      <w:r>
        <w:rPr>
          <w:rFonts w:ascii="Arial"/>
          <w:b/>
          <w:i/>
          <w:spacing w:val="-1"/>
        </w:rPr>
        <w:t>Chandler </w:t>
      </w:r>
      <w:r>
        <w:rPr>
          <w:spacing w:val="-1"/>
        </w:rPr>
        <w:t>is an important case, but it is important to understand its current impact. The </w:t>
      </w:r>
      <w:r>
        <w:rPr/>
        <w:t>Court</w:t>
      </w:r>
      <w:r>
        <w:rPr>
          <w:spacing w:val="1"/>
        </w:rPr>
        <w:t> </w:t>
      </w:r>
      <w:r>
        <w:rPr>
          <w:spacing w:val="-2"/>
        </w:rPr>
        <w:t>emphatically rejected </w:t>
      </w:r>
      <w:r>
        <w:rPr>
          <w:spacing w:val="-1"/>
        </w:rPr>
        <w:t>any suggestion that the imposition of liability on Cape plc involved a piercing</w:t>
      </w:r>
      <w:r>
        <w:rPr>
          <w:spacing w:val="-56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corporate</w:t>
      </w:r>
      <w:r>
        <w:rPr>
          <w:spacing w:val="-1"/>
        </w:rPr>
        <w:t> </w:t>
      </w:r>
      <w:r>
        <w:rPr>
          <w:spacing w:val="-2"/>
        </w:rPr>
        <w:t>veil.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1"/>
        </w:rPr>
        <w:t>Court</w:t>
      </w:r>
      <w:r>
        <w:rPr>
          <w:spacing w:val="-11"/>
        </w:rPr>
        <w:t> </w:t>
      </w:r>
      <w:r>
        <w:rPr>
          <w:spacing w:val="-1"/>
        </w:rPr>
        <w:t>stated clearly that the</w:t>
      </w:r>
      <w:r>
        <w:rPr/>
        <w:t> </w:t>
      </w:r>
      <w:r>
        <w:rPr>
          <w:spacing w:val="-1"/>
        </w:rPr>
        <w:t>duty was</w:t>
      </w:r>
      <w:r>
        <w:rPr>
          <w:spacing w:val="-9"/>
        </w:rPr>
        <w:t> </w:t>
      </w:r>
      <w:r>
        <w:rPr>
          <w:spacing w:val="-1"/>
        </w:rPr>
        <w:t>based on Cape</w:t>
      </w:r>
      <w:r>
        <w:rPr>
          <w:spacing w:val="-9"/>
        </w:rPr>
        <w:t> </w:t>
      </w:r>
      <w:r>
        <w:rPr>
          <w:spacing w:val="-1"/>
        </w:rPr>
        <w:t>assuming a</w:t>
      </w:r>
    </w:p>
    <w:p>
      <w:pPr>
        <w:spacing w:after="0" w:line="285" w:lineRule="auto"/>
        <w:sectPr>
          <w:pgSz w:w="11910" w:h="16840"/>
          <w:pgMar w:header="0" w:footer="681" w:top="1360" w:bottom="920" w:left="720" w:right="840"/>
        </w:sectPr>
      </w:pPr>
    </w:p>
    <w:p>
      <w:pPr>
        <w:pStyle w:val="BodyText"/>
        <w:spacing w:line="285" w:lineRule="auto" w:before="72"/>
        <w:ind w:left="725" w:right="516"/>
      </w:pPr>
      <w:r>
        <w:rPr>
          <w:spacing w:val="-2"/>
        </w:rPr>
        <w:t>responsibility towards Chandler, which it had breached. The Court </w:t>
      </w:r>
      <w:r>
        <w:rPr>
          <w:spacing w:val="-1"/>
        </w:rPr>
        <w:t>was also keen to stress that the</w:t>
      </w:r>
      <w:r>
        <w:rPr>
          <w:spacing w:val="-56"/>
        </w:rPr>
        <w:t> </w:t>
      </w:r>
      <w:r>
        <w:rPr/>
        <w:t>duty of care owed by a parent company to the employees of its subsidiaries did not arise</w:t>
      </w:r>
      <w:r>
        <w:rPr>
          <w:spacing w:val="1"/>
        </w:rPr>
        <w:t> </w:t>
      </w:r>
      <w:r>
        <w:rPr/>
        <w:t>automatically, and would only occur where the three-stage test in </w:t>
      </w:r>
      <w:r>
        <w:rPr>
          <w:rFonts w:ascii="Arial"/>
          <w:b/>
          <w:i/>
        </w:rPr>
        <w:t>Caparo Industries plc v</w:t>
      </w:r>
      <w:r>
        <w:rPr>
          <w:rFonts w:ascii="Arial"/>
          <w:b/>
          <w:i/>
          <w:spacing w:val="1"/>
        </w:rPr>
        <w:t> </w:t>
      </w:r>
      <w:r>
        <w:rPr>
          <w:rFonts w:ascii="Arial"/>
          <w:b/>
          <w:i/>
        </w:rPr>
        <w:t>Dickman </w:t>
      </w:r>
      <w:r>
        <w:rPr>
          <w:rFonts w:ascii="Arial"/>
          <w:b/>
        </w:rPr>
        <w:t>[1990] </w:t>
      </w:r>
      <w:r>
        <w:rPr/>
        <w:t>was met. Accordingly, whilst </w:t>
      </w:r>
      <w:r>
        <w:rPr>
          <w:rFonts w:ascii="Arial"/>
          <w:b/>
          <w:i/>
        </w:rPr>
        <w:t>Chandler </w:t>
      </w:r>
      <w:r>
        <w:rPr/>
        <w:t>is not an example of the courts piercing</w:t>
      </w:r>
      <w:r>
        <w:rPr>
          <w:spacing w:val="1"/>
        </w:rPr>
        <w:t> </w:t>
      </w:r>
      <w:r>
        <w:rPr>
          <w:spacing w:val="-1"/>
        </w:rPr>
        <w:t>the veil, it does demonstrate that liability can be imposed on a parent </w:t>
      </w:r>
      <w:r>
        <w:rPr/>
        <w:t>for the actions of its</w:t>
      </w:r>
      <w:r>
        <w:rPr>
          <w:spacing w:val="1"/>
        </w:rPr>
        <w:t> </w:t>
      </w:r>
      <w:r>
        <w:rPr>
          <w:spacing w:val="-1"/>
        </w:rPr>
        <w:t>subsidiary without having to pierce the corporate veil. It will be interesting </w:t>
      </w:r>
      <w:r>
        <w:rPr/>
        <w:t>to see how the law</w:t>
      </w:r>
      <w:r>
        <w:rPr>
          <w:spacing w:val="1"/>
        </w:rPr>
        <w:t> </w:t>
      </w:r>
      <w:r>
        <w:rPr>
          <w:spacing w:val="-2"/>
        </w:rPr>
        <w:t>develops following </w:t>
      </w:r>
      <w:r>
        <w:rPr>
          <w:rFonts w:ascii="Arial"/>
          <w:b/>
          <w:i/>
          <w:spacing w:val="-2"/>
        </w:rPr>
        <w:t>Chandler</w:t>
      </w:r>
      <w:r>
        <w:rPr>
          <w:spacing w:val="-2"/>
        </w:rPr>
        <w:t>, and whether </w:t>
      </w:r>
      <w:r>
        <w:rPr>
          <w:spacing w:val="-1"/>
        </w:rPr>
        <w:t>subsequent courts will seek to limit its impact, or widen</w:t>
      </w:r>
      <w:r>
        <w:rPr>
          <w:spacing w:val="-56"/>
        </w:rPr>
        <w:t> </w:t>
      </w:r>
      <w:r>
        <w:rPr/>
        <w:t>its</w:t>
      </w:r>
      <w:r>
        <w:rPr>
          <w:spacing w:val="2"/>
        </w:rPr>
        <w:t> </w:t>
      </w:r>
      <w:r>
        <w:rPr/>
        <w:t>application.</w:t>
      </w:r>
    </w:p>
    <w:p>
      <w:pPr>
        <w:spacing w:after="0" w:line="285" w:lineRule="auto"/>
        <w:sectPr>
          <w:pgSz w:w="11910" w:h="16840"/>
          <w:pgMar w:header="0" w:footer="681" w:top="1360" w:bottom="920" w:left="720" w:right="8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p>
      <w:pPr>
        <w:tabs>
          <w:tab w:pos="1424" w:val="left" w:leader="none"/>
          <w:tab w:pos="6774" w:val="left" w:leader="none"/>
        </w:tabs>
        <w:spacing w:before="1"/>
        <w:ind w:left="0" w:right="188" w:firstLine="0"/>
        <w:jc w:val="center"/>
        <w:rPr>
          <w:rFonts w:ascii="Arial"/>
          <w:b/>
          <w:sz w:val="21"/>
        </w:rPr>
      </w:pPr>
      <w:r>
        <w:rPr>
          <w:rFonts w:ascii="Arial"/>
          <w:b/>
          <w:sz w:val="21"/>
        </w:rPr>
        <w:t>Case</w:t>
        <w:tab/>
        <w:t>Facts</w:t>
        <w:tab/>
        <w:t>Principle</w:t>
      </w:r>
    </w:p>
    <w:p>
      <w:pPr>
        <w:pStyle w:val="BodyText"/>
        <w:spacing w:before="5"/>
        <w:rPr>
          <w:rFonts w:ascii="Arial"/>
          <w:b/>
          <w:sz w:val="25"/>
        </w:rPr>
      </w:pPr>
    </w:p>
    <w:p>
      <w:pPr>
        <w:spacing w:after="0"/>
        <w:rPr>
          <w:rFonts w:ascii="Arial"/>
          <w:sz w:val="25"/>
        </w:rPr>
        <w:sectPr>
          <w:pgSz w:w="11910" w:h="16840"/>
          <w:pgMar w:header="0" w:footer="681" w:top="1580" w:bottom="920" w:left="720" w:right="840"/>
        </w:sectPr>
      </w:pPr>
    </w:p>
    <w:p>
      <w:pPr>
        <w:pStyle w:val="Heading2"/>
        <w:spacing w:line="285" w:lineRule="auto" w:before="95"/>
        <w:ind w:right="26"/>
        <w:rPr>
          <w:i w:val="0"/>
        </w:rPr>
      </w:pPr>
      <w:r>
        <w:rPr/>
        <w:t>Adams</w:t>
      </w:r>
      <w:r>
        <w:rPr>
          <w:spacing w:val="6"/>
        </w:rPr>
        <w:t> </w:t>
      </w:r>
      <w:r>
        <w:rPr/>
        <w:t>v</w:t>
      </w:r>
      <w:r>
        <w:rPr>
          <w:spacing w:val="1"/>
        </w:rPr>
        <w:t> </w:t>
      </w:r>
      <w:r>
        <w:rPr/>
        <w:t>Cape</w:t>
      </w:r>
      <w:r>
        <w:rPr>
          <w:spacing w:val="1"/>
        </w:rPr>
        <w:t> </w:t>
      </w:r>
      <w:r>
        <w:rPr>
          <w:spacing w:val="-4"/>
        </w:rPr>
        <w:t>Industries</w:t>
      </w:r>
      <w:r>
        <w:rPr>
          <w:spacing w:val="-56"/>
        </w:rPr>
        <w:t> </w:t>
      </w:r>
      <w:r>
        <w:rPr>
          <w:spacing w:val="-1"/>
        </w:rPr>
        <w:t>plc</w:t>
      </w:r>
      <w:r>
        <w:rPr>
          <w:spacing w:val="-10"/>
        </w:rPr>
        <w:t> </w:t>
      </w:r>
      <w:r>
        <w:rPr>
          <w:i w:val="0"/>
          <w:spacing w:val="-1"/>
        </w:rPr>
        <w:t>[1990]</w:t>
      </w:r>
    </w:p>
    <w:p>
      <w:pPr>
        <w:pStyle w:val="BodyText"/>
        <w:spacing w:line="280" w:lineRule="auto" w:before="2"/>
        <w:ind w:left="266" w:right="312"/>
      </w:pPr>
      <w:r>
        <w:rPr/>
        <w:t>Ch 433</w:t>
      </w:r>
      <w:r>
        <w:rPr>
          <w:spacing w:val="-56"/>
        </w:rPr>
        <w:t> </w:t>
      </w:r>
      <w:r>
        <w:rPr/>
        <w:t>(Ch)</w:t>
      </w:r>
    </w:p>
    <w:p>
      <w:pPr>
        <w:pStyle w:val="BodyText"/>
        <w:spacing w:line="285" w:lineRule="auto" w:before="95"/>
        <w:ind w:left="266" w:right="27"/>
      </w:pPr>
      <w:r>
        <w:rPr/>
        <w:br w:type="column"/>
      </w:r>
      <w:r>
        <w:rPr/>
        <w:t>A US court held that a US subsidiary was liable to</w:t>
      </w:r>
      <w:r>
        <w:rPr>
          <w:spacing w:val="1"/>
        </w:rPr>
        <w:t> </w:t>
      </w:r>
      <w:r>
        <w:rPr>
          <w:spacing w:val="-2"/>
        </w:rPr>
        <w:t>pay damages to </w:t>
      </w:r>
      <w:r>
        <w:rPr>
          <w:spacing w:val="-1"/>
        </w:rPr>
        <w:t>the US claimants. The claimants</w:t>
      </w:r>
      <w:r>
        <w:rPr/>
        <w:t> wanted to enforce the judgment against the English</w:t>
      </w:r>
      <w:r>
        <w:rPr>
          <w:spacing w:val="1"/>
        </w:rPr>
        <w:t> </w:t>
      </w:r>
      <w:r>
        <w:rPr/>
        <w:t>parent company in an English court, but could only</w:t>
      </w:r>
      <w:r>
        <w:rPr>
          <w:spacing w:val="1"/>
        </w:rPr>
        <w:t> </w:t>
      </w:r>
      <w:r>
        <w:rPr>
          <w:spacing w:val="-2"/>
        </w:rPr>
        <w:t>do </w:t>
      </w:r>
      <w:r>
        <w:rPr>
          <w:spacing w:val="-1"/>
        </w:rPr>
        <w:t>this if the parent was present in the USA. To do</w:t>
      </w:r>
      <w:r>
        <w:rPr/>
        <w:t> this, the separate personality of the subsidiary had to</w:t>
      </w:r>
      <w:r>
        <w:rPr>
          <w:spacing w:val="-56"/>
        </w:rPr>
        <w:t> </w:t>
      </w:r>
      <w:r>
        <w:rPr/>
        <w:t>be</w:t>
      </w:r>
      <w:r>
        <w:rPr>
          <w:spacing w:val="-1"/>
        </w:rPr>
        <w:t> </w:t>
      </w:r>
      <w:r>
        <w:rPr/>
        <w:t>ignored.</w:t>
      </w:r>
    </w:p>
    <w:p>
      <w:pPr>
        <w:pStyle w:val="BodyText"/>
        <w:spacing w:line="285" w:lineRule="auto" w:before="95"/>
        <w:ind w:left="266" w:right="140"/>
      </w:pPr>
      <w:r>
        <w:rPr/>
        <w:br w:type="column"/>
      </w:r>
      <w:r>
        <w:rPr/>
        <w:t>Each company in a group has its</w:t>
      </w:r>
      <w:r>
        <w:rPr>
          <w:spacing w:val="1"/>
        </w:rPr>
        <w:t> </w:t>
      </w:r>
      <w:r>
        <w:rPr/>
        <w:t>own separate corporate</w:t>
      </w:r>
      <w:r>
        <w:rPr>
          <w:spacing w:val="1"/>
        </w:rPr>
        <w:t> </w:t>
      </w:r>
      <w:r>
        <w:rPr>
          <w:spacing w:val="-1"/>
        </w:rPr>
        <w:t>personality. The US subsidiary</w:t>
      </w:r>
      <w:r>
        <w:rPr/>
        <w:t> </w:t>
      </w:r>
      <w:r>
        <w:rPr>
          <w:spacing w:val="-1"/>
        </w:rPr>
        <w:t>was separate and </w:t>
      </w:r>
      <w:r>
        <w:rPr/>
        <w:t>distinct from its</w:t>
      </w:r>
      <w:r>
        <w:rPr>
          <w:spacing w:val="-56"/>
        </w:rPr>
        <w:t> </w:t>
      </w:r>
      <w:r>
        <w:rPr/>
        <w:t>English parent and the claimants</w:t>
      </w:r>
      <w:r>
        <w:rPr>
          <w:spacing w:val="1"/>
        </w:rPr>
        <w:t> </w:t>
      </w:r>
      <w:r>
        <w:rPr>
          <w:spacing w:val="-2"/>
        </w:rPr>
        <w:t>could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therefore</w:t>
      </w:r>
      <w:r>
        <w:rPr>
          <w:spacing w:val="-13"/>
        </w:rPr>
        <w:t> </w:t>
      </w:r>
      <w:r>
        <w:rPr>
          <w:spacing w:val="-2"/>
        </w:rPr>
        <w:t>enforce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1"/>
        </w:rPr>
        <w:t>US</w:t>
      </w:r>
      <w:r>
        <w:rPr>
          <w:spacing w:val="-55"/>
        </w:rPr>
        <w:t> </w:t>
      </w:r>
      <w:r>
        <w:rPr/>
        <w:t>judgment</w:t>
      </w:r>
      <w:r>
        <w:rPr>
          <w:spacing w:val="-10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English</w:t>
      </w:r>
      <w:r>
        <w:rPr>
          <w:spacing w:val="-3"/>
        </w:rPr>
        <w:t> </w:t>
      </w:r>
      <w:r>
        <w:rPr/>
        <w:t>court.</w:t>
      </w:r>
    </w:p>
    <w:p>
      <w:pPr>
        <w:spacing w:after="0" w:line="285" w:lineRule="auto"/>
        <w:sectPr>
          <w:type w:val="continuous"/>
          <w:pgSz w:w="11910" w:h="16840"/>
          <w:pgMar w:top="1500" w:bottom="880" w:left="720" w:right="840"/>
          <w:cols w:num="3" w:equalWidth="0">
            <w:col w:w="1276" w:space="151"/>
            <w:col w:w="5228" w:space="120"/>
            <w:col w:w="357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1500" w:bottom="880" w:left="720" w:right="840"/>
        </w:sectPr>
      </w:pPr>
    </w:p>
    <w:p>
      <w:pPr>
        <w:spacing w:line="285" w:lineRule="auto" w:before="94"/>
        <w:ind w:left="266" w:right="31" w:firstLine="0"/>
        <w:jc w:val="left"/>
        <w:rPr>
          <w:sz w:val="21"/>
        </w:rPr>
      </w:pPr>
      <w:r>
        <w:rPr>
          <w:rFonts w:ascii="Arial"/>
          <w:b/>
          <w:i/>
          <w:sz w:val="21"/>
        </w:rPr>
        <w:t>Chandler</w:t>
      </w:r>
      <w:r>
        <w:rPr>
          <w:rFonts w:ascii="Arial"/>
          <w:b/>
          <w:i/>
          <w:spacing w:val="1"/>
          <w:sz w:val="21"/>
        </w:rPr>
        <w:t> </w:t>
      </w:r>
      <w:r>
        <w:rPr>
          <w:rFonts w:ascii="Arial"/>
          <w:b/>
          <w:i/>
          <w:sz w:val="21"/>
        </w:rPr>
        <w:t>v Cape</w:t>
      </w:r>
      <w:r>
        <w:rPr>
          <w:rFonts w:ascii="Arial"/>
          <w:b/>
          <w:i/>
          <w:spacing w:val="1"/>
          <w:sz w:val="21"/>
        </w:rPr>
        <w:t> </w:t>
      </w:r>
      <w:r>
        <w:rPr>
          <w:rFonts w:ascii="Arial"/>
          <w:b/>
          <w:i/>
          <w:sz w:val="21"/>
        </w:rPr>
        <w:t>plc </w:t>
      </w:r>
      <w:r>
        <w:rPr>
          <w:rFonts w:ascii="Arial"/>
          <w:b/>
          <w:sz w:val="21"/>
        </w:rPr>
        <w:t>[2012]</w:t>
      </w:r>
      <w:r>
        <w:rPr>
          <w:rFonts w:ascii="Arial"/>
          <w:b/>
          <w:spacing w:val="-56"/>
          <w:sz w:val="21"/>
        </w:rPr>
        <w:t> </w:t>
      </w:r>
      <w:r>
        <w:rPr>
          <w:spacing w:val="-2"/>
          <w:sz w:val="21"/>
        </w:rPr>
        <w:t>EWCA </w:t>
      </w:r>
      <w:r>
        <w:rPr>
          <w:spacing w:val="-1"/>
          <w:sz w:val="21"/>
        </w:rPr>
        <w:t>Civ</w:t>
      </w:r>
      <w:r>
        <w:rPr>
          <w:spacing w:val="-56"/>
          <w:sz w:val="21"/>
        </w:rPr>
        <w:t> </w:t>
      </w:r>
      <w:r>
        <w:rPr>
          <w:sz w:val="21"/>
        </w:rPr>
        <w:t>525</w:t>
      </w:r>
    </w:p>
    <w:p>
      <w:pPr>
        <w:pStyle w:val="BodyText"/>
        <w:spacing w:line="285" w:lineRule="auto" w:before="94"/>
        <w:ind w:left="266" w:right="33"/>
      </w:pPr>
      <w:r>
        <w:rPr/>
        <w:br w:type="column"/>
      </w:r>
      <w:r>
        <w:rPr>
          <w:spacing w:val="-1"/>
        </w:rPr>
        <w:t>The claimant contracted asbestosis whilst working </w:t>
      </w:r>
      <w:r>
        <w:rPr/>
        <w:t>for</w:t>
      </w:r>
      <w:r>
        <w:rPr>
          <w:spacing w:val="-56"/>
        </w:rPr>
        <w:t> </w:t>
      </w:r>
      <w:r>
        <w:rPr/>
        <w:t>a subsidiary of the defendant. When the claimant</w:t>
      </w:r>
      <w:r>
        <w:rPr>
          <w:spacing w:val="1"/>
        </w:rPr>
        <w:t> </w:t>
      </w:r>
      <w:r>
        <w:rPr/>
        <w:t>discovered his condition, the subsidiary had long</w:t>
      </w:r>
      <w:r>
        <w:rPr>
          <w:spacing w:val="1"/>
        </w:rPr>
        <w:t> </w:t>
      </w:r>
      <w:r>
        <w:rPr/>
        <w:t>since been dissolved, so the claimant commenced</w:t>
      </w:r>
      <w:r>
        <w:rPr>
          <w:spacing w:val="1"/>
        </w:rPr>
        <w:t> </w:t>
      </w:r>
      <w:r>
        <w:rPr/>
        <w:t>proceedings</w:t>
      </w:r>
      <w:r>
        <w:rPr>
          <w:spacing w:val="-10"/>
        </w:rPr>
        <w:t> </w:t>
      </w:r>
      <w:r>
        <w:rPr/>
        <w:t>against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subsidiary’s</w:t>
      </w:r>
      <w:r>
        <w:rPr>
          <w:spacing w:val="-4"/>
        </w:rPr>
        <w:t> </w:t>
      </w:r>
      <w:r>
        <w:rPr/>
        <w:t>parent.</w:t>
      </w:r>
    </w:p>
    <w:p>
      <w:pPr>
        <w:pStyle w:val="BodyText"/>
        <w:spacing w:line="285" w:lineRule="auto" w:before="94"/>
        <w:ind w:left="266" w:right="124"/>
      </w:pPr>
      <w:r>
        <w:rPr/>
        <w:br w:type="column"/>
      </w:r>
      <w:r>
        <w:rPr/>
        <w:t>A parent company can owe a duty</w:t>
      </w:r>
      <w:r>
        <w:rPr>
          <w:spacing w:val="-56"/>
        </w:rPr>
        <w:t> </w:t>
      </w:r>
      <w:r>
        <w:rPr/>
        <w:t>of care directly to an employee of</w:t>
      </w:r>
      <w:r>
        <w:rPr>
          <w:spacing w:val="1"/>
        </w:rPr>
        <w:t> </w:t>
      </w:r>
      <w:r>
        <w:rPr/>
        <w:t>its subsidiary, providing that the</w:t>
      </w:r>
      <w:r>
        <w:rPr>
          <w:spacing w:val="1"/>
        </w:rPr>
        <w:t> </w:t>
      </w:r>
      <w:r>
        <w:rPr/>
        <w:t>three-stage test for establishing</w:t>
      </w:r>
      <w:r>
        <w:rPr>
          <w:spacing w:val="1"/>
        </w:rPr>
        <w:t> </w:t>
      </w:r>
      <w:r>
        <w:rPr/>
        <w:t>duty has been satisfied. This does</w:t>
      </w:r>
      <w:r>
        <w:rPr>
          <w:spacing w:val="-56"/>
        </w:rPr>
        <w:t> </w:t>
      </w:r>
      <w:r>
        <w:rPr/>
        <w:t>not involve piercing the corporate</w:t>
      </w:r>
      <w:r>
        <w:rPr>
          <w:spacing w:val="1"/>
        </w:rPr>
        <w:t> </w:t>
      </w:r>
      <w:r>
        <w:rPr/>
        <w:t>veil.</w:t>
      </w:r>
    </w:p>
    <w:p>
      <w:pPr>
        <w:spacing w:after="0" w:line="285" w:lineRule="auto"/>
        <w:sectPr>
          <w:type w:val="continuous"/>
          <w:pgSz w:w="11910" w:h="16840"/>
          <w:pgMar w:top="1500" w:bottom="880" w:left="720" w:right="840"/>
          <w:cols w:num="3" w:equalWidth="0">
            <w:col w:w="1290" w:space="134"/>
            <w:col w:w="5230" w:space="122"/>
            <w:col w:w="3574"/>
          </w:cols>
        </w:sectPr>
      </w:pPr>
    </w:p>
    <w:p>
      <w:pPr>
        <w:pStyle w:val="BodyText"/>
        <w:spacing w:before="5"/>
      </w:pPr>
    </w:p>
    <w:p>
      <w:pPr>
        <w:spacing w:after="0"/>
        <w:sectPr>
          <w:type w:val="continuous"/>
          <w:pgSz w:w="11910" w:h="16840"/>
          <w:pgMar w:top="1500" w:bottom="880" w:left="720" w:right="840"/>
        </w:sectPr>
      </w:pPr>
    </w:p>
    <w:p>
      <w:pPr>
        <w:spacing w:line="285" w:lineRule="auto" w:before="94"/>
        <w:ind w:left="266" w:right="26" w:firstLine="0"/>
        <w:jc w:val="left"/>
        <w:rPr>
          <w:sz w:val="21"/>
        </w:rPr>
      </w:pPr>
      <w:r>
        <w:rPr>
          <w:rFonts w:ascii="Arial"/>
          <w:b/>
          <w:i/>
          <w:sz w:val="21"/>
        </w:rPr>
        <w:t>Gilford</w:t>
      </w:r>
      <w:r>
        <w:rPr>
          <w:rFonts w:ascii="Arial"/>
          <w:b/>
          <w:i/>
          <w:spacing w:val="1"/>
          <w:sz w:val="21"/>
        </w:rPr>
        <w:t> </w:t>
      </w:r>
      <w:r>
        <w:rPr>
          <w:rFonts w:ascii="Arial"/>
          <w:b/>
          <w:i/>
          <w:spacing w:val="-3"/>
          <w:sz w:val="21"/>
        </w:rPr>
        <w:t>Motor Co</w:t>
      </w:r>
      <w:r>
        <w:rPr>
          <w:rFonts w:ascii="Arial"/>
          <w:b/>
          <w:i/>
          <w:spacing w:val="-56"/>
          <w:sz w:val="21"/>
        </w:rPr>
        <w:t> </w:t>
      </w:r>
      <w:r>
        <w:rPr>
          <w:rFonts w:ascii="Arial"/>
          <w:b/>
          <w:i/>
          <w:sz w:val="21"/>
        </w:rPr>
        <w:t>Ltd v</w:t>
      </w:r>
      <w:r>
        <w:rPr>
          <w:rFonts w:ascii="Arial"/>
          <w:b/>
          <w:i/>
          <w:spacing w:val="1"/>
          <w:sz w:val="21"/>
        </w:rPr>
        <w:t> </w:t>
      </w:r>
      <w:r>
        <w:rPr>
          <w:rFonts w:ascii="Arial"/>
          <w:b/>
          <w:i/>
          <w:sz w:val="21"/>
        </w:rPr>
        <w:t>Horne</w:t>
      </w:r>
      <w:r>
        <w:rPr>
          <w:rFonts w:ascii="Arial"/>
          <w:b/>
          <w:i/>
          <w:spacing w:val="1"/>
          <w:sz w:val="21"/>
        </w:rPr>
        <w:t> </w:t>
      </w:r>
      <w:r>
        <w:rPr>
          <w:rFonts w:ascii="Arial"/>
          <w:b/>
          <w:spacing w:val="-4"/>
          <w:sz w:val="21"/>
        </w:rPr>
        <w:t>[1933]</w:t>
      </w:r>
      <w:r>
        <w:rPr>
          <w:rFonts w:ascii="Arial"/>
          <w:b/>
          <w:spacing w:val="-9"/>
          <w:sz w:val="21"/>
        </w:rPr>
        <w:t> </w:t>
      </w:r>
      <w:r>
        <w:rPr>
          <w:spacing w:val="-3"/>
          <w:sz w:val="21"/>
        </w:rPr>
        <w:t>Ch</w:t>
      </w:r>
    </w:p>
    <w:p>
      <w:pPr>
        <w:pStyle w:val="BodyText"/>
        <w:spacing w:line="240" w:lineRule="exact"/>
        <w:ind w:left="266"/>
      </w:pPr>
      <w:r>
        <w:rPr/>
        <w:t>935</w:t>
      </w:r>
      <w:r>
        <w:rPr>
          <w:spacing w:val="-2"/>
        </w:rPr>
        <w:t> </w:t>
      </w:r>
      <w:r>
        <w:rPr/>
        <w:t>(CA)</w:t>
      </w:r>
    </w:p>
    <w:p>
      <w:pPr>
        <w:pStyle w:val="BodyText"/>
        <w:spacing w:line="283" w:lineRule="auto" w:before="94"/>
        <w:ind w:left="266" w:right="24"/>
      </w:pPr>
      <w:r>
        <w:rPr/>
        <w:br w:type="column"/>
      </w:r>
      <w:r>
        <w:rPr>
          <w:spacing w:val="-3"/>
        </w:rPr>
        <w:t>The defendant </w:t>
      </w:r>
      <w:r>
        <w:rPr>
          <w:spacing w:val="-2"/>
        </w:rPr>
        <w:t>attempted to avoid a restrictive</w:t>
      </w:r>
      <w:r>
        <w:rPr>
          <w:spacing w:val="-1"/>
        </w:rPr>
        <w:t> </w:t>
      </w:r>
      <w:r>
        <w:rPr>
          <w:spacing w:val="-2"/>
        </w:rPr>
        <w:t>covenant by conducting </w:t>
      </w:r>
      <w:r>
        <w:rPr>
          <w:spacing w:val="-1"/>
        </w:rPr>
        <w:t>business through a company</w:t>
      </w:r>
      <w:r>
        <w:rPr>
          <w:spacing w:val="-56"/>
        </w:rPr>
        <w:t> </w:t>
      </w:r>
      <w:r>
        <w:rPr/>
        <w:t>set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wife.</w:t>
      </w:r>
    </w:p>
    <w:p>
      <w:pPr>
        <w:pStyle w:val="BodyText"/>
        <w:spacing w:line="285" w:lineRule="auto" w:before="94"/>
        <w:ind w:left="266" w:right="111"/>
      </w:pPr>
      <w:r>
        <w:rPr/>
        <w:br w:type="column"/>
      </w:r>
      <w:r>
        <w:rPr/>
        <w:t>Corporate personality will be cast</w:t>
      </w:r>
      <w:r>
        <w:rPr>
          <w:spacing w:val="1"/>
        </w:rPr>
        <w:t> </w:t>
      </w:r>
      <w:r>
        <w:rPr/>
        <w:t>aside where a company is a sham</w:t>
      </w:r>
      <w:r>
        <w:rPr>
          <w:spacing w:val="-56"/>
        </w:rPr>
        <w:t> </w:t>
      </w:r>
      <w:r>
        <w:rPr/>
        <w:t>or is used to evade a contractual</w:t>
      </w:r>
      <w:r>
        <w:rPr>
          <w:spacing w:val="1"/>
        </w:rPr>
        <w:t> </w:t>
      </w:r>
      <w:r>
        <w:rPr/>
        <w:t>obligation.</w:t>
      </w:r>
    </w:p>
    <w:p>
      <w:pPr>
        <w:spacing w:after="0" w:line="285" w:lineRule="auto"/>
        <w:sectPr>
          <w:type w:val="continuous"/>
          <w:pgSz w:w="11910" w:h="16840"/>
          <w:pgMar w:top="1500" w:bottom="880" w:left="720" w:right="840"/>
          <w:cols w:num="3" w:equalWidth="0">
            <w:col w:w="1210" w:space="215"/>
            <w:col w:w="5188" w:space="165"/>
            <w:col w:w="357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500" w:bottom="880" w:left="720" w:right="840"/>
        </w:sectPr>
      </w:pPr>
    </w:p>
    <w:p>
      <w:pPr>
        <w:pStyle w:val="Heading2"/>
        <w:spacing w:line="285" w:lineRule="auto" w:before="211"/>
        <w:ind w:right="36"/>
        <w:rPr>
          <w:i w:val="0"/>
        </w:rPr>
      </w:pPr>
      <w:r>
        <w:rPr/>
        <w:t>Lee v</w:t>
      </w:r>
      <w:r>
        <w:rPr>
          <w:spacing w:val="1"/>
        </w:rPr>
        <w:t> </w:t>
      </w:r>
      <w:r>
        <w:rPr/>
        <w:t>Lee’s</w:t>
      </w:r>
      <w:r>
        <w:rPr>
          <w:spacing w:val="3"/>
        </w:rPr>
        <w:t> </w:t>
      </w:r>
      <w:r>
        <w:rPr/>
        <w:t>Air</w:t>
      </w:r>
      <w:r>
        <w:rPr>
          <w:spacing w:val="1"/>
        </w:rPr>
        <w:t> </w:t>
      </w:r>
      <w:r>
        <w:rPr/>
        <w:t>Farming</w:t>
      </w:r>
      <w:r>
        <w:rPr>
          <w:spacing w:val="1"/>
        </w:rPr>
        <w:t> </w:t>
      </w:r>
      <w:r>
        <w:rPr>
          <w:spacing w:val="-5"/>
        </w:rPr>
        <w:t>Ltd</w:t>
      </w:r>
      <w:r>
        <w:rPr>
          <w:spacing w:val="-9"/>
        </w:rPr>
        <w:t> </w:t>
      </w:r>
      <w:r>
        <w:rPr>
          <w:i w:val="0"/>
          <w:spacing w:val="-5"/>
        </w:rPr>
        <w:t>[1961]</w:t>
      </w:r>
    </w:p>
    <w:p>
      <w:pPr>
        <w:pStyle w:val="BodyText"/>
        <w:spacing w:line="285" w:lineRule="auto" w:before="2"/>
        <w:ind w:left="266" w:right="390"/>
      </w:pPr>
      <w:r>
        <w:rPr/>
        <w:t>AC 12</w:t>
      </w:r>
      <w:r>
        <w:rPr>
          <w:spacing w:val="-56"/>
        </w:rPr>
        <w:t> </w:t>
      </w:r>
      <w:r>
        <w:rPr/>
        <w:t>(PC)</w:t>
      </w:r>
    </w:p>
    <w:p>
      <w:pPr>
        <w:pStyle w:val="BodyText"/>
        <w:spacing w:line="285" w:lineRule="auto" w:before="211"/>
        <w:ind w:left="266"/>
      </w:pPr>
      <w:r>
        <w:rPr/>
        <w:br w:type="column"/>
      </w:r>
      <w:r>
        <w:rPr>
          <w:spacing w:val="-2"/>
        </w:rPr>
        <w:t>The sole director (and majority shareholder) </w:t>
      </w:r>
      <w:r>
        <w:rPr>
          <w:spacing w:val="-1"/>
        </w:rPr>
        <w:t>of a</w:t>
      </w:r>
      <w:r>
        <w:rPr/>
        <w:t> company</w:t>
      </w:r>
      <w:r>
        <w:rPr>
          <w:spacing w:val="-6"/>
        </w:rPr>
        <w:t> </w:t>
      </w:r>
      <w:r>
        <w:rPr/>
        <w:t>entered</w:t>
      </w:r>
      <w:r>
        <w:rPr>
          <w:spacing w:val="-10"/>
        </w:rPr>
        <w:t> </w:t>
      </w:r>
      <w:r>
        <w:rPr/>
        <w:t>into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contract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with</w:t>
      </w:r>
      <w:r>
        <w:rPr>
          <w:spacing w:val="-56"/>
        </w:rPr>
        <w:t> </w:t>
      </w:r>
      <w:r>
        <w:rPr/>
        <w:t>that company. He was killed whilst working for the</w:t>
      </w:r>
      <w:r>
        <w:rPr>
          <w:spacing w:val="1"/>
        </w:rPr>
        <w:t> </w:t>
      </w:r>
      <w:r>
        <w:rPr/>
        <w:t>company,</w:t>
      </w:r>
      <w:r>
        <w:rPr>
          <w:spacing w:val="-7"/>
        </w:rPr>
        <w:t> </w:t>
      </w:r>
      <w:r>
        <w:rPr/>
        <w:t>but</w:t>
      </w:r>
      <w:r>
        <w:rPr>
          <w:spacing w:val="-12"/>
        </w:rPr>
        <w:t> </w:t>
      </w:r>
      <w:r>
        <w:rPr/>
        <w:t>the</w:t>
      </w:r>
      <w:r>
        <w:rPr>
          <w:spacing w:val="-7"/>
        </w:rPr>
        <w:t> </w:t>
      </w:r>
      <w:r>
        <w:rPr/>
        <w:t>insurance</w:t>
      </w:r>
      <w:r>
        <w:rPr>
          <w:spacing w:val="-6"/>
        </w:rPr>
        <w:t> </w:t>
      </w:r>
      <w:r>
        <w:rPr/>
        <w:t>company</w:t>
      </w:r>
      <w:r>
        <w:rPr>
          <w:spacing w:val="-8"/>
        </w:rPr>
        <w:t> </w:t>
      </w:r>
      <w:r>
        <w:rPr/>
        <w:t>refused</w:t>
      </w:r>
      <w:r>
        <w:rPr>
          <w:spacing w:val="-12"/>
        </w:rPr>
        <w:t> </w:t>
      </w:r>
      <w:r>
        <w:rPr/>
        <w:t>to</w:t>
      </w:r>
      <w:r>
        <w:rPr>
          <w:spacing w:val="-1"/>
        </w:rPr>
        <w:t> </w:t>
      </w:r>
      <w:r>
        <w:rPr/>
        <w:t>pay</w:t>
      </w:r>
      <w:r>
        <w:rPr>
          <w:spacing w:val="-55"/>
        </w:rPr>
        <w:t> </w:t>
      </w:r>
      <w:r>
        <w:rPr/>
        <w:t>compensation</w:t>
      </w:r>
      <w:r>
        <w:rPr>
          <w:spacing w:val="-2"/>
        </w:rPr>
        <w:t> </w:t>
      </w:r>
      <w:r>
        <w:rPr/>
        <w:t>to</w:t>
      </w:r>
      <w:r>
        <w:rPr>
          <w:spacing w:val="4"/>
        </w:rPr>
        <w:t> </w:t>
      </w:r>
      <w:r>
        <w:rPr/>
        <w:t>his</w:t>
      </w:r>
      <w:r>
        <w:rPr>
          <w:spacing w:val="-2"/>
        </w:rPr>
        <w:t> </w:t>
      </w:r>
      <w:r>
        <w:rPr/>
        <w:t>widow.</w:t>
      </w:r>
    </w:p>
    <w:p>
      <w:pPr>
        <w:pStyle w:val="BodyText"/>
        <w:spacing w:line="285" w:lineRule="auto" w:before="211"/>
        <w:ind w:left="266" w:right="139"/>
      </w:pPr>
      <w:r>
        <w:rPr/>
        <w:br w:type="column"/>
      </w:r>
      <w:r>
        <w:rPr/>
        <w:t>As the company is a legal person,</w:t>
      </w:r>
      <w:r>
        <w:rPr>
          <w:spacing w:val="-56"/>
        </w:rPr>
        <w:t> </w:t>
      </w:r>
      <w:r>
        <w:rPr/>
        <w:t>it can enter into binding contracts,</w:t>
      </w:r>
      <w:r>
        <w:rPr>
          <w:spacing w:val="-56"/>
        </w:rPr>
        <w:t> </w:t>
      </w:r>
      <w:r>
        <w:rPr/>
        <w:t>with persons inside the company,</w:t>
      </w:r>
      <w:r>
        <w:rPr>
          <w:spacing w:val="-56"/>
        </w:rPr>
        <w:t> </w:t>
      </w:r>
      <w:r>
        <w:rPr/>
        <w:t>as well as those outside the</w:t>
      </w:r>
      <w:r>
        <w:rPr>
          <w:spacing w:val="1"/>
        </w:rPr>
        <w:t> </w:t>
      </w:r>
      <w:r>
        <w:rPr/>
        <w:t>company.</w:t>
      </w:r>
    </w:p>
    <w:p>
      <w:pPr>
        <w:spacing w:after="0" w:line="285" w:lineRule="auto"/>
        <w:sectPr>
          <w:type w:val="continuous"/>
          <w:pgSz w:w="11910" w:h="16840"/>
          <w:pgMar w:top="1500" w:bottom="880" w:left="720" w:right="840"/>
          <w:cols w:num="3" w:equalWidth="0">
            <w:col w:w="1260" w:space="166"/>
            <w:col w:w="5151" w:space="196"/>
            <w:col w:w="357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1500" w:bottom="880" w:left="720" w:right="840"/>
        </w:sectPr>
      </w:pPr>
    </w:p>
    <w:p>
      <w:pPr>
        <w:pStyle w:val="Heading2"/>
        <w:spacing w:line="285" w:lineRule="auto" w:before="95"/>
        <w:ind w:right="22"/>
        <w:rPr>
          <w:rFonts w:ascii="Arial MT"/>
          <w:b w:val="0"/>
          <w:i w:val="0"/>
        </w:rPr>
      </w:pPr>
      <w:r>
        <w:rPr/>
        <w:t>Macaura v</w:t>
      </w:r>
      <w:r>
        <w:rPr>
          <w:spacing w:val="-56"/>
        </w:rPr>
        <w:t> </w:t>
      </w:r>
      <w:r>
        <w:rPr/>
        <w:t>Northern</w:t>
      </w:r>
      <w:r>
        <w:rPr>
          <w:spacing w:val="1"/>
        </w:rPr>
        <w:t> </w:t>
      </w:r>
      <w:r>
        <w:rPr>
          <w:w w:val="90"/>
        </w:rPr>
        <w:t>Assurance</w:t>
      </w:r>
      <w:r>
        <w:rPr>
          <w:spacing w:val="1"/>
          <w:w w:val="90"/>
        </w:rPr>
        <w:t> </w:t>
      </w:r>
      <w:r>
        <w:rPr/>
        <w:t>Co Ltd</w:t>
      </w:r>
      <w:r>
        <w:rPr>
          <w:spacing w:val="1"/>
        </w:rPr>
        <w:t> </w:t>
      </w:r>
      <w:r>
        <w:rPr>
          <w:i w:val="0"/>
        </w:rPr>
        <w:t>[1925]</w:t>
      </w:r>
      <w:r>
        <w:rPr>
          <w:i w:val="0"/>
          <w:spacing w:val="-2"/>
        </w:rPr>
        <w:t> </w:t>
      </w:r>
      <w:r>
        <w:rPr>
          <w:rFonts w:ascii="Arial MT"/>
          <w:b w:val="0"/>
          <w:i w:val="0"/>
        </w:rPr>
        <w:t>AC</w:t>
      </w:r>
    </w:p>
    <w:p>
      <w:pPr>
        <w:pStyle w:val="BodyText"/>
        <w:spacing w:line="240" w:lineRule="exact"/>
        <w:ind w:left="266"/>
      </w:pPr>
      <w:r>
        <w:rPr/>
        <w:t>619</w:t>
      </w:r>
      <w:r>
        <w:rPr>
          <w:spacing w:val="-2"/>
        </w:rPr>
        <w:t> </w:t>
      </w:r>
      <w:r>
        <w:rPr/>
        <w:t>(HL)</w:t>
      </w:r>
    </w:p>
    <w:p>
      <w:pPr>
        <w:pStyle w:val="BodyText"/>
        <w:spacing w:line="285" w:lineRule="auto" w:before="95"/>
        <w:ind w:left="266"/>
      </w:pPr>
      <w:r>
        <w:rPr/>
        <w:br w:type="column"/>
      </w:r>
      <w:r>
        <w:rPr/>
        <w:t>The claimant transferred his stock of timber to a</w:t>
      </w:r>
      <w:r>
        <w:rPr>
          <w:spacing w:val="1"/>
        </w:rPr>
        <w:t> </w:t>
      </w:r>
      <w:r>
        <w:rPr/>
        <w:t>company and took out, in his own name, an</w:t>
      </w:r>
      <w:r>
        <w:rPr>
          <w:spacing w:val="1"/>
        </w:rPr>
        <w:t> </w:t>
      </w:r>
      <w:r>
        <w:rPr/>
        <w:t>insurance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insuring</w:t>
      </w:r>
      <w:r>
        <w:rPr>
          <w:spacing w:val="-3"/>
        </w:rPr>
        <w:t> </w:t>
      </w:r>
      <w:r>
        <w:rPr/>
        <w:t>against</w:t>
      </w:r>
      <w:r>
        <w:rPr>
          <w:spacing w:val="-3"/>
        </w:rPr>
        <w:t> </w:t>
      </w:r>
      <w:r>
        <w:rPr/>
        <w:t>loss</w:t>
      </w:r>
      <w:r>
        <w:rPr>
          <w:spacing w:val="-2"/>
        </w:rPr>
        <w:t> </w:t>
      </w:r>
      <w:r>
        <w:rPr/>
        <w:t>caused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55"/>
        </w:rPr>
        <w:t> </w:t>
      </w:r>
      <w:r>
        <w:rPr/>
        <w:t>timber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fire.</w:t>
      </w:r>
    </w:p>
    <w:p>
      <w:pPr>
        <w:pStyle w:val="BodyText"/>
        <w:spacing w:line="285" w:lineRule="auto" w:before="95"/>
        <w:ind w:left="266" w:right="152"/>
      </w:pPr>
      <w:r>
        <w:rPr/>
        <w:br w:type="column"/>
      </w:r>
      <w:r>
        <w:rPr/>
        <w:t>The assets of the company are</w:t>
      </w:r>
      <w:r>
        <w:rPr>
          <w:spacing w:val="1"/>
        </w:rPr>
        <w:t> </w:t>
      </w:r>
      <w:r>
        <w:rPr/>
        <w:t>separate from the assets of its</w:t>
      </w:r>
      <w:r>
        <w:rPr>
          <w:spacing w:val="1"/>
        </w:rPr>
        <w:t> </w:t>
      </w:r>
      <w:r>
        <w:rPr/>
        <w:t>members, and the members have</w:t>
      </w:r>
      <w:r>
        <w:rPr>
          <w:spacing w:val="-56"/>
        </w:rPr>
        <w:t> </w:t>
      </w:r>
      <w:r>
        <w:rPr/>
        <w:t>no proprietary interest in the</w:t>
      </w:r>
      <w:r>
        <w:rPr>
          <w:spacing w:val="1"/>
        </w:rPr>
        <w:t> </w:t>
      </w:r>
      <w:r>
        <w:rPr/>
        <w:t>company’s</w:t>
      </w:r>
      <w:r>
        <w:rPr>
          <w:spacing w:val="-2"/>
        </w:rPr>
        <w:t> </w:t>
      </w:r>
      <w:r>
        <w:rPr/>
        <w:t>assets.</w:t>
      </w:r>
    </w:p>
    <w:p>
      <w:pPr>
        <w:spacing w:after="0" w:line="285" w:lineRule="auto"/>
        <w:sectPr>
          <w:type w:val="continuous"/>
          <w:pgSz w:w="11910" w:h="16840"/>
          <w:pgMar w:top="1500" w:bottom="880" w:left="720" w:right="840"/>
          <w:cols w:num="3" w:equalWidth="0">
            <w:col w:w="1336" w:space="89"/>
            <w:col w:w="5092" w:space="255"/>
            <w:col w:w="3578"/>
          </w:cols>
        </w:sectPr>
      </w:pPr>
    </w:p>
    <w:p>
      <w:pPr>
        <w:pStyle w:val="Heading2"/>
        <w:spacing w:line="285" w:lineRule="auto" w:before="165"/>
        <w:ind w:right="30"/>
        <w:rPr>
          <w:i w:val="0"/>
        </w:rPr>
      </w:pPr>
      <w:r>
        <w:rPr/>
        <w:t>Petrodel</w:t>
      </w:r>
      <w:r>
        <w:rPr>
          <w:spacing w:val="1"/>
        </w:rPr>
        <w:t> </w:t>
      </w:r>
      <w:r>
        <w:rPr>
          <w:w w:val="90"/>
        </w:rPr>
        <w:t>Resources</w:t>
      </w:r>
      <w:r>
        <w:rPr>
          <w:spacing w:val="-50"/>
          <w:w w:val="90"/>
        </w:rPr>
        <w:t> </w:t>
      </w:r>
      <w:r>
        <w:rPr/>
        <w:t>Ltd v</w:t>
      </w:r>
      <w:r>
        <w:rPr>
          <w:spacing w:val="1"/>
        </w:rPr>
        <w:t> </w:t>
      </w:r>
      <w:r>
        <w:rPr/>
        <w:t>Prest</w:t>
      </w:r>
      <w:r>
        <w:rPr>
          <w:spacing w:val="1"/>
        </w:rPr>
        <w:t> </w:t>
      </w:r>
      <w:r>
        <w:rPr>
          <w:i w:val="0"/>
        </w:rPr>
        <w:t>[2013]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0"/>
        <w:rPr>
          <w:rFonts w:ascii="Arial"/>
          <w:b/>
          <w:sz w:val="18"/>
        </w:rPr>
      </w:pPr>
    </w:p>
    <w:p>
      <w:pPr>
        <w:spacing w:line="376" w:lineRule="auto" w:before="0"/>
        <w:ind w:left="102" w:right="204" w:firstLine="0"/>
        <w:jc w:val="left"/>
        <w:rPr>
          <w:rFonts w:ascii="Arial"/>
          <w:b/>
          <w:i/>
          <w:sz w:val="21"/>
        </w:rPr>
      </w:pPr>
      <w:r>
        <w:rPr>
          <w:rFonts w:ascii="Arial"/>
          <w:b/>
          <w:i/>
          <w:sz w:val="21"/>
        </w:rPr>
        <w:t>Salomon</w:t>
      </w:r>
      <w:r>
        <w:rPr>
          <w:rFonts w:ascii="Arial"/>
          <w:b/>
          <w:i/>
          <w:spacing w:val="1"/>
          <w:sz w:val="21"/>
        </w:rPr>
        <w:t> </w:t>
      </w:r>
      <w:r>
        <w:rPr>
          <w:rFonts w:ascii="Arial"/>
          <w:b/>
          <w:i/>
          <w:sz w:val="21"/>
        </w:rPr>
        <w:t>v A</w:t>
      </w:r>
      <w:r>
        <w:rPr>
          <w:rFonts w:ascii="Arial"/>
          <w:b/>
          <w:i/>
          <w:spacing w:val="1"/>
          <w:sz w:val="21"/>
        </w:rPr>
        <w:t> </w:t>
      </w:r>
      <w:r>
        <w:rPr>
          <w:rFonts w:ascii="Arial"/>
          <w:b/>
          <w:i/>
          <w:sz w:val="21"/>
        </w:rPr>
        <w:t>Salomon</w:t>
      </w:r>
      <w:r>
        <w:rPr>
          <w:rFonts w:ascii="Arial"/>
          <w:b/>
          <w:i/>
          <w:spacing w:val="1"/>
          <w:sz w:val="21"/>
        </w:rPr>
        <w:t> </w:t>
      </w:r>
      <w:r>
        <w:rPr>
          <w:rFonts w:ascii="Arial"/>
          <w:b/>
          <w:i/>
          <w:sz w:val="21"/>
        </w:rPr>
        <w:t>&amp; Co Ltd</w:t>
      </w:r>
      <w:r>
        <w:rPr>
          <w:rFonts w:ascii="Arial"/>
          <w:b/>
          <w:i/>
          <w:spacing w:val="1"/>
          <w:sz w:val="21"/>
        </w:rPr>
        <w:t> </w:t>
      </w:r>
      <w:r>
        <w:rPr>
          <w:rFonts w:ascii="Arial"/>
          <w:b/>
          <w:i/>
          <w:sz w:val="21"/>
        </w:rPr>
        <w:t>[1897]</w:t>
      </w:r>
      <w:r>
        <w:rPr>
          <w:rFonts w:ascii="Arial"/>
          <w:b/>
          <w:i/>
          <w:spacing w:val="-12"/>
          <w:sz w:val="21"/>
        </w:rPr>
        <w:t> </w:t>
      </w:r>
      <w:r>
        <w:rPr>
          <w:rFonts w:ascii="Arial"/>
          <w:b/>
          <w:i/>
          <w:sz w:val="21"/>
        </w:rPr>
        <w:t>AC</w:t>
      </w:r>
    </w:p>
    <w:p>
      <w:pPr>
        <w:pStyle w:val="Heading2"/>
        <w:spacing w:line="237" w:lineRule="exact"/>
        <w:ind w:left="102"/>
      </w:pPr>
      <w:r>
        <w:rPr/>
        <w:t>2</w:t>
      </w:r>
      <w:r>
        <w:rPr>
          <w:spacing w:val="-1"/>
        </w:rPr>
        <w:t> </w:t>
      </w:r>
      <w:r>
        <w:rPr/>
        <w:t>(HL)</w:t>
      </w:r>
    </w:p>
    <w:p>
      <w:pPr>
        <w:pStyle w:val="BodyText"/>
        <w:spacing w:line="285" w:lineRule="auto" w:before="74"/>
        <w:ind w:left="102" w:right="31"/>
      </w:pPr>
      <w:r>
        <w:rPr/>
        <w:br w:type="column"/>
      </w:r>
      <w:r>
        <w:rPr>
          <w:spacing w:val="-2"/>
        </w:rPr>
        <w:t>Mrs</w:t>
      </w:r>
      <w:r>
        <w:rPr>
          <w:spacing w:val="-4"/>
        </w:rPr>
        <w:t> </w:t>
      </w:r>
      <w:r>
        <w:rPr>
          <w:spacing w:val="-2"/>
        </w:rPr>
        <w:t>Prest</w:t>
      </w:r>
      <w:r>
        <w:rPr>
          <w:spacing w:val="-4"/>
        </w:rPr>
        <w:t> </w:t>
      </w:r>
      <w:r>
        <w:rPr>
          <w:spacing w:val="-2"/>
        </w:rPr>
        <w:t>was</w:t>
      </w:r>
      <w:r>
        <w:rPr>
          <w:spacing w:val="-12"/>
        </w:rPr>
        <w:t> </w:t>
      </w:r>
      <w:r>
        <w:rPr>
          <w:spacing w:val="-1"/>
        </w:rPr>
        <w:t>awarded</w:t>
      </w:r>
      <w:r>
        <w:rPr>
          <w:spacing w:val="-13"/>
        </w:rPr>
        <w:t> </w:t>
      </w:r>
      <w:r>
        <w:rPr>
          <w:spacing w:val="-1"/>
        </w:rPr>
        <w:t>a</w:t>
      </w:r>
      <w:r>
        <w:rPr>
          <w:spacing w:val="-4"/>
        </w:rPr>
        <w:t> </w:t>
      </w:r>
      <w:r>
        <w:rPr>
          <w:spacing w:val="-1"/>
        </w:rPr>
        <w:t>divorce</w:t>
      </w:r>
      <w:r>
        <w:rPr>
          <w:spacing w:val="-14"/>
        </w:rPr>
        <w:t> </w:t>
      </w:r>
      <w:r>
        <w:rPr>
          <w:spacing w:val="-1"/>
        </w:rPr>
        <w:t>settlement</w:t>
      </w:r>
      <w:r>
        <w:rPr>
          <w:spacing w:val="-4"/>
        </w:rPr>
        <w:t> </w:t>
      </w:r>
      <w:r>
        <w:rPr>
          <w:spacing w:val="-1"/>
        </w:rPr>
        <w:t>of</w:t>
      </w:r>
      <w:r>
        <w:rPr>
          <w:spacing w:val="-4"/>
        </w:rPr>
        <w:t> </w:t>
      </w:r>
      <w:r>
        <w:rPr>
          <w:spacing w:val="-1"/>
        </w:rPr>
        <w:t>£17.5</w:t>
      </w:r>
      <w:r>
        <w:rPr>
          <w:spacing w:val="-55"/>
        </w:rPr>
        <w:t> </w:t>
      </w:r>
      <w:r>
        <w:rPr/>
        <w:t>million, but most of Mr Prest’s assets were tied up in</w:t>
      </w:r>
      <w:r>
        <w:rPr>
          <w:spacing w:val="-56"/>
        </w:rPr>
        <w:t> </w:t>
      </w:r>
      <w:r>
        <w:rPr/>
        <w:t>companies that he controlled. Mrs Prest argued that</w:t>
      </w:r>
      <w:r>
        <w:rPr>
          <w:spacing w:val="-56"/>
        </w:rPr>
        <w:t> </w:t>
      </w:r>
      <w:r>
        <w:rPr/>
        <w:t>the corporate personalities of these companies</w:t>
      </w:r>
      <w:r>
        <w:rPr>
          <w:spacing w:val="1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pierced.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line="374" w:lineRule="auto"/>
        <w:ind w:left="102" w:right="53"/>
      </w:pPr>
      <w:r>
        <w:rPr/>
        <w:t>Salomon sold his business to a company that he</w:t>
      </w:r>
      <w:r>
        <w:rPr>
          <w:spacing w:val="1"/>
        </w:rPr>
        <w:t> </w:t>
      </w:r>
      <w:r>
        <w:rPr/>
        <w:t>created, in return for shares and a debenture,</w:t>
      </w:r>
      <w:r>
        <w:rPr>
          <w:spacing w:val="1"/>
        </w:rPr>
        <w:t> </w:t>
      </w:r>
      <w:r>
        <w:rPr/>
        <w:t>secured by floating charge. The company failed and</w:t>
      </w:r>
      <w:r>
        <w:rPr>
          <w:spacing w:val="-56"/>
        </w:rPr>
        <w:t> </w:t>
      </w:r>
      <w:r>
        <w:rPr/>
        <w:t>Salomon enforced the charge and recovered the</w:t>
      </w:r>
      <w:r>
        <w:rPr>
          <w:spacing w:val="1"/>
        </w:rPr>
        <w:t> </w:t>
      </w:r>
      <w:r>
        <w:rPr/>
        <w:t>monies owed to him. As a result, the company’s</w:t>
      </w:r>
      <w:r>
        <w:rPr>
          <w:spacing w:val="1"/>
        </w:rPr>
        <w:t> </w:t>
      </w:r>
      <w:r>
        <w:rPr/>
        <w:t>other creditors went unpaid. The liquidator argued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Salomon</w:t>
      </w:r>
      <w:r>
        <w:rPr>
          <w:spacing w:val="-1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personally</w:t>
      </w:r>
      <w:r>
        <w:rPr>
          <w:spacing w:val="-2"/>
        </w:rPr>
        <w:t> </w:t>
      </w:r>
      <w:r>
        <w:rPr/>
        <w:t>liable.</w:t>
      </w:r>
    </w:p>
    <w:p>
      <w:pPr>
        <w:pStyle w:val="BodyText"/>
        <w:spacing w:before="69"/>
        <w:ind w:left="102"/>
      </w:pPr>
      <w:r>
        <w:rPr/>
        <w:br w:type="column"/>
      </w:r>
      <w:r>
        <w:rPr/>
        <w:t>The</w:t>
      </w:r>
      <w:r>
        <w:rPr>
          <w:spacing w:val="-2"/>
        </w:rPr>
        <w:t> </w:t>
      </w:r>
      <w:r>
        <w:rPr/>
        <w:t>veil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pierced</w:t>
      </w:r>
      <w:r>
        <w:rPr>
          <w:spacing w:val="-2"/>
        </w:rPr>
        <w:t> </w:t>
      </w:r>
      <w:r>
        <w:rPr/>
        <w:t>where</w:t>
      </w:r>
    </w:p>
    <w:p>
      <w:pPr>
        <w:pStyle w:val="BodyText"/>
        <w:spacing w:line="283" w:lineRule="auto" w:before="52"/>
        <w:ind w:left="102" w:right="117"/>
      </w:pPr>
      <w:r>
        <w:rPr/>
        <w:t>(i) a person interposes a company</w:t>
      </w:r>
      <w:r>
        <w:rPr>
          <w:spacing w:val="-56"/>
        </w:rPr>
        <w:t> </w:t>
      </w:r>
      <w:r>
        <w:rPr/>
        <w:t>in order to evade, or frustrate the</w:t>
      </w:r>
      <w:r>
        <w:rPr>
          <w:spacing w:val="1"/>
        </w:rPr>
        <w:t> </w:t>
      </w:r>
      <w:r>
        <w:rPr/>
        <w:t>enforcement of, an existing legal</w:t>
      </w:r>
      <w:r>
        <w:rPr>
          <w:spacing w:val="1"/>
        </w:rPr>
        <w:t> </w:t>
      </w:r>
      <w:r>
        <w:rPr/>
        <w:t>obligation or restriction, and (ii)</w:t>
      </w:r>
      <w:r>
        <w:rPr>
          <w:spacing w:val="1"/>
        </w:rPr>
        <w:t> </w:t>
      </w:r>
      <w:r>
        <w:rPr/>
        <w:t>other conventional remedies have</w:t>
      </w:r>
      <w:r>
        <w:rPr>
          <w:spacing w:val="-56"/>
        </w:rPr>
        <w:t> </w:t>
      </w:r>
      <w:r>
        <w:rPr/>
        <w:t>been</w:t>
      </w:r>
      <w:r>
        <w:rPr>
          <w:spacing w:val="-2"/>
        </w:rPr>
        <w:t> </w:t>
      </w:r>
      <w:r>
        <w:rPr/>
        <w:t>exhausted.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24"/>
        </w:rPr>
      </w:pPr>
    </w:p>
    <w:p>
      <w:pPr>
        <w:pStyle w:val="BodyText"/>
        <w:spacing w:line="331" w:lineRule="auto"/>
        <w:ind w:left="102" w:right="338"/>
      </w:pPr>
      <w:r>
        <w:rPr/>
        <w:t>Setting up a company to shield</w:t>
      </w:r>
      <w:r>
        <w:rPr>
          <w:spacing w:val="1"/>
        </w:rPr>
        <w:t> </w:t>
      </w:r>
      <w:r>
        <w:rPr/>
        <w:t>the directors or members from</w:t>
      </w:r>
      <w:r>
        <w:rPr>
          <w:spacing w:val="1"/>
        </w:rPr>
        <w:t> </w:t>
      </w:r>
      <w:r>
        <w:rPr/>
        <w:t>liability is a legitimate use of the</w:t>
      </w:r>
      <w:r>
        <w:rPr>
          <w:spacing w:val="-56"/>
        </w:rPr>
        <w:t> </w:t>
      </w:r>
      <w:r>
        <w:rPr/>
        <w:t>corporate</w:t>
      </w:r>
      <w:r>
        <w:rPr>
          <w:spacing w:val="-2"/>
        </w:rPr>
        <w:t> </w:t>
      </w:r>
      <w:r>
        <w:rPr/>
        <w:t>form</w:t>
      </w:r>
    </w:p>
    <w:p>
      <w:pPr>
        <w:spacing w:after="0" w:line="331" w:lineRule="auto"/>
        <w:sectPr>
          <w:pgSz w:w="11910" w:h="16840"/>
          <w:pgMar w:header="0" w:footer="681" w:top="1320" w:bottom="920" w:left="720" w:right="840"/>
          <w:cols w:num="3" w:equalWidth="0">
            <w:col w:w="1283" w:space="306"/>
            <w:col w:w="4997" w:space="350"/>
            <w:col w:w="3414"/>
          </w:cols>
        </w:sectPr>
      </w:pPr>
    </w:p>
    <w:p>
      <w:pPr>
        <w:pStyle w:val="BodyText"/>
        <w:spacing w:before="4"/>
        <w:rPr>
          <w:sz w:val="17"/>
        </w:rPr>
      </w:pPr>
    </w:p>
    <w:sectPr>
      <w:pgSz w:w="11910" w:h="16840"/>
      <w:pgMar w:header="0" w:footer="681" w:top="1580" w:bottom="880" w:left="720" w:right="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1.778595pt;margin-top:792.824341pt;width:13.1pt;height:15.55pt;mso-position-horizontal-relative:page;mso-position-vertical-relative:page;z-index:-15808000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17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66"/>
      <w:outlineLvl w:val="2"/>
    </w:pPr>
    <w:rPr>
      <w:rFonts w:ascii="Arial" w:hAnsi="Arial" w:eastAsia="Arial" w:cs="Arial"/>
      <w:b/>
      <w:bCs/>
      <w:i/>
      <w:i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725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ATP 108 Company Law Notes - Incorporation Part 2B.docx</dc:title>
  <dcterms:created xsi:type="dcterms:W3CDTF">2024-03-24T08:37:26Z</dcterms:created>
  <dcterms:modified xsi:type="dcterms:W3CDTF">2024-03-24T08:37:26Z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2019-03-14T00:00:00Z</vt:filetime>
  </property>
  <property fmtid="{D5CDD505-2E9C-101B-9397-08002B2CF9AE}" pid="3" name="Creator">
    <vt:lpwstr>Word</vt:lpwstr>
  </property>
  <property fmtid="{D5CDD505-2E9C-101B-9397-08002B2CF9AE}" pid="4" name="LastSaved">
    <vt:filetime>2024-03-24T00:00:00Z</vt:filetime>
  </property>
</Properties>
</file>