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987" cy="81410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987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7"/>
        <w:rPr>
          <w:rFonts w:ascii="Times New Roman"/>
        </w:rPr>
      </w:pPr>
    </w:p>
    <w:p>
      <w:pPr>
        <w:pStyle w:val="BodyText"/>
        <w:ind w:left="682"/>
        <w:rPr>
          <w:rFonts w:ascii="Verdana"/>
        </w:rPr>
      </w:pPr>
      <w:r>
        <w:rPr>
          <w:rFonts w:ascii="Verdana"/>
        </w:rPr>
        <w:t>PN/08:</w:t>
      </w:r>
      <w:r>
        <w:rPr>
          <w:rFonts w:ascii="Verdana"/>
          <w:spacing w:val="21"/>
        </w:rPr>
        <w:t> </w:t>
      </w:r>
      <w:r>
        <w:rPr>
          <w:rFonts w:ascii="Verdana"/>
        </w:rPr>
        <w:t>Specific</w:t>
      </w:r>
      <w:r>
        <w:rPr>
          <w:rFonts w:ascii="Verdana"/>
          <w:spacing w:val="24"/>
        </w:rPr>
        <w:t> </w:t>
      </w:r>
      <w:r>
        <w:rPr>
          <w:rFonts w:ascii="Verdana"/>
        </w:rPr>
        <w:t>compliance</w:t>
      </w:r>
      <w:r>
        <w:rPr>
          <w:rFonts w:ascii="Verdana"/>
          <w:spacing w:val="24"/>
        </w:rPr>
        <w:t> </w:t>
      </w:r>
      <w:r>
        <w:rPr>
          <w:rFonts w:ascii="Verdana"/>
        </w:rPr>
        <w:t>obligations</w:t>
      </w:r>
      <w:r>
        <w:rPr>
          <w:rFonts w:ascii="Verdana"/>
          <w:spacing w:val="25"/>
        </w:rPr>
        <w:t> </w:t>
      </w:r>
      <w:r>
        <w:rPr>
          <w:rFonts w:ascii="Verdana"/>
        </w:rPr>
        <w:t>for</w:t>
      </w:r>
      <w:r>
        <w:rPr>
          <w:rFonts w:ascii="Verdana"/>
          <w:spacing w:val="24"/>
        </w:rPr>
        <w:t> </w:t>
      </w:r>
      <w:r>
        <w:rPr>
          <w:rFonts w:ascii="Verdana"/>
        </w:rPr>
        <w:t>quoted/listed</w:t>
      </w:r>
      <w:r>
        <w:rPr>
          <w:rFonts w:ascii="Verdana"/>
          <w:spacing w:val="21"/>
        </w:rPr>
        <w:t> </w:t>
      </w:r>
      <w:r>
        <w:rPr>
          <w:rFonts w:ascii="Verdana"/>
          <w:spacing w:val="-2"/>
        </w:rPr>
        <w:t>companies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30"/>
        <w:rPr>
          <w:rFonts w:ascii="Verdana"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5492750</wp:posOffset>
            </wp:positionH>
            <wp:positionV relativeFrom="paragraph">
              <wp:posOffset>252510</wp:posOffset>
            </wp:positionV>
            <wp:extent cx="2223567" cy="281235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567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Verdana"/>
          <w:sz w:val="20"/>
        </w:rPr>
        <w:sectPr>
          <w:type w:val="continuous"/>
          <w:pgSz w:w="12240" w:h="15840"/>
          <w:pgMar w:top="560" w:bottom="0" w:left="1300" w:right="0"/>
        </w:sectPr>
      </w:pPr>
    </w:p>
    <w:p>
      <w:pPr>
        <w:pStyle w:val="BodyText"/>
        <w:spacing w:line="254" w:lineRule="auto" w:before="77"/>
        <w:ind w:left="241" w:right="1549"/>
        <w:jc w:val="both"/>
      </w:pPr>
      <w:r>
        <w:rPr/>
        <w:t>This</w:t>
      </w:r>
      <w:r>
        <w:rPr>
          <w:spacing w:val="40"/>
        </w:rPr>
        <w:t> </w:t>
      </w:r>
      <w:r>
        <w:rPr/>
        <w:t>publication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legal</w:t>
      </w:r>
      <w:r>
        <w:rPr>
          <w:spacing w:val="40"/>
        </w:rPr>
        <w:t> </w:t>
      </w:r>
      <w:r>
        <w:rPr/>
        <w:t>document.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intended </w:t>
      </w:r>
      <w:r>
        <w:rPr>
          <w:w w:val="110"/>
        </w:rPr>
        <w:t>as</w:t>
      </w:r>
      <w:r>
        <w:rPr>
          <w:w w:val="110"/>
        </w:rPr>
        <w:t> a</w:t>
      </w:r>
      <w:r>
        <w:rPr>
          <w:w w:val="110"/>
        </w:rPr>
        <w:t> basic</w:t>
      </w:r>
      <w:r>
        <w:rPr>
          <w:w w:val="110"/>
        </w:rPr>
        <w:t> guide</w:t>
      </w:r>
      <w:r>
        <w:rPr>
          <w:w w:val="110"/>
        </w:rPr>
        <w:t> on</w:t>
      </w:r>
      <w:r>
        <w:rPr>
          <w:w w:val="110"/>
        </w:rPr>
        <w:t> specific</w:t>
      </w:r>
      <w:r>
        <w:rPr>
          <w:w w:val="110"/>
        </w:rPr>
        <w:t> compliance</w:t>
      </w:r>
      <w:r>
        <w:rPr>
          <w:w w:val="110"/>
        </w:rPr>
        <w:t> obligations</w:t>
      </w:r>
      <w:r>
        <w:rPr>
          <w:w w:val="110"/>
        </w:rPr>
        <w:t> for</w:t>
      </w:r>
      <w:r>
        <w:rPr>
          <w:w w:val="110"/>
        </w:rPr>
        <w:t> Quoted Companies/Listed</w:t>
      </w:r>
      <w:r>
        <w:rPr>
          <w:spacing w:val="-2"/>
          <w:w w:val="110"/>
        </w:rPr>
        <w:t> </w:t>
      </w:r>
      <w:r>
        <w:rPr>
          <w:w w:val="110"/>
        </w:rPr>
        <w:t>Companies</w:t>
      </w:r>
      <w:r>
        <w:rPr>
          <w:spacing w:val="-2"/>
          <w:w w:val="110"/>
        </w:rPr>
        <w:t> </w:t>
      </w:r>
      <w:r>
        <w:rPr>
          <w:w w:val="110"/>
        </w:rPr>
        <w:t>underthe</w:t>
      </w:r>
      <w:r>
        <w:rPr>
          <w:spacing w:val="-21"/>
          <w:w w:val="110"/>
        </w:rPr>
        <w:t> </w:t>
      </w:r>
      <w:r>
        <w:rPr>
          <w:w w:val="110"/>
        </w:rPr>
        <w:t>Companies</w:t>
      </w:r>
      <w:r>
        <w:rPr>
          <w:spacing w:val="-16"/>
          <w:w w:val="110"/>
        </w:rPr>
        <w:t> </w:t>
      </w:r>
      <w:r>
        <w:rPr>
          <w:w w:val="110"/>
        </w:rPr>
        <w:t>Act</w:t>
      </w:r>
      <w:r>
        <w:rPr>
          <w:spacing w:val="-17"/>
          <w:w w:val="110"/>
        </w:rPr>
        <w:t> </w:t>
      </w:r>
      <w:r>
        <w:rPr>
          <w:w w:val="110"/>
        </w:rPr>
        <w:t>2015.</w:t>
      </w:r>
      <w:r>
        <w:rPr>
          <w:spacing w:val="-17"/>
          <w:w w:val="110"/>
        </w:rPr>
        <w:t> </w:t>
      </w:r>
      <w:r>
        <w:rPr>
          <w:w w:val="110"/>
        </w:rPr>
        <w:t>This</w:t>
      </w:r>
      <w:r>
        <w:rPr>
          <w:spacing w:val="-18"/>
          <w:w w:val="110"/>
        </w:rPr>
        <w:t> </w:t>
      </w:r>
      <w:r>
        <w:rPr>
          <w:w w:val="110"/>
        </w:rPr>
        <w:t>guide</w:t>
      </w:r>
      <w:r>
        <w:rPr>
          <w:spacing w:val="-15"/>
          <w:w w:val="110"/>
        </w:rPr>
        <w:t> </w:t>
      </w:r>
      <w:r>
        <w:rPr>
          <w:w w:val="110"/>
        </w:rPr>
        <w:t>should not be deemed to substitute any need to takespecialist professional advice.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before="1"/>
        <w:ind w:left="241"/>
        <w:jc w:val="both"/>
      </w:pP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guide</w:t>
      </w:r>
      <w:r>
        <w:rPr>
          <w:spacing w:val="-11"/>
          <w:w w:val="110"/>
        </w:rPr>
        <w:t> </w:t>
      </w:r>
      <w:r>
        <w:rPr>
          <w:w w:val="110"/>
        </w:rPr>
        <w:t>will</w:t>
      </w:r>
      <w:r>
        <w:rPr>
          <w:spacing w:val="-10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relevant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quoted/listed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companies.</w:t>
      </w:r>
    </w:p>
    <w:p>
      <w:pPr>
        <w:pStyle w:val="BodyText"/>
        <w:spacing w:before="176"/>
      </w:pPr>
    </w:p>
    <w:p>
      <w:pPr>
        <w:pStyle w:val="BodyText"/>
        <w:spacing w:line="235" w:lineRule="auto"/>
        <w:ind w:left="241" w:right="1549"/>
        <w:jc w:val="both"/>
      </w:pPr>
      <w:r>
        <w:rPr/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914400</wp:posOffset>
            </wp:positionH>
            <wp:positionV relativeFrom="paragraph">
              <wp:posOffset>74279</wp:posOffset>
            </wp:positionV>
            <wp:extent cx="5942965" cy="527240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These Practice Notes were prepared by the Joint Liaison Committee (“JLC”) comprised</w:t>
      </w:r>
      <w:r>
        <w:rPr>
          <w:w w:val="110"/>
        </w:rPr>
        <w:t> of</w:t>
      </w:r>
      <w:r>
        <w:rPr>
          <w:spacing w:val="-21"/>
          <w:w w:val="110"/>
        </w:rPr>
        <w:t> </w:t>
      </w:r>
      <w:r>
        <w:rPr>
          <w:w w:val="110"/>
        </w:rPr>
        <w:t>members</w:t>
      </w:r>
      <w:r>
        <w:rPr>
          <w:w w:val="110"/>
        </w:rPr>
        <w:t> from</w:t>
      </w:r>
      <w:r>
        <w:rPr>
          <w:w w:val="110"/>
        </w:rPr>
        <w:t> Business</w:t>
      </w:r>
      <w:r>
        <w:rPr>
          <w:w w:val="110"/>
        </w:rPr>
        <w:t> Registration</w:t>
      </w:r>
      <w:r>
        <w:rPr>
          <w:w w:val="110"/>
        </w:rPr>
        <w:t> Service,</w:t>
      </w:r>
      <w:r>
        <w:rPr>
          <w:w w:val="110"/>
        </w:rPr>
        <w:t> Law</w:t>
      </w:r>
      <w:r>
        <w:rPr>
          <w:w w:val="110"/>
        </w:rPr>
        <w:t> Society</w:t>
      </w:r>
      <w:r>
        <w:rPr>
          <w:w w:val="110"/>
        </w:rPr>
        <w:t> of Kenya </w:t>
      </w:r>
      <w:r>
        <w:rPr/>
        <w:t>– </w:t>
      </w:r>
      <w:r>
        <w:rPr>
          <w:w w:val="110"/>
        </w:rPr>
        <w:t>Nairobi Branch andInstitute of Certified Secretaries.</w:t>
      </w:r>
    </w:p>
    <w:p>
      <w:pPr>
        <w:spacing w:after="0" w:line="235" w:lineRule="auto"/>
        <w:jc w:val="both"/>
        <w:sectPr>
          <w:footerReference w:type="default" r:id="rId7"/>
          <w:pgSz w:w="12240" w:h="15840"/>
          <w:pgMar w:header="0" w:footer="1024" w:top="760" w:bottom="1220" w:left="1300" w:right="0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81" w:after="0"/>
        <w:ind w:left="961" w:right="0" w:hanging="363"/>
        <w:jc w:val="left"/>
      </w:pPr>
      <w:r>
        <w:rPr>
          <w:w w:val="90"/>
        </w:rPr>
        <w:t>Director’s</w:t>
      </w:r>
      <w:r>
        <w:rPr>
          <w:spacing w:val="58"/>
        </w:rPr>
        <w:t> </w:t>
      </w:r>
      <w:r>
        <w:rPr>
          <w:w w:val="90"/>
        </w:rPr>
        <w:t>remuneration</w:t>
      </w:r>
      <w:r>
        <w:rPr>
          <w:spacing w:val="60"/>
        </w:rPr>
        <w:t> </w:t>
      </w:r>
      <w:r>
        <w:rPr>
          <w:spacing w:val="-2"/>
          <w:w w:val="90"/>
        </w:rPr>
        <w:t>report?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35" w:lineRule="auto" w:before="1"/>
        <w:ind w:left="961" w:right="1553"/>
        <w:jc w:val="both"/>
      </w:pPr>
      <w:r>
        <w:rPr>
          <w:w w:val="110"/>
        </w:rPr>
        <w:t>Under</w:t>
      </w:r>
      <w:r>
        <w:rPr>
          <w:w w:val="110"/>
        </w:rPr>
        <w:t> section</w:t>
      </w:r>
      <w:r>
        <w:rPr>
          <w:w w:val="110"/>
        </w:rPr>
        <w:t> 659,</w:t>
      </w:r>
      <w:r>
        <w:rPr>
          <w:w w:val="110"/>
        </w:rPr>
        <w:t> a</w:t>
      </w:r>
      <w:r>
        <w:rPr>
          <w:w w:val="110"/>
        </w:rPr>
        <w:t> Director’s</w:t>
      </w:r>
      <w:r>
        <w:rPr>
          <w:w w:val="110"/>
        </w:rPr>
        <w:t> remuneration</w:t>
      </w:r>
      <w:r>
        <w:rPr>
          <w:w w:val="110"/>
        </w:rPr>
        <w:t> report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report</w:t>
      </w:r>
      <w:r>
        <w:rPr>
          <w:w w:val="110"/>
        </w:rPr>
        <w:t> that tabulates</w:t>
      </w:r>
      <w:r>
        <w:rPr>
          <w:w w:val="110"/>
        </w:rPr>
        <w:t> fees</w:t>
      </w:r>
      <w:r>
        <w:rPr>
          <w:w w:val="110"/>
        </w:rPr>
        <w:t> and</w:t>
      </w:r>
      <w:r>
        <w:rPr>
          <w:w w:val="110"/>
        </w:rPr>
        <w:t> emoluments</w:t>
      </w:r>
      <w:r>
        <w:rPr>
          <w:w w:val="110"/>
        </w:rPr>
        <w:t> earned</w:t>
      </w:r>
      <w:r>
        <w:rPr>
          <w:w w:val="110"/>
        </w:rPr>
        <w:t> by</w:t>
      </w:r>
      <w:r>
        <w:rPr>
          <w:w w:val="110"/>
        </w:rPr>
        <w:t> Directors</w:t>
      </w:r>
      <w:r>
        <w:rPr>
          <w:w w:val="110"/>
        </w:rPr>
        <w:t> of</w:t>
      </w:r>
      <w:r>
        <w:rPr>
          <w:w w:val="110"/>
        </w:rPr>
        <w:t> Quoted Companies in any given financialyear.</w:t>
      </w:r>
    </w:p>
    <w:p>
      <w:pPr>
        <w:pStyle w:val="BodyText"/>
        <w:spacing w:before="34"/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361"/>
        <w:jc w:val="left"/>
      </w:pPr>
      <w:r>
        <w:rPr>
          <w:spacing w:val="-2"/>
        </w:rPr>
        <w:t>How</w:t>
      </w:r>
      <w:r>
        <w:rPr>
          <w:spacing w:val="-16"/>
        </w:rPr>
        <w:t> </w:t>
      </w:r>
      <w:r>
        <w:rPr>
          <w:spacing w:val="-2"/>
        </w:rPr>
        <w:t>often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Director’s</w:t>
      </w:r>
      <w:r>
        <w:rPr>
          <w:spacing w:val="-14"/>
        </w:rPr>
        <w:t> </w:t>
      </w:r>
      <w:r>
        <w:rPr>
          <w:spacing w:val="-2"/>
        </w:rPr>
        <w:t>remuneration</w:t>
      </w:r>
      <w:r>
        <w:rPr>
          <w:spacing w:val="-14"/>
        </w:rPr>
        <w:t> </w:t>
      </w:r>
      <w:r>
        <w:rPr>
          <w:spacing w:val="-2"/>
        </w:rPr>
        <w:t>report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prepared?</w:t>
      </w:r>
    </w:p>
    <w:p>
      <w:pPr>
        <w:pStyle w:val="BodyText"/>
        <w:spacing w:before="186"/>
        <w:rPr>
          <w:b/>
        </w:rPr>
      </w:pPr>
    </w:p>
    <w:p>
      <w:pPr>
        <w:pStyle w:val="BodyText"/>
        <w:ind w:left="949"/>
        <w:jc w:val="both"/>
      </w:pPr>
      <w:r>
        <w:rPr/>
        <w:drawing>
          <wp:anchor distT="0" distB="0" distL="0" distR="0" allowOverlap="1" layoutInCell="1" locked="0" behindDoc="1" simplePos="0" relativeHeight="487426560">
            <wp:simplePos x="0" y="0"/>
            <wp:positionH relativeFrom="page">
              <wp:posOffset>914400</wp:posOffset>
            </wp:positionH>
            <wp:positionV relativeFrom="paragraph">
              <wp:posOffset>103429</wp:posOffset>
            </wp:positionV>
            <wp:extent cx="5942965" cy="527240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Director’s</w:t>
      </w:r>
      <w:r>
        <w:rPr>
          <w:spacing w:val="-8"/>
          <w:w w:val="110"/>
        </w:rPr>
        <w:t> </w:t>
      </w:r>
      <w:r>
        <w:rPr>
          <w:w w:val="110"/>
        </w:rPr>
        <w:t>remuneration</w:t>
      </w:r>
      <w:r>
        <w:rPr>
          <w:spacing w:val="-7"/>
          <w:w w:val="110"/>
        </w:rPr>
        <w:t> </w:t>
      </w:r>
      <w:r>
        <w:rPr>
          <w:w w:val="110"/>
        </w:rPr>
        <w:t>report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prepared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each</w:t>
      </w:r>
      <w:r>
        <w:rPr>
          <w:spacing w:val="-12"/>
          <w:w w:val="110"/>
        </w:rPr>
        <w:t> </w:t>
      </w:r>
      <w:r>
        <w:rPr>
          <w:w w:val="110"/>
        </w:rPr>
        <w:t>financial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year.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361"/>
        <w:jc w:val="left"/>
      </w:pPr>
      <w:r>
        <w:rPr>
          <w:spacing w:val="-4"/>
        </w:rPr>
        <w:t>What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Contents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Director’s</w:t>
      </w:r>
      <w:r>
        <w:rPr>
          <w:spacing w:val="-9"/>
        </w:rPr>
        <w:t> </w:t>
      </w:r>
      <w:r>
        <w:rPr>
          <w:spacing w:val="-4"/>
        </w:rPr>
        <w:t>remuneration</w:t>
      </w:r>
      <w:r>
        <w:rPr>
          <w:spacing w:val="-10"/>
        </w:rPr>
        <w:t> </w:t>
      </w:r>
      <w:r>
        <w:rPr>
          <w:spacing w:val="-4"/>
        </w:rPr>
        <w:t>report?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961"/>
        <w:jc w:val="both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Director’s</w:t>
      </w:r>
      <w:r>
        <w:rPr>
          <w:spacing w:val="-5"/>
          <w:w w:val="110"/>
        </w:rPr>
        <w:t> </w:t>
      </w:r>
      <w:r>
        <w:rPr>
          <w:w w:val="110"/>
        </w:rPr>
        <w:t>remuneration</w:t>
      </w:r>
      <w:r>
        <w:rPr>
          <w:spacing w:val="-3"/>
          <w:w w:val="110"/>
        </w:rPr>
        <w:t> </w:t>
      </w:r>
      <w:r>
        <w:rPr>
          <w:w w:val="110"/>
        </w:rPr>
        <w:t>report</w:t>
      </w:r>
      <w:r>
        <w:rPr>
          <w:spacing w:val="-5"/>
          <w:w w:val="110"/>
        </w:rPr>
        <w:t> </w:t>
      </w:r>
      <w:r>
        <w:rPr>
          <w:w w:val="110"/>
        </w:rPr>
        <w:t>should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contain;</w:t>
      </w:r>
    </w:p>
    <w:p>
      <w:pPr>
        <w:pStyle w:val="ListParagraph"/>
        <w:numPr>
          <w:ilvl w:val="1"/>
          <w:numId w:val="1"/>
        </w:numPr>
        <w:tabs>
          <w:tab w:pos="1679" w:val="left" w:leader="none"/>
        </w:tabs>
        <w:spacing w:line="240" w:lineRule="auto" w:before="281" w:after="0"/>
        <w:ind w:left="1679" w:right="0" w:hanging="361"/>
        <w:jc w:val="left"/>
        <w:rPr>
          <w:sz w:val="24"/>
        </w:rPr>
      </w:pPr>
      <w:r>
        <w:rPr>
          <w:w w:val="110"/>
          <w:sz w:val="24"/>
        </w:rPr>
        <w:t>Name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directors;</w:t>
      </w:r>
    </w:p>
    <w:p>
      <w:pPr>
        <w:pStyle w:val="ListParagraph"/>
        <w:numPr>
          <w:ilvl w:val="1"/>
          <w:numId w:val="1"/>
        </w:numPr>
        <w:tabs>
          <w:tab w:pos="1679" w:val="left" w:leader="none"/>
          <w:tab w:pos="1681" w:val="left" w:leader="none"/>
        </w:tabs>
        <w:spacing w:line="235" w:lineRule="auto" w:before="287" w:after="0"/>
        <w:ind w:left="1681" w:right="1550" w:hanging="360"/>
        <w:jc w:val="both"/>
        <w:rPr>
          <w:sz w:val="24"/>
        </w:rPr>
      </w:pPr>
      <w:r>
        <w:rPr>
          <w:w w:val="110"/>
          <w:sz w:val="24"/>
        </w:rPr>
        <w:t>Basic</w:t>
      </w:r>
      <w:r>
        <w:rPr>
          <w:w w:val="110"/>
          <w:sz w:val="24"/>
        </w:rPr>
        <w:t> pay</w:t>
      </w:r>
      <w:r>
        <w:rPr>
          <w:w w:val="110"/>
          <w:sz w:val="24"/>
        </w:rPr>
        <w:t> for</w:t>
      </w:r>
      <w:r>
        <w:rPr>
          <w:w w:val="110"/>
          <w:sz w:val="24"/>
        </w:rPr>
        <w:t> each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directors</w:t>
      </w:r>
      <w:r>
        <w:rPr>
          <w:w w:val="110"/>
          <w:sz w:val="24"/>
        </w:rPr>
        <w:t> (Executive</w:t>
      </w:r>
      <w:r>
        <w:rPr>
          <w:w w:val="110"/>
          <w:sz w:val="24"/>
        </w:rPr>
        <w:t> directors</w:t>
      </w:r>
      <w:r>
        <w:rPr>
          <w:w w:val="110"/>
          <w:sz w:val="24"/>
        </w:rPr>
        <w:t> &amp;</w:t>
      </w:r>
      <w:r>
        <w:rPr>
          <w:w w:val="110"/>
          <w:sz w:val="24"/>
        </w:rPr>
        <w:t> non- executive directors fees and executive directors &amp; non-executive directors emoluments);</w:t>
      </w:r>
    </w:p>
    <w:p>
      <w:pPr>
        <w:pStyle w:val="ListParagraph"/>
        <w:numPr>
          <w:ilvl w:val="1"/>
          <w:numId w:val="1"/>
        </w:numPr>
        <w:tabs>
          <w:tab w:pos="1679" w:val="left" w:leader="none"/>
        </w:tabs>
        <w:spacing w:line="240" w:lineRule="auto" w:before="284" w:after="0"/>
        <w:ind w:left="1679" w:right="0" w:hanging="361"/>
        <w:jc w:val="left"/>
        <w:rPr>
          <w:sz w:val="24"/>
        </w:rPr>
      </w:pPr>
      <w:r>
        <w:rPr>
          <w:w w:val="105"/>
          <w:sz w:val="24"/>
        </w:rPr>
        <w:t>Non-cash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benefits;</w:t>
      </w:r>
    </w:p>
    <w:p>
      <w:pPr>
        <w:pStyle w:val="ListParagraph"/>
        <w:numPr>
          <w:ilvl w:val="1"/>
          <w:numId w:val="1"/>
        </w:numPr>
        <w:tabs>
          <w:tab w:pos="1679" w:val="left" w:leader="none"/>
        </w:tabs>
        <w:spacing w:line="240" w:lineRule="auto" w:before="279" w:after="0"/>
        <w:ind w:left="1679" w:right="0" w:hanging="361"/>
        <w:jc w:val="left"/>
        <w:rPr>
          <w:sz w:val="24"/>
        </w:rPr>
      </w:pPr>
      <w:r>
        <w:rPr>
          <w:w w:val="110"/>
          <w:sz w:val="24"/>
        </w:rPr>
        <w:t>Pension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gratuity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directors;</w:t>
      </w:r>
    </w:p>
    <w:p>
      <w:pPr>
        <w:pStyle w:val="ListParagraph"/>
        <w:numPr>
          <w:ilvl w:val="1"/>
          <w:numId w:val="1"/>
        </w:numPr>
        <w:tabs>
          <w:tab w:pos="1679" w:val="left" w:leader="none"/>
        </w:tabs>
        <w:spacing w:line="240" w:lineRule="auto" w:before="280" w:after="0"/>
        <w:ind w:left="1679" w:right="0" w:hanging="361"/>
        <w:jc w:val="left"/>
        <w:rPr>
          <w:sz w:val="24"/>
        </w:rPr>
      </w:pPr>
      <w:r>
        <w:rPr>
          <w:w w:val="110"/>
          <w:sz w:val="24"/>
        </w:rPr>
        <w:t>Bonus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paid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directors;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681" w:val="left" w:leader="none"/>
        </w:tabs>
        <w:spacing w:line="254" w:lineRule="auto" w:before="0" w:after="0"/>
        <w:ind w:left="1681" w:right="1550" w:hanging="360"/>
        <w:jc w:val="both"/>
        <w:rPr>
          <w:sz w:val="24"/>
        </w:rPr>
      </w:pPr>
      <w:r>
        <w:rPr>
          <w:w w:val="110"/>
          <w:sz w:val="24"/>
        </w:rPr>
        <w:t>Share options and other forms of executive compensation that have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been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made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during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course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year,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include terminal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dues,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any;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679" w:val="left" w:leader="none"/>
        </w:tabs>
        <w:spacing w:line="240" w:lineRule="auto" w:before="0" w:after="0"/>
        <w:ind w:left="1679" w:right="0" w:hanging="361"/>
        <w:jc w:val="left"/>
        <w:rPr>
          <w:sz w:val="24"/>
        </w:rPr>
      </w:pPr>
      <w:r>
        <w:rPr>
          <w:w w:val="105"/>
          <w:sz w:val="24"/>
        </w:rPr>
        <w:t>Aggregate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directors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loans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1679" w:val="left" w:leader="none"/>
        </w:tabs>
        <w:spacing w:line="240" w:lineRule="auto" w:before="0" w:after="0"/>
        <w:ind w:left="1679" w:right="0" w:hanging="361"/>
        <w:jc w:val="left"/>
        <w:rPr>
          <w:sz w:val="24"/>
        </w:rPr>
      </w:pPr>
      <w:r>
        <w:rPr>
          <w:w w:val="110"/>
          <w:sz w:val="24"/>
        </w:rPr>
        <w:t>Any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allowances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paid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directors</w:t>
      </w:r>
    </w:p>
    <w:p>
      <w:pPr>
        <w:pStyle w:val="BodyText"/>
        <w:spacing w:line="254" w:lineRule="auto" w:before="177"/>
        <w:ind w:left="666" w:right="1558"/>
        <w:jc w:val="both"/>
      </w:pPr>
      <w:r>
        <w:rPr>
          <w:w w:val="115"/>
        </w:rPr>
        <w:t>The</w:t>
      </w:r>
      <w:r>
        <w:rPr>
          <w:w w:val="115"/>
        </w:rPr>
        <w:t> directors</w:t>
      </w:r>
      <w:r>
        <w:rPr>
          <w:w w:val="115"/>
        </w:rPr>
        <w:t> shall</w:t>
      </w:r>
      <w:r>
        <w:rPr>
          <w:w w:val="115"/>
        </w:rPr>
        <w:t> approve</w:t>
      </w:r>
      <w:r>
        <w:rPr>
          <w:w w:val="115"/>
        </w:rPr>
        <w:t> the</w:t>
      </w:r>
      <w:r>
        <w:rPr>
          <w:w w:val="115"/>
        </w:rPr>
        <w:t> remuneration</w:t>
      </w:r>
      <w:r>
        <w:rPr>
          <w:w w:val="115"/>
        </w:rPr>
        <w:t> report</w:t>
      </w:r>
      <w:r>
        <w:rPr>
          <w:w w:val="115"/>
        </w:rPr>
        <w:t> and</w:t>
      </w:r>
      <w:r>
        <w:rPr>
          <w:w w:val="115"/>
        </w:rPr>
        <w:t> it</w:t>
      </w:r>
      <w:r>
        <w:rPr>
          <w:w w:val="115"/>
        </w:rPr>
        <w:t> should</w:t>
      </w:r>
      <w:r>
        <w:rPr>
          <w:w w:val="115"/>
        </w:rPr>
        <w:t> be signed by a designated director or the company secretary. See note 10 below on the filing instructions.</w:t>
      </w:r>
    </w:p>
    <w:p>
      <w:pPr>
        <w:pStyle w:val="Heading1"/>
        <w:numPr>
          <w:ilvl w:val="0"/>
          <w:numId w:val="1"/>
        </w:numPr>
        <w:tabs>
          <w:tab w:pos="959" w:val="left" w:leader="none"/>
          <w:tab w:pos="961" w:val="left" w:leader="none"/>
        </w:tabs>
        <w:spacing w:line="307" w:lineRule="auto" w:before="265" w:after="0"/>
        <w:ind w:left="961" w:right="1561" w:hanging="363"/>
        <w:jc w:val="left"/>
      </w:pPr>
      <w:r>
        <w:rPr/>
        <w:t>What</w:t>
      </w:r>
      <w:r>
        <w:rPr>
          <w:spacing w:val="28"/>
        </w:rPr>
        <w:t> </w:t>
      </w:r>
      <w:r>
        <w:rPr/>
        <w:t>offences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penalties</w:t>
      </w:r>
      <w:r>
        <w:rPr>
          <w:spacing w:val="29"/>
        </w:rPr>
        <w:t> </w:t>
      </w:r>
      <w:r>
        <w:rPr/>
        <w:t>are</w:t>
      </w:r>
      <w:r>
        <w:rPr>
          <w:spacing w:val="25"/>
        </w:rPr>
        <w:t> </w:t>
      </w:r>
      <w:r>
        <w:rPr/>
        <w:t>prescribed</w:t>
      </w:r>
      <w:r>
        <w:rPr>
          <w:spacing w:val="29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Act</w:t>
      </w:r>
      <w:r>
        <w:rPr>
          <w:spacing w:val="26"/>
        </w:rPr>
        <w:t> </w:t>
      </w:r>
      <w:r>
        <w:rPr/>
        <w:t>in</w:t>
      </w:r>
      <w:r>
        <w:rPr>
          <w:spacing w:val="28"/>
        </w:rPr>
        <w:t> </w:t>
      </w:r>
      <w:r>
        <w:rPr/>
        <w:t>relation</w:t>
      </w:r>
      <w:r>
        <w:rPr>
          <w:spacing w:val="27"/>
        </w:rPr>
        <w:t> </w:t>
      </w:r>
      <w:r>
        <w:rPr/>
        <w:t>to preparation ofDirector’s remuneration report?</w:t>
      </w:r>
    </w:p>
    <w:p>
      <w:pPr>
        <w:pStyle w:val="BodyText"/>
        <w:spacing w:line="259" w:lineRule="auto" w:before="276"/>
        <w:ind w:left="949" w:right="1613"/>
      </w:pPr>
      <w:r>
        <w:rPr>
          <w:w w:val="110"/>
        </w:rPr>
        <w:t>Offences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penalties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provided</w:t>
      </w:r>
      <w:r>
        <w:rPr>
          <w:spacing w:val="-7"/>
          <w:w w:val="110"/>
        </w:rPr>
        <w:t> </w:t>
      </w:r>
      <w:r>
        <w:rPr>
          <w:w w:val="110"/>
        </w:rPr>
        <w:t>under</w:t>
      </w:r>
      <w:r>
        <w:rPr>
          <w:spacing w:val="-4"/>
          <w:w w:val="110"/>
        </w:rPr>
        <w:t> </w:t>
      </w:r>
      <w:r>
        <w:rPr>
          <w:w w:val="110"/>
        </w:rPr>
        <w:t>Section</w:t>
      </w:r>
      <w:r>
        <w:rPr>
          <w:spacing w:val="-7"/>
          <w:w w:val="110"/>
        </w:rPr>
        <w:t> </w:t>
      </w:r>
      <w:r>
        <w:rPr>
          <w:w w:val="110"/>
        </w:rPr>
        <w:t>659-660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 </w:t>
      </w:r>
      <w:r>
        <w:rPr>
          <w:w w:val="115"/>
        </w:rPr>
        <w:t>Companies</w:t>
      </w:r>
      <w:r>
        <w:rPr>
          <w:spacing w:val="-15"/>
          <w:w w:val="115"/>
        </w:rPr>
        <w:t> </w:t>
      </w:r>
      <w:r>
        <w:rPr>
          <w:w w:val="115"/>
        </w:rPr>
        <w:t>Act.They</w:t>
      </w:r>
      <w:r>
        <w:rPr>
          <w:spacing w:val="-15"/>
          <w:w w:val="115"/>
        </w:rPr>
        <w:t> </w:t>
      </w:r>
      <w:r>
        <w:rPr>
          <w:w w:val="115"/>
        </w:rPr>
        <w:t>are:</w:t>
      </w:r>
    </w:p>
    <w:p>
      <w:pPr>
        <w:spacing w:after="0" w:line="259" w:lineRule="auto"/>
        <w:sectPr>
          <w:pgSz w:w="12240" w:h="15840"/>
          <w:pgMar w:header="0" w:footer="1024" w:top="780" w:bottom="1220" w:left="1300" w:right="0"/>
        </w:sectPr>
      </w:pPr>
    </w:p>
    <w:p>
      <w:pPr>
        <w:pStyle w:val="ListParagraph"/>
        <w:numPr>
          <w:ilvl w:val="1"/>
          <w:numId w:val="1"/>
        </w:numPr>
        <w:tabs>
          <w:tab w:pos="1373" w:val="left" w:leader="none"/>
        </w:tabs>
        <w:spacing w:line="254" w:lineRule="auto" w:before="72" w:after="0"/>
        <w:ind w:left="1373" w:right="1551" w:hanging="425"/>
        <w:jc w:val="both"/>
        <w:rPr>
          <w:sz w:val="24"/>
        </w:rPr>
      </w:pPr>
      <w:r>
        <w:rPr>
          <w:w w:val="110"/>
          <w:sz w:val="24"/>
        </w:rPr>
        <w:t>It is an offence for any director who is a director or who has been a director 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preceding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years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fail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give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personal details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necessaryfor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compliance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this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section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liable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for a fine not exceeding Kshs.500,000 on conviction.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1373" w:val="left" w:leader="none"/>
        </w:tabs>
        <w:spacing w:line="254" w:lineRule="auto" w:before="0" w:after="0"/>
        <w:ind w:left="1373" w:right="1555" w:hanging="425"/>
        <w:jc w:val="both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27072">
            <wp:simplePos x="0" y="0"/>
            <wp:positionH relativeFrom="page">
              <wp:posOffset>914400</wp:posOffset>
            </wp:positionH>
            <wp:positionV relativeFrom="paragraph">
              <wp:posOffset>580977</wp:posOffset>
            </wp:positionV>
            <wp:extent cx="5942965" cy="527240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If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remuneration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prepared,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who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was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 directorand failed to take all reasonable steps to ensure compliance commits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offence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liable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 fine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exceeding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Kshs. </w:t>
      </w:r>
      <w:r>
        <w:rPr>
          <w:w w:val="115"/>
          <w:sz w:val="24"/>
        </w:rPr>
        <w:t>1,000,000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conviction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imprisonment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not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exceeding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years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or </w:t>
      </w:r>
      <w:r>
        <w:rPr>
          <w:spacing w:val="-4"/>
          <w:w w:val="115"/>
          <w:sz w:val="24"/>
        </w:rPr>
        <w:t>both.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361"/>
        <w:jc w:val="left"/>
      </w:pPr>
      <w:r>
        <w:rPr>
          <w:spacing w:val="-6"/>
        </w:rPr>
        <w:t>What are</w:t>
      </w:r>
      <w:r>
        <w:rPr>
          <w:spacing w:val="-7"/>
        </w:rPr>
        <w:t> </w:t>
      </w:r>
      <w:r>
        <w:rPr>
          <w:spacing w:val="-6"/>
        </w:rPr>
        <w:t>Summary</w:t>
      </w:r>
      <w:r>
        <w:rPr>
          <w:spacing w:val="-7"/>
        </w:rPr>
        <w:t> </w:t>
      </w:r>
      <w:r>
        <w:rPr>
          <w:spacing w:val="-6"/>
        </w:rPr>
        <w:t>financial</w:t>
      </w:r>
      <w:r>
        <w:rPr>
          <w:spacing w:val="-9"/>
        </w:rPr>
        <w:t> </w:t>
      </w:r>
      <w:r>
        <w:rPr>
          <w:spacing w:val="-6"/>
        </w:rPr>
        <w:t>statements?</w:t>
      </w:r>
    </w:p>
    <w:p>
      <w:pPr>
        <w:pStyle w:val="BodyText"/>
        <w:spacing w:before="198"/>
        <w:ind w:left="949" w:right="1613"/>
        <w:jc w:val="both"/>
      </w:pPr>
      <w:r>
        <w:rPr>
          <w:w w:val="110"/>
        </w:rPr>
        <w:t>Section</w:t>
      </w:r>
      <w:r>
        <w:rPr>
          <w:spacing w:val="-7"/>
          <w:w w:val="110"/>
        </w:rPr>
        <w:t> </w:t>
      </w:r>
      <w:r>
        <w:rPr>
          <w:w w:val="110"/>
        </w:rPr>
        <w:t>668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Companies</w:t>
      </w:r>
      <w:r>
        <w:rPr>
          <w:spacing w:val="-10"/>
          <w:w w:val="110"/>
        </w:rPr>
        <w:t> </w:t>
      </w:r>
      <w:r>
        <w:rPr>
          <w:w w:val="110"/>
        </w:rPr>
        <w:t>Act</w:t>
      </w:r>
      <w:r>
        <w:rPr>
          <w:spacing w:val="-10"/>
          <w:w w:val="110"/>
        </w:rPr>
        <w:t> </w:t>
      </w:r>
      <w:r>
        <w:rPr>
          <w:w w:val="110"/>
        </w:rPr>
        <w:t>defines</w:t>
      </w:r>
      <w:r>
        <w:rPr>
          <w:spacing w:val="-13"/>
          <w:w w:val="110"/>
        </w:rPr>
        <w:t> </w:t>
      </w:r>
      <w:r>
        <w:rPr>
          <w:w w:val="110"/>
        </w:rPr>
        <w:t>summary</w:t>
      </w:r>
      <w:r>
        <w:rPr>
          <w:spacing w:val="-9"/>
          <w:w w:val="110"/>
        </w:rPr>
        <w:t> </w:t>
      </w:r>
      <w:r>
        <w:rPr>
          <w:w w:val="110"/>
        </w:rPr>
        <w:t>financial</w:t>
      </w:r>
      <w:r>
        <w:rPr>
          <w:spacing w:val="-6"/>
          <w:w w:val="110"/>
        </w:rPr>
        <w:t> </w:t>
      </w:r>
      <w:r>
        <w:rPr>
          <w:w w:val="110"/>
        </w:rPr>
        <w:t>statements as</w:t>
      </w:r>
      <w:r>
        <w:rPr>
          <w:spacing w:val="-29"/>
          <w:w w:val="110"/>
        </w:rPr>
        <w:t> </w:t>
      </w:r>
      <w:r>
        <w:rPr>
          <w:w w:val="110"/>
        </w:rPr>
        <w:t>follows:</w:t>
      </w:r>
    </w:p>
    <w:p>
      <w:pPr>
        <w:pStyle w:val="BodyText"/>
        <w:spacing w:line="254" w:lineRule="auto" w:before="177"/>
        <w:ind w:left="949" w:right="1645"/>
        <w:jc w:val="both"/>
      </w:pPr>
      <w:r>
        <w:rPr>
          <w:w w:val="110"/>
        </w:rPr>
        <w:t>Summary</w:t>
      </w:r>
      <w:r>
        <w:rPr>
          <w:spacing w:val="-16"/>
          <w:w w:val="110"/>
        </w:rPr>
        <w:t> </w:t>
      </w:r>
      <w:r>
        <w:rPr>
          <w:w w:val="110"/>
        </w:rPr>
        <w:t>financial</w:t>
      </w:r>
      <w:r>
        <w:rPr>
          <w:spacing w:val="-10"/>
          <w:w w:val="110"/>
        </w:rPr>
        <w:t> </w:t>
      </w:r>
      <w:r>
        <w:rPr>
          <w:w w:val="110"/>
        </w:rPr>
        <w:t>statements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financial</w:t>
      </w:r>
      <w:r>
        <w:rPr>
          <w:spacing w:val="-8"/>
          <w:w w:val="110"/>
        </w:rPr>
        <w:t> </w:t>
      </w:r>
      <w:r>
        <w:rPr>
          <w:w w:val="110"/>
        </w:rPr>
        <w:t>statements</w:t>
      </w:r>
      <w:r>
        <w:rPr>
          <w:spacing w:val="-13"/>
          <w:w w:val="110"/>
        </w:rPr>
        <w:t> </w:t>
      </w:r>
      <w:r>
        <w:rPr>
          <w:w w:val="110"/>
        </w:rPr>
        <w:t>derived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7"/>
          <w:w w:val="110"/>
        </w:rPr>
        <w:t> </w:t>
      </w:r>
      <w:r>
        <w:rPr>
          <w:w w:val="110"/>
        </w:rPr>
        <w:t>the company’sannual financial statements and the director’s remuneration </w:t>
      </w:r>
      <w:r>
        <w:rPr>
          <w:spacing w:val="-2"/>
          <w:w w:val="115"/>
        </w:rPr>
        <w:t>report.</w:t>
      </w: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197" w:after="0"/>
        <w:ind w:left="960" w:right="0" w:hanging="362"/>
        <w:jc w:val="left"/>
      </w:pP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what</w:t>
      </w:r>
      <w:r>
        <w:rPr>
          <w:spacing w:val="-2"/>
        </w:rPr>
        <w:t> </w:t>
      </w:r>
      <w:r>
        <w:rPr>
          <w:spacing w:val="-8"/>
        </w:rPr>
        <w:t>Instances</w:t>
      </w:r>
      <w:r>
        <w:rPr>
          <w:spacing w:val="-1"/>
        </w:rPr>
        <w:t> </w:t>
      </w:r>
      <w:r>
        <w:rPr>
          <w:spacing w:val="-8"/>
        </w:rPr>
        <w:t>may</w:t>
      </w:r>
      <w:r>
        <w:rPr>
          <w:spacing w:val="-4"/>
        </w:rPr>
        <w:t> </w:t>
      </w:r>
      <w:r>
        <w:rPr>
          <w:spacing w:val="-8"/>
        </w:rPr>
        <w:t>summary</w:t>
      </w:r>
      <w:r>
        <w:rPr>
          <w:spacing w:val="-3"/>
        </w:rPr>
        <w:t> </w:t>
      </w:r>
      <w:r>
        <w:rPr>
          <w:spacing w:val="-8"/>
        </w:rPr>
        <w:t>financial</w:t>
      </w:r>
      <w:r>
        <w:rPr>
          <w:spacing w:val="-4"/>
        </w:rPr>
        <w:t> </w:t>
      </w:r>
      <w:r>
        <w:rPr>
          <w:spacing w:val="-8"/>
        </w:rPr>
        <w:t>statements</w:t>
      </w:r>
      <w:r>
        <w:rPr>
          <w:spacing w:val="-1"/>
        </w:rPr>
        <w:t> </w:t>
      </w:r>
      <w:r>
        <w:rPr>
          <w:spacing w:val="-8"/>
        </w:rPr>
        <w:t>be</w:t>
      </w:r>
      <w:r>
        <w:rPr>
          <w:spacing w:val="-6"/>
        </w:rPr>
        <w:t> </w:t>
      </w:r>
      <w:r>
        <w:rPr>
          <w:spacing w:val="-8"/>
        </w:rPr>
        <w:t>prepared?</w:t>
      </w:r>
    </w:p>
    <w:p>
      <w:pPr>
        <w:pStyle w:val="BodyText"/>
        <w:spacing w:before="6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230" w:val="left" w:leader="none"/>
          <w:tab w:pos="1232" w:val="left" w:leader="none"/>
        </w:tabs>
        <w:spacing w:line="237" w:lineRule="auto" w:before="1" w:after="0"/>
        <w:ind w:left="1232" w:right="1469" w:hanging="284"/>
        <w:jc w:val="both"/>
        <w:rPr>
          <w:sz w:val="24"/>
        </w:rPr>
      </w:pPr>
      <w:r>
        <w:rPr>
          <w:w w:val="110"/>
          <w:sz w:val="24"/>
        </w:rPr>
        <w:t>When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publishing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daily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newspapers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regulatory </w:t>
      </w:r>
      <w:r>
        <w:rPr>
          <w:spacing w:val="-2"/>
          <w:w w:val="110"/>
          <w:sz w:val="24"/>
        </w:rPr>
        <w:t>body;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1"/>
        </w:numPr>
        <w:tabs>
          <w:tab w:pos="1231" w:val="left" w:leader="none"/>
        </w:tabs>
        <w:spacing w:line="240" w:lineRule="auto" w:before="0" w:after="0"/>
        <w:ind w:left="1231" w:right="0" w:hanging="282"/>
        <w:jc w:val="left"/>
        <w:rPr>
          <w:sz w:val="24"/>
        </w:rPr>
      </w:pPr>
      <w:r>
        <w:rPr>
          <w:w w:val="110"/>
          <w:sz w:val="24"/>
        </w:rPr>
        <w:t>Prior</w:t>
      </w:r>
      <w:r>
        <w:rPr>
          <w:spacing w:val="-34"/>
          <w:w w:val="110"/>
          <w:sz w:val="24"/>
        </w:rPr>
        <w:t> </w:t>
      </w:r>
      <w:r>
        <w:rPr>
          <w:w w:val="110"/>
          <w:sz w:val="24"/>
        </w:rPr>
        <w:t>submission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regulatory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purposes;</w:t>
      </w:r>
      <w:r>
        <w:rPr>
          <w:spacing w:val="-31"/>
          <w:w w:val="110"/>
          <w:sz w:val="24"/>
        </w:rPr>
        <w:t> </w:t>
      </w:r>
      <w:r>
        <w:rPr>
          <w:spacing w:val="-5"/>
          <w:w w:val="110"/>
          <w:sz w:val="24"/>
        </w:rPr>
        <w:t>and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1230" w:val="left" w:leader="none"/>
        </w:tabs>
        <w:spacing w:line="240" w:lineRule="auto" w:before="0" w:after="0"/>
        <w:ind w:left="1230" w:right="0" w:hanging="281"/>
        <w:jc w:val="left"/>
        <w:rPr>
          <w:sz w:val="24"/>
        </w:rPr>
      </w:pPr>
      <w:r>
        <w:rPr>
          <w:w w:val="110"/>
          <w:sz w:val="24"/>
        </w:rPr>
        <w:t>Any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context.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1"/>
        </w:numPr>
        <w:tabs>
          <w:tab w:pos="958" w:val="left" w:leader="none"/>
          <w:tab w:pos="961" w:val="left" w:leader="none"/>
        </w:tabs>
        <w:spacing w:line="307" w:lineRule="auto" w:before="1" w:after="0"/>
        <w:ind w:left="961" w:right="1554" w:hanging="363"/>
        <w:jc w:val="left"/>
      </w:pP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form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information</w:t>
      </w:r>
      <w:r>
        <w:rPr>
          <w:spacing w:val="39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should</w:t>
      </w:r>
      <w:r>
        <w:rPr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contained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summary financial statements:</w:t>
      </w:r>
    </w:p>
    <w:p>
      <w:pPr>
        <w:pStyle w:val="BodyText"/>
        <w:spacing w:line="256" w:lineRule="auto" w:before="120"/>
        <w:ind w:left="949" w:right="1613"/>
      </w:pPr>
      <w:r>
        <w:rPr>
          <w:w w:val="110"/>
        </w:rPr>
        <w:t>Sections</w:t>
      </w:r>
      <w:r>
        <w:rPr>
          <w:spacing w:val="40"/>
          <w:w w:val="110"/>
        </w:rPr>
        <w:t> </w:t>
      </w:r>
      <w:r>
        <w:rPr>
          <w:w w:val="110"/>
        </w:rPr>
        <w:t>667</w:t>
      </w:r>
      <w:r>
        <w:rPr>
          <w:spacing w:val="40"/>
          <w:w w:val="110"/>
        </w:rPr>
        <w:t> </w:t>
      </w:r>
      <w:r>
        <w:rPr>
          <w:w w:val="105"/>
        </w:rPr>
        <w:t>–</w:t>
      </w:r>
      <w:r>
        <w:rPr>
          <w:spacing w:val="40"/>
          <w:w w:val="110"/>
        </w:rPr>
        <w:t> </w:t>
      </w:r>
      <w:r>
        <w:rPr>
          <w:w w:val="110"/>
        </w:rPr>
        <w:t>668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Companies</w:t>
      </w:r>
      <w:r>
        <w:rPr>
          <w:spacing w:val="40"/>
          <w:w w:val="110"/>
        </w:rPr>
        <w:t> </w:t>
      </w:r>
      <w:r>
        <w:rPr>
          <w:w w:val="110"/>
        </w:rPr>
        <w:t>Act</w:t>
      </w:r>
      <w:r>
        <w:rPr>
          <w:spacing w:val="40"/>
          <w:w w:val="110"/>
        </w:rPr>
        <w:t> </w:t>
      </w:r>
      <w:r>
        <w:rPr>
          <w:w w:val="110"/>
        </w:rPr>
        <w:t>highlights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various forms</w:t>
      </w:r>
      <w:r>
        <w:rPr>
          <w:spacing w:val="40"/>
          <w:w w:val="110"/>
        </w:rPr>
        <w:t> </w:t>
      </w:r>
      <w:r>
        <w:rPr>
          <w:w w:val="110"/>
        </w:rPr>
        <w:t>andinformation to be contained in a summary financial statement. These are:</w:t>
      </w:r>
    </w:p>
    <w:p>
      <w:pPr>
        <w:pStyle w:val="ListParagraph"/>
        <w:numPr>
          <w:ilvl w:val="0"/>
          <w:numId w:val="2"/>
        </w:numPr>
        <w:tabs>
          <w:tab w:pos="1231" w:val="left" w:leader="none"/>
        </w:tabs>
        <w:spacing w:line="289" w:lineRule="exact" w:before="0" w:after="0"/>
        <w:ind w:left="1231" w:right="0" w:hanging="282"/>
        <w:jc w:val="left"/>
        <w:rPr>
          <w:sz w:val="24"/>
        </w:rPr>
      </w:pPr>
      <w:r>
        <w:rPr>
          <w:w w:val="110"/>
          <w:sz w:val="24"/>
        </w:rPr>
        <w:t>statement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position;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1231" w:val="left" w:leader="none"/>
        </w:tabs>
        <w:spacing w:line="240" w:lineRule="auto" w:before="1" w:after="0"/>
        <w:ind w:left="1231" w:right="0" w:hanging="282"/>
        <w:jc w:val="left"/>
        <w:rPr>
          <w:sz w:val="24"/>
        </w:rPr>
      </w:pPr>
      <w:r>
        <w:rPr>
          <w:w w:val="105"/>
          <w:sz w:val="24"/>
        </w:rPr>
        <w:t>income</w:t>
      </w:r>
      <w:r>
        <w:rPr>
          <w:spacing w:val="50"/>
          <w:w w:val="105"/>
          <w:sz w:val="24"/>
        </w:rPr>
        <w:t> </w:t>
      </w:r>
      <w:r>
        <w:rPr>
          <w:spacing w:val="-2"/>
          <w:w w:val="105"/>
          <w:sz w:val="24"/>
        </w:rPr>
        <w:t>statement;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1231" w:val="left" w:leader="none"/>
        </w:tabs>
        <w:spacing w:line="240" w:lineRule="auto" w:before="0" w:after="0"/>
        <w:ind w:left="1231" w:right="0" w:hanging="282"/>
        <w:jc w:val="left"/>
        <w:rPr>
          <w:sz w:val="24"/>
        </w:rPr>
      </w:pPr>
      <w:r>
        <w:rPr>
          <w:w w:val="105"/>
          <w:sz w:val="24"/>
        </w:rPr>
        <w:t>cash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flow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statements;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1231" w:val="left" w:leader="none"/>
        </w:tabs>
        <w:spacing w:line="240" w:lineRule="auto" w:before="0" w:after="0"/>
        <w:ind w:left="1231" w:right="0" w:hanging="282"/>
        <w:jc w:val="left"/>
        <w:rPr>
          <w:sz w:val="24"/>
        </w:rPr>
      </w:pPr>
      <w:r>
        <w:rPr>
          <w:w w:val="105"/>
          <w:sz w:val="24"/>
        </w:rPr>
        <w:t>Statement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changes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equity;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2"/>
        </w:numPr>
        <w:tabs>
          <w:tab w:pos="1230" w:val="left" w:leader="none"/>
        </w:tabs>
        <w:spacing w:line="240" w:lineRule="auto" w:before="0" w:after="0"/>
        <w:ind w:left="1230" w:right="0" w:hanging="281"/>
        <w:jc w:val="left"/>
        <w:rPr>
          <w:sz w:val="24"/>
        </w:rPr>
      </w:pPr>
      <w:r>
        <w:rPr>
          <w:w w:val="115"/>
          <w:sz w:val="24"/>
        </w:rPr>
        <w:t>A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statement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that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it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summary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information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derived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16"/>
          <w:w w:val="115"/>
          <w:sz w:val="24"/>
        </w:rPr>
        <w:t> </w:t>
      </w:r>
      <w:r>
        <w:rPr>
          <w:spacing w:val="-5"/>
          <w:w w:val="115"/>
          <w:sz w:val="24"/>
        </w:rPr>
        <w:t>the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4" w:top="1040" w:bottom="1220" w:left="1300" w:right="0"/>
        </w:sectPr>
      </w:pPr>
    </w:p>
    <w:p>
      <w:pPr>
        <w:pStyle w:val="BodyText"/>
        <w:tabs>
          <w:tab w:pos="2814" w:val="left" w:leader="none"/>
          <w:tab w:pos="3925" w:val="left" w:leader="none"/>
          <w:tab w:pos="5226" w:val="left" w:leader="none"/>
          <w:tab w:pos="6851" w:val="left" w:leader="none"/>
          <w:tab w:pos="7610" w:val="left" w:leader="none"/>
          <w:tab w:pos="8301" w:val="left" w:leader="none"/>
        </w:tabs>
        <w:spacing w:before="77"/>
        <w:ind w:left="1232"/>
      </w:pPr>
      <w:r>
        <w:rPr>
          <w:spacing w:val="-2"/>
          <w:w w:val="115"/>
        </w:rPr>
        <w:t>company’s</w:t>
      </w:r>
      <w:r>
        <w:rPr/>
        <w:tab/>
      </w:r>
      <w:r>
        <w:rPr>
          <w:spacing w:val="-2"/>
          <w:w w:val="115"/>
        </w:rPr>
        <w:t>annual</w:t>
      </w:r>
      <w:r>
        <w:rPr/>
        <w:tab/>
      </w:r>
      <w:r>
        <w:rPr>
          <w:spacing w:val="-2"/>
          <w:w w:val="115"/>
        </w:rPr>
        <w:t>financial</w:t>
      </w:r>
      <w:r>
        <w:rPr/>
        <w:tab/>
      </w:r>
      <w:r>
        <w:rPr>
          <w:spacing w:val="-2"/>
          <w:w w:val="115"/>
        </w:rPr>
        <w:t>statements</w:t>
      </w:r>
      <w:r>
        <w:rPr/>
        <w:tab/>
      </w:r>
      <w:r>
        <w:rPr>
          <w:spacing w:val="-5"/>
          <w:w w:val="115"/>
        </w:rPr>
        <w:t>and</w:t>
      </w:r>
      <w:r>
        <w:rPr/>
        <w:tab/>
      </w:r>
      <w:r>
        <w:rPr>
          <w:spacing w:val="-5"/>
          <w:w w:val="115"/>
        </w:rPr>
        <w:t>the</w:t>
      </w:r>
      <w:r>
        <w:rPr/>
        <w:tab/>
      </w:r>
      <w:r>
        <w:rPr>
          <w:spacing w:val="-2"/>
          <w:w w:val="115"/>
        </w:rPr>
        <w:t>directors’</w:t>
      </w:r>
    </w:p>
    <w:p>
      <w:pPr>
        <w:pStyle w:val="BodyText"/>
        <w:spacing w:before="18"/>
        <w:ind w:left="1232"/>
      </w:pPr>
      <w:r>
        <w:rPr>
          <w:spacing w:val="2"/>
          <w:w w:val="110"/>
        </w:rPr>
        <w:t>remuneration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report;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1229" w:val="left" w:leader="none"/>
          <w:tab w:pos="1232" w:val="left" w:leader="none"/>
        </w:tabs>
        <w:spacing w:line="254" w:lineRule="auto" w:before="1" w:after="0"/>
        <w:ind w:left="1232" w:right="1553" w:hanging="284"/>
        <w:jc w:val="both"/>
        <w:rPr>
          <w:sz w:val="24"/>
        </w:rPr>
      </w:pPr>
      <w:r>
        <w:rPr>
          <w:w w:val="110"/>
          <w:sz w:val="24"/>
        </w:rPr>
        <w:t>A statement that indicates how a person is entitled to the Company’s annual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statement,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director’s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remuneration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director’s </w:t>
      </w:r>
      <w:r>
        <w:rPr>
          <w:w w:val="115"/>
          <w:sz w:val="24"/>
        </w:rPr>
        <w:t>report</w:t>
      </w:r>
      <w:r>
        <w:rPr>
          <w:spacing w:val="-33"/>
          <w:w w:val="115"/>
          <w:sz w:val="24"/>
        </w:rPr>
        <w:t> </w:t>
      </w:r>
      <w:r>
        <w:rPr>
          <w:w w:val="115"/>
          <w:sz w:val="24"/>
        </w:rPr>
        <w:t>can</w:t>
      </w:r>
      <w:r>
        <w:rPr>
          <w:spacing w:val="-28"/>
          <w:w w:val="115"/>
          <w:sz w:val="24"/>
        </w:rPr>
        <w:t> </w:t>
      </w:r>
      <w:r>
        <w:rPr>
          <w:w w:val="115"/>
          <w:sz w:val="24"/>
        </w:rPr>
        <w:t>obtainfull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copies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same;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1230" w:val="left" w:leader="none"/>
          <w:tab w:pos="1232" w:val="left" w:leader="none"/>
        </w:tabs>
        <w:spacing w:line="254" w:lineRule="auto" w:before="0" w:after="0"/>
        <w:ind w:left="1232" w:right="1551" w:hanging="284"/>
        <w:jc w:val="both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914400</wp:posOffset>
            </wp:positionH>
            <wp:positionV relativeFrom="paragraph">
              <wp:posOffset>365152</wp:posOffset>
            </wp:positionV>
            <wp:extent cx="5942965" cy="527240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A statement on whether the auditor’s report on the annual financial statement was unqualified or qualified. If qualified, it should set out the</w:t>
      </w:r>
      <w:r>
        <w:rPr>
          <w:w w:val="110"/>
          <w:sz w:val="24"/>
        </w:rPr>
        <w:t> report</w:t>
      </w:r>
      <w:r>
        <w:rPr>
          <w:w w:val="110"/>
          <w:sz w:val="24"/>
        </w:rPr>
        <w:t> with</w:t>
      </w:r>
      <w:r>
        <w:rPr>
          <w:w w:val="110"/>
          <w:sz w:val="24"/>
        </w:rPr>
        <w:t> any</w:t>
      </w:r>
      <w:r>
        <w:rPr>
          <w:w w:val="110"/>
          <w:sz w:val="24"/>
        </w:rPr>
        <w:t> further</w:t>
      </w:r>
      <w:r>
        <w:rPr>
          <w:w w:val="110"/>
          <w:sz w:val="24"/>
        </w:rPr>
        <w:t> material</w:t>
      </w:r>
      <w:r>
        <w:rPr>
          <w:w w:val="110"/>
          <w:sz w:val="24"/>
        </w:rPr>
        <w:t> needed</w:t>
      </w:r>
      <w:r>
        <w:rPr>
          <w:w w:val="110"/>
          <w:sz w:val="24"/>
        </w:rPr>
        <w:t> to</w:t>
      </w:r>
      <w:r>
        <w:rPr>
          <w:w w:val="110"/>
          <w:sz w:val="24"/>
        </w:rPr>
        <w:t> understand the </w:t>
      </w:r>
      <w:r>
        <w:rPr>
          <w:spacing w:val="-2"/>
          <w:w w:val="110"/>
          <w:sz w:val="24"/>
        </w:rPr>
        <w:t>qualification.</w:t>
      </w:r>
    </w:p>
    <w:p>
      <w:pPr>
        <w:pStyle w:val="BodyText"/>
        <w:spacing w:before="61"/>
      </w:pPr>
    </w:p>
    <w:p>
      <w:pPr>
        <w:pStyle w:val="Heading1"/>
        <w:numPr>
          <w:ilvl w:val="0"/>
          <w:numId w:val="1"/>
        </w:numPr>
        <w:tabs>
          <w:tab w:pos="959" w:val="left" w:leader="none"/>
          <w:tab w:pos="961" w:val="left" w:leader="none"/>
        </w:tabs>
        <w:spacing w:line="307" w:lineRule="auto" w:before="0" w:after="0"/>
        <w:ind w:left="961" w:right="1612" w:hanging="363"/>
        <w:jc w:val="left"/>
      </w:pPr>
      <w:r>
        <w:rPr/>
        <w:t>What offences and penalties are prescribed in the Act in relation to</w:t>
      </w:r>
      <w:r>
        <w:rPr>
          <w:spacing w:val="80"/>
        </w:rPr>
        <w:t> </w:t>
      </w:r>
      <w:r>
        <w:rPr/>
        <w:t>summary financial statements?</w:t>
      </w:r>
    </w:p>
    <w:p>
      <w:pPr>
        <w:pStyle w:val="BodyText"/>
        <w:spacing w:line="254" w:lineRule="auto" w:before="274"/>
        <w:ind w:left="961" w:right="1567"/>
        <w:jc w:val="both"/>
      </w:pPr>
      <w:r>
        <w:rPr>
          <w:w w:val="110"/>
        </w:rPr>
        <w:t>Offences</w:t>
      </w:r>
      <w:r>
        <w:rPr>
          <w:w w:val="110"/>
        </w:rPr>
        <w:t> and</w:t>
      </w:r>
      <w:r>
        <w:rPr>
          <w:w w:val="110"/>
        </w:rPr>
        <w:t> penalties</w:t>
      </w:r>
      <w:r>
        <w:rPr>
          <w:w w:val="110"/>
        </w:rPr>
        <w:t> regarding</w:t>
      </w:r>
      <w:r>
        <w:rPr>
          <w:w w:val="110"/>
        </w:rPr>
        <w:t> summary</w:t>
      </w:r>
      <w:r>
        <w:rPr>
          <w:w w:val="110"/>
        </w:rPr>
        <w:t> financial</w:t>
      </w:r>
      <w:r>
        <w:rPr>
          <w:w w:val="110"/>
        </w:rPr>
        <w:t> statements</w:t>
      </w:r>
      <w:r>
        <w:rPr>
          <w:w w:val="110"/>
        </w:rPr>
        <w:t> are provided for under section 669 of the Companies Act as follows: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1"/>
        </w:numPr>
        <w:tabs>
          <w:tab w:pos="1679" w:val="left" w:leader="none"/>
          <w:tab w:pos="1681" w:val="left" w:leader="none"/>
        </w:tabs>
        <w:spacing w:line="254" w:lineRule="auto" w:before="0" w:after="0"/>
        <w:ind w:left="1681" w:right="1551" w:hanging="360"/>
        <w:jc w:val="both"/>
        <w:rPr>
          <w:sz w:val="24"/>
        </w:rPr>
      </w:pPr>
      <w:r>
        <w:rPr>
          <w:w w:val="115"/>
          <w:sz w:val="24"/>
        </w:rPr>
        <w:t>If</w:t>
      </w:r>
      <w:r>
        <w:rPr>
          <w:w w:val="115"/>
          <w:sz w:val="24"/>
        </w:rPr>
        <w:t> a</w:t>
      </w:r>
      <w:r>
        <w:rPr>
          <w:w w:val="115"/>
          <w:sz w:val="24"/>
        </w:rPr>
        <w:t> company</w:t>
      </w:r>
      <w:r>
        <w:rPr>
          <w:w w:val="115"/>
          <w:sz w:val="24"/>
        </w:rPr>
        <w:t> fails</w:t>
      </w:r>
      <w:r>
        <w:rPr>
          <w:w w:val="115"/>
          <w:sz w:val="24"/>
        </w:rPr>
        <w:t> to</w:t>
      </w:r>
      <w:r>
        <w:rPr>
          <w:w w:val="115"/>
          <w:sz w:val="24"/>
        </w:rPr>
        <w:t> comply</w:t>
      </w:r>
      <w:r>
        <w:rPr>
          <w:w w:val="115"/>
          <w:sz w:val="24"/>
        </w:rPr>
        <w:t> with</w:t>
      </w:r>
      <w:r>
        <w:rPr>
          <w:w w:val="115"/>
          <w:sz w:val="24"/>
        </w:rPr>
        <w:t> section</w:t>
      </w:r>
      <w:r>
        <w:rPr>
          <w:w w:val="115"/>
          <w:sz w:val="24"/>
        </w:rPr>
        <w:t> 666,</w:t>
      </w:r>
      <w:r>
        <w:rPr>
          <w:w w:val="115"/>
          <w:sz w:val="24"/>
        </w:rPr>
        <w:t> 667,</w:t>
      </w:r>
      <w:r>
        <w:rPr>
          <w:w w:val="115"/>
          <w:sz w:val="24"/>
        </w:rPr>
        <w:t> 668,</w:t>
      </w:r>
      <w:r>
        <w:rPr>
          <w:w w:val="115"/>
          <w:sz w:val="24"/>
        </w:rPr>
        <w:t> the company</w:t>
      </w:r>
      <w:r>
        <w:rPr>
          <w:w w:val="115"/>
          <w:sz w:val="24"/>
        </w:rPr>
        <w:t> and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each</w:t>
      </w:r>
      <w:r>
        <w:rPr>
          <w:w w:val="115"/>
          <w:sz w:val="24"/>
        </w:rPr>
        <w:t> officer</w:t>
      </w:r>
      <w:r>
        <w:rPr>
          <w:w w:val="115"/>
          <w:sz w:val="24"/>
        </w:rPr>
        <w:t> of</w:t>
      </w:r>
      <w:r>
        <w:rPr>
          <w:w w:val="115"/>
          <w:sz w:val="24"/>
        </w:rPr>
        <w:t> the</w:t>
      </w:r>
      <w:r>
        <w:rPr>
          <w:w w:val="115"/>
          <w:sz w:val="24"/>
        </w:rPr>
        <w:t> company</w:t>
      </w:r>
      <w:r>
        <w:rPr>
          <w:w w:val="115"/>
          <w:sz w:val="24"/>
        </w:rPr>
        <w:t> who</w:t>
      </w:r>
      <w:r>
        <w:rPr>
          <w:w w:val="115"/>
          <w:sz w:val="24"/>
        </w:rPr>
        <w:t> is</w:t>
      </w:r>
      <w:r>
        <w:rPr>
          <w:w w:val="115"/>
          <w:sz w:val="24"/>
        </w:rPr>
        <w:t> in</w:t>
      </w:r>
      <w:r>
        <w:rPr>
          <w:w w:val="115"/>
          <w:sz w:val="24"/>
        </w:rPr>
        <w:t> default commits</w:t>
      </w:r>
      <w:r>
        <w:rPr>
          <w:w w:val="115"/>
          <w:sz w:val="24"/>
        </w:rPr>
        <w:t> an</w:t>
      </w:r>
      <w:r>
        <w:rPr>
          <w:w w:val="115"/>
          <w:sz w:val="24"/>
        </w:rPr>
        <w:t> offence</w:t>
      </w:r>
      <w:r>
        <w:rPr>
          <w:w w:val="115"/>
          <w:sz w:val="24"/>
        </w:rPr>
        <w:t> and</w:t>
      </w:r>
      <w:r>
        <w:rPr>
          <w:w w:val="115"/>
          <w:sz w:val="24"/>
        </w:rPr>
        <w:t> on</w:t>
      </w:r>
      <w:r>
        <w:rPr>
          <w:w w:val="115"/>
          <w:sz w:val="24"/>
        </w:rPr>
        <w:t> conviction are liable to a fine not exceeding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KShs.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250,000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each;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1"/>
        </w:numPr>
        <w:tabs>
          <w:tab w:pos="1679" w:val="left" w:leader="none"/>
          <w:tab w:pos="1681" w:val="left" w:leader="none"/>
        </w:tabs>
        <w:spacing w:line="254" w:lineRule="auto" w:before="1" w:after="0"/>
        <w:ind w:left="1681" w:right="1551" w:hanging="360"/>
        <w:jc w:val="both"/>
        <w:rPr>
          <w:sz w:val="24"/>
        </w:rPr>
      </w:pPr>
      <w:r>
        <w:rPr>
          <w:w w:val="110"/>
          <w:sz w:val="24"/>
        </w:rPr>
        <w:t>If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after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conviction,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non-compliance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continues,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officer of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thecompany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who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indefault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commits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further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offence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each day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failurecontinues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liable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fine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exceeding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KShs. 25,000 for each such offence.</w:t>
      </w:r>
    </w:p>
    <w:p>
      <w:pPr>
        <w:pStyle w:val="BodyText"/>
        <w:spacing w:before="60"/>
      </w:pP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960" w:right="0" w:hanging="362"/>
        <w:jc w:val="left"/>
      </w:pP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there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requirement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publish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financial</w:t>
      </w:r>
      <w:r>
        <w:rPr>
          <w:spacing w:val="-10"/>
        </w:rPr>
        <w:t> </w:t>
      </w:r>
      <w:r>
        <w:rPr>
          <w:spacing w:val="-6"/>
        </w:rPr>
        <w:t>statements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Company’s</w:t>
      </w:r>
    </w:p>
    <w:p>
      <w:pPr>
        <w:spacing w:before="42"/>
        <w:ind w:left="96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website?</w:t>
      </w:r>
    </w:p>
    <w:p>
      <w:pPr>
        <w:pStyle w:val="BodyText"/>
        <w:spacing w:line="254" w:lineRule="auto" w:before="193"/>
        <w:ind w:left="961" w:right="1552"/>
        <w:jc w:val="both"/>
      </w:pPr>
      <w:r>
        <w:rPr>
          <w:w w:val="110"/>
        </w:rPr>
        <w:t>Yes, under section 670 of the Companies Act, it is now mandatory for quoted</w:t>
      </w:r>
      <w:r>
        <w:rPr>
          <w:spacing w:val="40"/>
          <w:w w:val="110"/>
        </w:rPr>
        <w:t> </w:t>
      </w:r>
      <w:r>
        <w:rPr>
          <w:w w:val="110"/>
        </w:rPr>
        <w:t>companies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addition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submission,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post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annual </w:t>
      </w:r>
      <w:r>
        <w:rPr/>
        <w:t>financial statements anddirectors’ report in the company’s website and the </w:t>
      </w:r>
      <w:r>
        <w:rPr>
          <w:w w:val="110"/>
        </w:rPr>
        <w:t>same</w:t>
      </w:r>
      <w:r>
        <w:rPr>
          <w:spacing w:val="-13"/>
          <w:w w:val="110"/>
        </w:rPr>
        <w:t> </w:t>
      </w:r>
      <w:r>
        <w:rPr>
          <w:w w:val="110"/>
        </w:rPr>
        <w:t>shall</w:t>
      </w:r>
      <w:r>
        <w:rPr>
          <w:spacing w:val="-14"/>
          <w:w w:val="110"/>
        </w:rPr>
        <w:t> </w:t>
      </w:r>
      <w:r>
        <w:rPr>
          <w:w w:val="110"/>
        </w:rPr>
        <w:t>remain</w:t>
      </w:r>
      <w:r>
        <w:rPr>
          <w:spacing w:val="-11"/>
          <w:w w:val="110"/>
        </w:rPr>
        <w:t> </w:t>
      </w:r>
      <w:r>
        <w:rPr>
          <w:w w:val="110"/>
        </w:rPr>
        <w:t>so</w:t>
      </w:r>
      <w:r>
        <w:rPr>
          <w:spacing w:val="-14"/>
          <w:w w:val="110"/>
        </w:rPr>
        <w:t> </w:t>
      </w:r>
      <w:r>
        <w:rPr>
          <w:w w:val="110"/>
        </w:rPr>
        <w:t>posted</w:t>
      </w:r>
      <w:r>
        <w:rPr>
          <w:spacing w:val="-12"/>
          <w:w w:val="110"/>
        </w:rPr>
        <w:t> </w:t>
      </w:r>
      <w:r>
        <w:rPr>
          <w:w w:val="110"/>
        </w:rPr>
        <w:t>until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next</w:t>
      </w:r>
      <w:r>
        <w:rPr>
          <w:spacing w:val="-12"/>
          <w:w w:val="110"/>
        </w:rPr>
        <w:t> </w:t>
      </w:r>
      <w:r>
        <w:rPr>
          <w:w w:val="110"/>
        </w:rPr>
        <w:t>financial</w:t>
      </w:r>
      <w:r>
        <w:rPr>
          <w:spacing w:val="-17"/>
          <w:w w:val="110"/>
        </w:rPr>
        <w:t> </w:t>
      </w:r>
      <w:r>
        <w:rPr>
          <w:w w:val="110"/>
        </w:rPr>
        <w:t>reports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published and</w:t>
      </w:r>
      <w:r>
        <w:rPr>
          <w:spacing w:val="-7"/>
          <w:w w:val="110"/>
        </w:rPr>
        <w:t> </w:t>
      </w:r>
      <w:r>
        <w:rPr>
          <w:w w:val="110"/>
        </w:rPr>
        <w:t>uploaded.</w:t>
      </w:r>
    </w:p>
    <w:p>
      <w:pPr>
        <w:pStyle w:val="BodyText"/>
        <w:spacing w:line="254" w:lineRule="auto" w:before="164"/>
        <w:ind w:left="961" w:right="1551"/>
        <w:jc w:val="both"/>
      </w:pPr>
      <w:r>
        <w:rPr>
          <w:w w:val="110"/>
        </w:rPr>
        <w:t>Section 670 (2) and (3) of the Companies Act makes it an offence for a quoted</w:t>
      </w:r>
      <w:r>
        <w:rPr>
          <w:w w:val="110"/>
        </w:rPr>
        <w:t> company failing to post the annual financial statements and directors’</w:t>
      </w:r>
      <w:r>
        <w:rPr>
          <w:spacing w:val="-18"/>
          <w:w w:val="110"/>
        </w:rPr>
        <w:t> </w:t>
      </w:r>
      <w:r>
        <w:rPr>
          <w:w w:val="110"/>
        </w:rPr>
        <w:t>report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thecompany, and each officer of the company</w:t>
      </w:r>
      <w:r>
        <w:rPr>
          <w:spacing w:val="-1"/>
          <w:w w:val="110"/>
        </w:rPr>
        <w:t> </w:t>
      </w:r>
      <w:r>
        <w:rPr>
          <w:w w:val="110"/>
        </w:rPr>
        <w:t>who is in default, commits an offenceand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conviction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each</w:t>
      </w:r>
      <w:r>
        <w:rPr>
          <w:spacing w:val="-8"/>
          <w:w w:val="110"/>
        </w:rPr>
        <w:t> </w:t>
      </w:r>
      <w:r>
        <w:rPr>
          <w:w w:val="110"/>
        </w:rPr>
        <w:t>liable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fine not exceeding KShs. 500,000.</w:t>
      </w:r>
    </w:p>
    <w:p>
      <w:pPr>
        <w:spacing w:after="0" w:line="254" w:lineRule="auto"/>
        <w:jc w:val="both"/>
        <w:sectPr>
          <w:pgSz w:w="12240" w:h="15840"/>
          <w:pgMar w:header="0" w:footer="1024" w:top="760" w:bottom="1220" w:left="1300" w:right="0"/>
        </w:sectPr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244" w:after="0"/>
        <w:ind w:left="959" w:right="0" w:hanging="361"/>
        <w:jc w:val="both"/>
      </w:pPr>
      <w:r>
        <w:rPr>
          <w:spacing w:val="-6"/>
        </w:rPr>
        <w:t>Lodgment requirements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quoted/listed</w:t>
      </w:r>
      <w:r>
        <w:rPr>
          <w:spacing w:val="-1"/>
        </w:rPr>
        <w:t> </w:t>
      </w:r>
      <w:r>
        <w:rPr>
          <w:spacing w:val="-6"/>
        </w:rPr>
        <w:t>companies</w:t>
      </w:r>
    </w:p>
    <w:p>
      <w:pPr>
        <w:pStyle w:val="BodyText"/>
        <w:spacing w:line="256" w:lineRule="auto" w:before="195"/>
        <w:ind w:left="961" w:right="1551"/>
        <w:jc w:val="both"/>
      </w:pPr>
      <w:r>
        <w:rPr>
          <w:w w:val="115"/>
        </w:rPr>
        <w:t>Pursuant to Section 688 of the Companies Act, the following shall be lodged</w:t>
      </w:r>
      <w:r>
        <w:rPr>
          <w:w w:val="115"/>
        </w:rPr>
        <w:t> withthe Registrar of Companies for each financial year of the </w:t>
      </w:r>
      <w:r>
        <w:rPr>
          <w:spacing w:val="-2"/>
          <w:w w:val="115"/>
        </w:rPr>
        <w:t>company,</w:t>
      </w:r>
    </w:p>
    <w:p>
      <w:pPr>
        <w:pStyle w:val="BodyText"/>
        <w:spacing w:before="157"/>
        <w:ind w:left="949"/>
        <w:jc w:val="both"/>
      </w:pPr>
      <w:r>
        <w:rPr/>
        <w:drawing>
          <wp:anchor distT="0" distB="0" distL="0" distR="0" allowOverlap="1" layoutInCell="1" locked="0" behindDoc="1" simplePos="0" relativeHeight="487428096">
            <wp:simplePos x="0" y="0"/>
            <wp:positionH relativeFrom="page">
              <wp:posOffset>914400</wp:posOffset>
            </wp:positionH>
            <wp:positionV relativeFrom="paragraph">
              <wp:posOffset>56778</wp:posOffset>
            </wp:positionV>
            <wp:extent cx="5942965" cy="527240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copy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of;</w:t>
      </w:r>
    </w:p>
    <w:p>
      <w:pPr>
        <w:pStyle w:val="ListParagraph"/>
        <w:numPr>
          <w:ilvl w:val="1"/>
          <w:numId w:val="1"/>
        </w:numPr>
        <w:tabs>
          <w:tab w:pos="1319" w:val="left" w:leader="none"/>
        </w:tabs>
        <w:spacing w:line="240" w:lineRule="auto" w:before="178" w:after="0"/>
        <w:ind w:left="1319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company’s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annual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statements</w:t>
      </w:r>
    </w:p>
    <w:p>
      <w:pPr>
        <w:pStyle w:val="ListParagraph"/>
        <w:numPr>
          <w:ilvl w:val="1"/>
          <w:numId w:val="1"/>
        </w:numPr>
        <w:tabs>
          <w:tab w:pos="1319" w:val="left" w:leader="none"/>
        </w:tabs>
        <w:spacing w:line="240" w:lineRule="auto" w:before="17" w:after="0"/>
        <w:ind w:left="1319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Director’s remuneration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report</w:t>
      </w:r>
    </w:p>
    <w:p>
      <w:pPr>
        <w:pStyle w:val="ListParagraph"/>
        <w:numPr>
          <w:ilvl w:val="1"/>
          <w:numId w:val="1"/>
        </w:numPr>
        <w:tabs>
          <w:tab w:pos="1319" w:val="left" w:leader="none"/>
        </w:tabs>
        <w:spacing w:line="240" w:lineRule="auto" w:before="18" w:after="0"/>
        <w:ind w:left="1319" w:right="0" w:hanging="361"/>
        <w:jc w:val="left"/>
        <w:rPr>
          <w:sz w:val="24"/>
        </w:rPr>
      </w:pPr>
      <w:r>
        <w:rPr>
          <w:spacing w:val="2"/>
          <w:sz w:val="24"/>
        </w:rPr>
        <w:t>The</w:t>
      </w:r>
      <w:r>
        <w:rPr>
          <w:spacing w:val="39"/>
          <w:sz w:val="24"/>
        </w:rPr>
        <w:t> </w:t>
      </w:r>
      <w:r>
        <w:rPr>
          <w:spacing w:val="2"/>
          <w:sz w:val="24"/>
        </w:rPr>
        <w:t>Director’s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1"/>
          <w:numId w:val="1"/>
        </w:numPr>
        <w:tabs>
          <w:tab w:pos="1319" w:val="left" w:leader="none"/>
        </w:tabs>
        <w:spacing w:line="240" w:lineRule="auto" w:before="17" w:after="0"/>
        <w:ind w:left="1319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Auditor’s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above</w:t>
      </w:r>
    </w:p>
    <w:p>
      <w:pPr>
        <w:pStyle w:val="BodyText"/>
        <w:spacing w:line="259" w:lineRule="auto" w:before="177"/>
        <w:ind w:left="961" w:right="1556"/>
        <w:jc w:val="both"/>
      </w:pPr>
      <w:r>
        <w:rPr>
          <w:w w:val="110"/>
        </w:rPr>
        <w:t>Note: Other ongoing compliance requirements are detailed in Practice Note 4 - Ongoing Compliance Requirements.</w:t>
      </w:r>
    </w:p>
    <w:p>
      <w:pPr>
        <w:pStyle w:val="BodyText"/>
        <w:spacing w:before="220"/>
      </w:pPr>
    </w:p>
    <w:p>
      <w:pPr>
        <w:pStyle w:val="Heading1"/>
        <w:numPr>
          <w:ilvl w:val="0"/>
          <w:numId w:val="1"/>
        </w:numPr>
        <w:tabs>
          <w:tab w:pos="958" w:val="left" w:leader="none"/>
        </w:tabs>
        <w:spacing w:line="240" w:lineRule="auto" w:before="0" w:after="0"/>
        <w:ind w:left="958" w:right="0" w:hanging="360"/>
        <w:jc w:val="both"/>
      </w:pPr>
      <w:r>
        <w:rPr>
          <w:spacing w:val="-2"/>
        </w:rPr>
        <w:t>Deadline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Lodging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above</w:t>
      </w:r>
      <w:r>
        <w:rPr>
          <w:spacing w:val="-16"/>
        </w:rPr>
        <w:t> </w:t>
      </w:r>
      <w:r>
        <w:rPr>
          <w:spacing w:val="-2"/>
        </w:rPr>
        <w:t>requirements</w:t>
      </w:r>
      <w:r>
        <w:rPr>
          <w:spacing w:val="-14"/>
        </w:rPr>
        <w:t> </w:t>
      </w:r>
      <w:r>
        <w:rPr>
          <w:spacing w:val="-2"/>
        </w:rPr>
        <w:t>(in</w:t>
      </w:r>
      <w:r>
        <w:rPr>
          <w:spacing w:val="-15"/>
        </w:rPr>
        <w:t> </w:t>
      </w:r>
      <w:r>
        <w:rPr>
          <w:spacing w:val="-2"/>
        </w:rPr>
        <w:t>note</w:t>
      </w:r>
      <w:r>
        <w:rPr>
          <w:spacing w:val="-15"/>
        </w:rPr>
        <w:t> </w:t>
      </w:r>
      <w:r>
        <w:rPr>
          <w:spacing w:val="-5"/>
        </w:rPr>
        <w:t>10)</w:t>
      </w:r>
    </w:p>
    <w:p>
      <w:pPr>
        <w:pStyle w:val="ListParagraph"/>
        <w:numPr>
          <w:ilvl w:val="0"/>
          <w:numId w:val="3"/>
        </w:numPr>
        <w:tabs>
          <w:tab w:pos="958" w:val="left" w:leader="none"/>
          <w:tab w:pos="961" w:val="left" w:leader="none"/>
        </w:tabs>
        <w:spacing w:line="254" w:lineRule="auto" w:before="34" w:after="0"/>
        <w:ind w:left="961" w:right="1554" w:hanging="363"/>
        <w:jc w:val="both"/>
        <w:rPr>
          <w:sz w:val="24"/>
        </w:rPr>
      </w:pPr>
      <w:r>
        <w:rPr>
          <w:w w:val="110"/>
          <w:sz w:val="24"/>
        </w:rPr>
        <w:t>Section 684 provides the deadline for lodging financial statements for a public company is within six months after the end of the company's </w:t>
      </w:r>
      <w:r>
        <w:rPr>
          <w:sz w:val="24"/>
        </w:rPr>
        <w:t>financial</w:t>
      </w:r>
      <w:r>
        <w:rPr>
          <w:spacing w:val="30"/>
          <w:sz w:val="24"/>
        </w:rPr>
        <w:t> </w:t>
      </w:r>
      <w:r>
        <w:rPr>
          <w:sz w:val="24"/>
        </w:rPr>
        <w:t>year-end (relevant</w:t>
      </w:r>
      <w:r>
        <w:rPr>
          <w:spacing w:val="36"/>
          <w:sz w:val="24"/>
        </w:rPr>
        <w:t> </w:t>
      </w:r>
      <w:r>
        <w:rPr>
          <w:sz w:val="24"/>
        </w:rPr>
        <w:t>accounting</w:t>
      </w:r>
      <w:r>
        <w:rPr>
          <w:spacing w:val="34"/>
          <w:sz w:val="24"/>
        </w:rPr>
        <w:t> </w:t>
      </w:r>
      <w:r>
        <w:rPr>
          <w:sz w:val="24"/>
        </w:rPr>
        <w:t>reference</w:t>
      </w:r>
      <w:r>
        <w:rPr>
          <w:spacing w:val="34"/>
          <w:sz w:val="24"/>
        </w:rPr>
        <w:t> </w:t>
      </w:r>
      <w:r>
        <w:rPr>
          <w:sz w:val="24"/>
        </w:rPr>
        <w:t>period),</w:t>
      </w:r>
      <w:r>
        <w:rPr>
          <w:spacing w:val="34"/>
          <w:sz w:val="24"/>
        </w:rPr>
        <w:t> </w:t>
      </w:r>
      <w:r>
        <w:rPr>
          <w:sz w:val="24"/>
        </w:rPr>
        <w:t>but</w:t>
      </w:r>
      <w:r>
        <w:rPr>
          <w:spacing w:val="34"/>
          <w:sz w:val="24"/>
        </w:rPr>
        <w:t> </w:t>
      </w:r>
      <w:r>
        <w:rPr>
          <w:sz w:val="24"/>
        </w:rPr>
        <w:t>this</w:t>
      </w:r>
      <w:r>
        <w:rPr>
          <w:spacing w:val="34"/>
          <w:sz w:val="24"/>
        </w:rPr>
        <w:t> </w:t>
      </w:r>
      <w:r>
        <w:rPr>
          <w:sz w:val="24"/>
        </w:rPr>
        <w:t>is</w:t>
      </w:r>
      <w:r>
        <w:rPr>
          <w:spacing w:val="34"/>
          <w:sz w:val="24"/>
        </w:rPr>
        <w:t> </w:t>
      </w:r>
      <w:r>
        <w:rPr>
          <w:sz w:val="24"/>
        </w:rPr>
        <w:t>subject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sub-note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(2)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below.</w:t>
      </w:r>
    </w:p>
    <w:p>
      <w:pPr>
        <w:pStyle w:val="ListParagraph"/>
        <w:numPr>
          <w:ilvl w:val="0"/>
          <w:numId w:val="3"/>
        </w:numPr>
        <w:tabs>
          <w:tab w:pos="958" w:val="left" w:leader="none"/>
          <w:tab w:pos="961" w:val="left" w:leader="none"/>
        </w:tabs>
        <w:spacing w:line="240" w:lineRule="auto" w:before="0" w:after="0"/>
        <w:ind w:left="961" w:right="1551" w:hanging="363"/>
        <w:jc w:val="both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7"/>
          <w:sz w:val="24"/>
        </w:rPr>
        <w:t> </w:t>
      </w:r>
      <w:r>
        <w:rPr>
          <w:sz w:val="24"/>
        </w:rPr>
        <w:t>year</w:t>
      </w:r>
      <w:r>
        <w:rPr>
          <w:spacing w:val="-7"/>
          <w:sz w:val="24"/>
        </w:rPr>
        <w:t> </w:t>
      </w:r>
      <w:r>
        <w:rPr>
          <w:sz w:val="24"/>
        </w:rPr>
        <w:t>end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company's</w:t>
      </w:r>
      <w:r>
        <w:rPr>
          <w:spacing w:val="-7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period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rFonts w:ascii="Verdana"/>
          <w:i/>
          <w:sz w:val="26"/>
        </w:rPr>
        <w:t>more </w:t>
      </w:r>
      <w:r>
        <w:rPr>
          <w:rFonts w:ascii="Verdana"/>
          <w:i/>
          <w:w w:val="105"/>
          <w:sz w:val="26"/>
        </w:rPr>
        <w:t>than</w:t>
      </w:r>
      <w:r>
        <w:rPr>
          <w:rFonts w:ascii="Verdana"/>
          <w:i/>
          <w:spacing w:val="-25"/>
          <w:w w:val="105"/>
          <w:sz w:val="26"/>
        </w:rPr>
        <w:t> </w:t>
      </w:r>
      <w:r>
        <w:rPr>
          <w:rFonts w:ascii="Verdana"/>
          <w:i/>
          <w:w w:val="105"/>
          <w:sz w:val="26"/>
        </w:rPr>
        <w:t>twelve</w:t>
      </w:r>
      <w:r>
        <w:rPr>
          <w:rFonts w:ascii="Verdana"/>
          <w:i/>
          <w:spacing w:val="-31"/>
          <w:w w:val="105"/>
          <w:sz w:val="26"/>
        </w:rPr>
        <w:t> </w:t>
      </w:r>
      <w:r>
        <w:rPr>
          <w:rFonts w:ascii="Verdana"/>
          <w:i/>
          <w:w w:val="105"/>
          <w:sz w:val="26"/>
        </w:rPr>
        <w:t>months</w:t>
      </w:r>
      <w:r>
        <w:rPr>
          <w:w w:val="105"/>
          <w:sz w:val="24"/>
        </w:rPr>
        <w:t>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deadline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is-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1373" w:val="left" w:leader="none"/>
        </w:tabs>
        <w:spacing w:line="240" w:lineRule="auto" w:before="0" w:after="0"/>
        <w:ind w:left="1373" w:right="2036" w:hanging="425"/>
        <w:jc w:val="left"/>
        <w:rPr>
          <w:sz w:val="24"/>
        </w:rPr>
      </w:pPr>
      <w:r>
        <w:rPr>
          <w:w w:val="110"/>
          <w:sz w:val="24"/>
        </w:rPr>
        <w:t>nine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months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first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anniversary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incorporation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 company;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or</w:t>
      </w:r>
    </w:p>
    <w:p>
      <w:pPr>
        <w:pStyle w:val="ListParagraph"/>
        <w:numPr>
          <w:ilvl w:val="1"/>
          <w:numId w:val="3"/>
        </w:numPr>
        <w:tabs>
          <w:tab w:pos="1373" w:val="left" w:leader="none"/>
        </w:tabs>
        <w:spacing w:line="513" w:lineRule="auto" w:before="18" w:after="0"/>
        <w:ind w:left="949" w:right="4749" w:firstLine="0"/>
        <w:jc w:val="left"/>
        <w:rPr>
          <w:sz w:val="24"/>
        </w:rPr>
      </w:pPr>
      <w:r>
        <w:rPr>
          <w:w w:val="110"/>
          <w:sz w:val="24"/>
        </w:rPr>
        <w:t>three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months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after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extended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financial year end;whichever ends later.</w:t>
      </w: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23" w:after="0"/>
        <w:ind w:left="959" w:right="0" w:hanging="361"/>
        <w:jc w:val="left"/>
      </w:pPr>
      <w:r>
        <w:rPr>
          <w:w w:val="90"/>
        </w:rPr>
        <w:t>The</w:t>
      </w:r>
      <w:r>
        <w:rPr>
          <w:spacing w:val="15"/>
        </w:rPr>
        <w:t> </w:t>
      </w:r>
      <w:r>
        <w:rPr>
          <w:w w:val="90"/>
        </w:rPr>
        <w:t>quoted</w:t>
      </w:r>
      <w:r>
        <w:rPr>
          <w:spacing w:val="20"/>
        </w:rPr>
        <w:t> </w:t>
      </w:r>
      <w:r>
        <w:rPr>
          <w:w w:val="90"/>
        </w:rPr>
        <w:t>company’s</w:t>
      </w:r>
      <w:r>
        <w:rPr>
          <w:spacing w:val="18"/>
        </w:rPr>
        <w:t> </w:t>
      </w:r>
      <w:r>
        <w:rPr>
          <w:w w:val="90"/>
        </w:rPr>
        <w:t>balance</w:t>
      </w:r>
      <w:r>
        <w:rPr>
          <w:spacing w:val="19"/>
        </w:rPr>
        <w:t> </w:t>
      </w:r>
      <w:r>
        <w:rPr>
          <w:w w:val="90"/>
        </w:rPr>
        <w:t>sheet</w:t>
      </w:r>
      <w:r>
        <w:rPr>
          <w:spacing w:val="20"/>
        </w:rPr>
        <w:t> </w:t>
      </w:r>
      <w:r>
        <w:rPr>
          <w:w w:val="90"/>
        </w:rPr>
        <w:t>and</w:t>
      </w:r>
      <w:r>
        <w:rPr>
          <w:spacing w:val="25"/>
        </w:rPr>
        <w:t> </w:t>
      </w:r>
      <w:r>
        <w:rPr>
          <w:w w:val="90"/>
        </w:rPr>
        <w:t>director’s</w:t>
      </w:r>
      <w:r>
        <w:rPr>
          <w:spacing w:val="18"/>
        </w:rPr>
        <w:t> </w:t>
      </w:r>
      <w:r>
        <w:rPr>
          <w:w w:val="90"/>
        </w:rPr>
        <w:t>report</w:t>
      </w:r>
      <w:r>
        <w:rPr>
          <w:spacing w:val="17"/>
        </w:rPr>
        <w:t> </w:t>
      </w:r>
      <w:r>
        <w:rPr>
          <w:w w:val="90"/>
        </w:rPr>
        <w:t>lodged</w:t>
      </w:r>
      <w:r>
        <w:rPr>
          <w:spacing w:val="20"/>
        </w:rPr>
        <w:t> </w:t>
      </w:r>
      <w:r>
        <w:rPr>
          <w:w w:val="90"/>
        </w:rPr>
        <w:t>with</w:t>
      </w:r>
      <w:r>
        <w:rPr>
          <w:spacing w:val="22"/>
        </w:rPr>
        <w:t> </w:t>
      </w:r>
      <w:r>
        <w:rPr>
          <w:spacing w:val="-5"/>
          <w:w w:val="90"/>
        </w:rPr>
        <w:t>the</w:t>
      </w:r>
    </w:p>
    <w:p>
      <w:pPr>
        <w:spacing w:before="80"/>
        <w:ind w:left="961" w:right="0" w:firstLine="0"/>
        <w:jc w:val="both"/>
        <w:rPr>
          <w:b/>
          <w:sz w:val="24"/>
        </w:rPr>
      </w:pPr>
      <w:r>
        <w:rPr>
          <w:b/>
          <w:sz w:val="24"/>
        </w:rPr>
        <w:t>Registrarunder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688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shall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state;</w:t>
      </w:r>
    </w:p>
    <w:p>
      <w:pPr>
        <w:pStyle w:val="BodyText"/>
        <w:spacing w:before="6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372" w:val="left" w:leader="none"/>
        </w:tabs>
        <w:spacing w:line="240" w:lineRule="auto" w:before="0" w:after="0"/>
        <w:ind w:left="1372" w:right="0" w:hanging="358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who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signed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behalf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company,</w:t>
      </w:r>
    </w:p>
    <w:p>
      <w:pPr>
        <w:pStyle w:val="ListParagraph"/>
        <w:numPr>
          <w:ilvl w:val="1"/>
          <w:numId w:val="1"/>
        </w:numPr>
        <w:tabs>
          <w:tab w:pos="1371" w:val="left" w:leader="none"/>
          <w:tab w:pos="1373" w:val="left" w:leader="none"/>
        </w:tabs>
        <w:spacing w:line="256" w:lineRule="auto" w:before="18" w:after="0"/>
        <w:ind w:left="1373" w:right="1566" w:hanging="360"/>
        <w:jc w:val="both"/>
        <w:rPr>
          <w:sz w:val="24"/>
        </w:rPr>
      </w:pPr>
      <w:r>
        <w:rPr>
          <w:w w:val="110"/>
          <w:sz w:val="24"/>
        </w:rPr>
        <w:t>The auditors report indicating the name of the auditor, name of the firm and name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who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signed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senior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statutory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auditor.</w:t>
      </w:r>
    </w:p>
    <w:p>
      <w:pPr>
        <w:pStyle w:val="BodyText"/>
        <w:spacing w:line="254" w:lineRule="auto" w:before="154"/>
        <w:ind w:left="1014" w:right="1550"/>
        <w:jc w:val="both"/>
      </w:pPr>
      <w:r>
        <w:rPr>
          <w:w w:val="115"/>
        </w:rPr>
        <w:t>Please</w:t>
      </w:r>
      <w:r>
        <w:rPr>
          <w:w w:val="115"/>
        </w:rPr>
        <w:t> note</w:t>
      </w:r>
      <w:r>
        <w:rPr>
          <w:w w:val="115"/>
        </w:rPr>
        <w:t> that</w:t>
      </w:r>
      <w:r>
        <w:rPr>
          <w:w w:val="115"/>
        </w:rPr>
        <w:t> the</w:t>
      </w:r>
      <w:r>
        <w:rPr>
          <w:w w:val="115"/>
        </w:rPr>
        <w:t> name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auditor</w:t>
      </w:r>
      <w:r>
        <w:rPr>
          <w:w w:val="115"/>
        </w:rPr>
        <w:t> may</w:t>
      </w:r>
      <w:r>
        <w:rPr>
          <w:w w:val="115"/>
        </w:rPr>
        <w:t> be</w:t>
      </w:r>
      <w:r>
        <w:rPr>
          <w:w w:val="115"/>
        </w:rPr>
        <w:t> omitted</w:t>
      </w:r>
      <w:r>
        <w:rPr>
          <w:w w:val="115"/>
        </w:rPr>
        <w:t> in </w:t>
      </w:r>
      <w:r>
        <w:rPr>
          <w:w w:val="110"/>
        </w:rPr>
        <w:t>circumstances</w:t>
      </w:r>
      <w:r>
        <w:rPr>
          <w:spacing w:val="-19"/>
          <w:w w:val="110"/>
        </w:rPr>
        <w:t> </w:t>
      </w:r>
      <w:r>
        <w:rPr>
          <w:w w:val="110"/>
        </w:rPr>
        <w:t>highlighted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Section</w:t>
      </w:r>
      <w:r>
        <w:rPr>
          <w:spacing w:val="-18"/>
          <w:w w:val="110"/>
        </w:rPr>
        <w:t> </w:t>
      </w:r>
      <w:r>
        <w:rPr>
          <w:w w:val="110"/>
        </w:rPr>
        <w:t>737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Act.</w:t>
      </w:r>
      <w:r>
        <w:rPr>
          <w:spacing w:val="-17"/>
          <w:w w:val="110"/>
        </w:rPr>
        <w:t> </w:t>
      </w:r>
      <w:r>
        <w:rPr>
          <w:w w:val="110"/>
        </w:rPr>
        <w:t>(For</w:t>
      </w:r>
      <w:r>
        <w:rPr>
          <w:spacing w:val="-17"/>
          <w:w w:val="110"/>
        </w:rPr>
        <w:t> </w:t>
      </w:r>
      <w:r>
        <w:rPr>
          <w:w w:val="110"/>
        </w:rPr>
        <w:t>instance,</w:t>
      </w:r>
      <w:r>
        <w:rPr>
          <w:spacing w:val="-19"/>
          <w:w w:val="110"/>
        </w:rPr>
        <w:t> </w:t>
      </w:r>
      <w:r>
        <w:rPr>
          <w:w w:val="110"/>
        </w:rPr>
        <w:t>where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inclusion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auditor’s</w:t>
      </w:r>
      <w:r>
        <w:rPr>
          <w:spacing w:val="-12"/>
          <w:w w:val="115"/>
        </w:rPr>
        <w:t> </w:t>
      </w:r>
      <w:r>
        <w:rPr>
          <w:w w:val="115"/>
        </w:rPr>
        <w:t>name</w:t>
      </w:r>
      <w:r>
        <w:rPr>
          <w:spacing w:val="-12"/>
          <w:w w:val="115"/>
        </w:rPr>
        <w:t> </w:t>
      </w:r>
      <w:r>
        <w:rPr>
          <w:w w:val="115"/>
        </w:rPr>
        <w:t>would</w:t>
      </w:r>
      <w:r>
        <w:rPr>
          <w:spacing w:val="-12"/>
          <w:w w:val="115"/>
        </w:rPr>
        <w:t> </w:t>
      </w:r>
      <w:r>
        <w:rPr>
          <w:w w:val="115"/>
        </w:rPr>
        <w:t>occasion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serious</w:t>
      </w:r>
      <w:r>
        <w:rPr>
          <w:spacing w:val="-14"/>
          <w:w w:val="115"/>
        </w:rPr>
        <w:t> </w:t>
      </w:r>
      <w:r>
        <w:rPr>
          <w:w w:val="115"/>
        </w:rPr>
        <w:t>personal </w:t>
      </w:r>
      <w:r>
        <w:rPr>
          <w:w w:val="110"/>
        </w:rPr>
        <w:t>risk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auditor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15"/>
          <w:w w:val="110"/>
        </w:rPr>
        <w:t> </w:t>
      </w:r>
      <w:r>
        <w:rPr>
          <w:w w:val="110"/>
        </w:rPr>
        <w:t>senior</w:t>
      </w:r>
      <w:r>
        <w:rPr>
          <w:spacing w:val="-17"/>
          <w:w w:val="110"/>
        </w:rPr>
        <w:t> </w:t>
      </w:r>
      <w:r>
        <w:rPr>
          <w:w w:val="110"/>
        </w:rPr>
        <w:t>statutory</w:t>
      </w:r>
      <w:r>
        <w:rPr>
          <w:spacing w:val="-18"/>
          <w:w w:val="110"/>
        </w:rPr>
        <w:t> </w:t>
      </w:r>
      <w:r>
        <w:rPr>
          <w:w w:val="110"/>
        </w:rPr>
        <w:t>auditor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17"/>
          <w:w w:val="110"/>
        </w:rPr>
        <w:t> </w:t>
      </w:r>
      <w:r>
        <w:rPr>
          <w:w w:val="110"/>
        </w:rPr>
        <w:t>any</w:t>
      </w:r>
      <w:r>
        <w:rPr>
          <w:spacing w:val="-18"/>
          <w:w w:val="110"/>
        </w:rPr>
        <w:t> </w:t>
      </w:r>
      <w:r>
        <w:rPr>
          <w:w w:val="110"/>
        </w:rPr>
        <w:t>such</w:t>
      </w:r>
      <w:r>
        <w:rPr>
          <w:spacing w:val="-17"/>
          <w:w w:val="110"/>
        </w:rPr>
        <w:t> </w:t>
      </w:r>
      <w:r>
        <w:rPr>
          <w:w w:val="110"/>
        </w:rPr>
        <w:t>other</w:t>
      </w:r>
      <w:r>
        <w:rPr>
          <w:spacing w:val="-16"/>
          <w:w w:val="110"/>
        </w:rPr>
        <w:t> </w:t>
      </w:r>
      <w:r>
        <w:rPr>
          <w:w w:val="110"/>
        </w:rPr>
        <w:t>person.</w:t>
      </w:r>
      <w:r>
        <w:rPr>
          <w:spacing w:val="-19"/>
          <w:w w:val="110"/>
        </w:rPr>
        <w:t> </w:t>
      </w:r>
      <w:r>
        <w:rPr>
          <w:spacing w:val="-10"/>
          <w:w w:val="110"/>
        </w:rPr>
        <w:t>A</w:t>
      </w:r>
    </w:p>
    <w:p>
      <w:pPr>
        <w:pStyle w:val="BodyText"/>
        <w:tabs>
          <w:tab w:pos="1013" w:val="left" w:leader="none"/>
        </w:tabs>
        <w:spacing w:before="1"/>
        <w:ind w:left="111"/>
        <w:jc w:val="both"/>
      </w:pPr>
      <w:r>
        <w:rPr>
          <w:u w:val="single" w:color="D9D9D9"/>
        </w:rPr>
        <w:tab/>
      </w:r>
      <w:r>
        <w:rPr>
          <w:w w:val="110"/>
          <w:u w:val="single" w:color="D9D9D9"/>
        </w:rPr>
        <w:t>Resolution</w:t>
      </w:r>
      <w:r>
        <w:rPr>
          <w:spacing w:val="11"/>
          <w:w w:val="110"/>
          <w:u w:val="single" w:color="D9D9D9"/>
        </w:rPr>
        <w:t> </w:t>
      </w:r>
      <w:r>
        <w:rPr>
          <w:w w:val="110"/>
          <w:u w:val="single" w:color="D9D9D9"/>
        </w:rPr>
        <w:t>on</w:t>
      </w:r>
      <w:r>
        <w:rPr>
          <w:spacing w:val="10"/>
          <w:w w:val="110"/>
          <w:u w:val="single" w:color="D9D9D9"/>
        </w:rPr>
        <w:t> </w:t>
      </w:r>
      <w:r>
        <w:rPr>
          <w:w w:val="110"/>
          <w:u w:val="single" w:color="D9D9D9"/>
        </w:rPr>
        <w:t>the</w:t>
      </w:r>
      <w:r>
        <w:rPr>
          <w:spacing w:val="8"/>
          <w:w w:val="110"/>
          <w:u w:val="single" w:color="D9D9D9"/>
        </w:rPr>
        <w:t> </w:t>
      </w:r>
      <w:r>
        <w:rPr>
          <w:w w:val="110"/>
          <w:u w:val="single" w:color="D9D9D9"/>
        </w:rPr>
        <w:t>omission</w:t>
      </w:r>
      <w:r>
        <w:rPr>
          <w:spacing w:val="11"/>
          <w:w w:val="110"/>
          <w:u w:val="single" w:color="D9D9D9"/>
        </w:rPr>
        <w:t> </w:t>
      </w:r>
      <w:r>
        <w:rPr>
          <w:w w:val="110"/>
          <w:u w:val="single" w:color="D9D9D9"/>
        </w:rPr>
        <w:t>is</w:t>
      </w:r>
      <w:r>
        <w:rPr>
          <w:spacing w:val="9"/>
          <w:w w:val="110"/>
          <w:u w:val="single" w:color="D9D9D9"/>
        </w:rPr>
        <w:t> </w:t>
      </w:r>
      <w:r>
        <w:rPr>
          <w:w w:val="110"/>
          <w:u w:val="single" w:color="D9D9D9"/>
        </w:rPr>
        <w:t>to</w:t>
      </w:r>
      <w:r>
        <w:rPr>
          <w:spacing w:val="9"/>
          <w:w w:val="110"/>
          <w:u w:val="single" w:color="D9D9D9"/>
        </w:rPr>
        <w:t> </w:t>
      </w:r>
      <w:r>
        <w:rPr>
          <w:w w:val="110"/>
          <w:u w:val="single" w:color="D9D9D9"/>
        </w:rPr>
        <w:t>besubmitted</w:t>
      </w:r>
      <w:r>
        <w:rPr>
          <w:spacing w:val="2"/>
          <w:w w:val="110"/>
          <w:u w:val="single" w:color="D9D9D9"/>
        </w:rPr>
        <w:t> </w:t>
      </w:r>
      <w:r>
        <w:rPr>
          <w:w w:val="110"/>
          <w:u w:val="single" w:color="D9D9D9"/>
        </w:rPr>
        <w:t>to the</w:t>
      </w:r>
      <w:r>
        <w:rPr>
          <w:spacing w:val="-2"/>
          <w:w w:val="110"/>
          <w:u w:val="single" w:color="D9D9D9"/>
        </w:rPr>
        <w:t> </w:t>
      </w:r>
      <w:r>
        <w:rPr>
          <w:w w:val="110"/>
          <w:u w:val="single" w:color="D9D9D9"/>
        </w:rPr>
        <w:t>Cabinet</w:t>
      </w:r>
      <w:r>
        <w:rPr>
          <w:spacing w:val="1"/>
          <w:w w:val="110"/>
          <w:u w:val="single" w:color="D9D9D9"/>
        </w:rPr>
        <w:t> </w:t>
      </w:r>
      <w:r>
        <w:rPr>
          <w:spacing w:val="-2"/>
          <w:w w:val="110"/>
          <w:u w:val="single" w:color="D9D9D9"/>
        </w:rPr>
        <w:t>Secretary).</w:t>
      </w:r>
      <w:r>
        <w:rPr>
          <w:spacing w:val="80"/>
          <w:w w:val="110"/>
          <w:u w:val="single" w:color="D9D9D9"/>
        </w:rPr>
        <w:t> </w:t>
      </w:r>
    </w:p>
    <w:p>
      <w:pPr>
        <w:spacing w:after="0"/>
        <w:jc w:val="both"/>
        <w:sectPr>
          <w:footerReference w:type="default" r:id="rId9"/>
          <w:pgSz w:w="12240" w:h="15840"/>
          <w:pgMar w:header="0" w:footer="953" w:top="1820" w:bottom="1140" w:left="1300" w:right="0"/>
        </w:sectPr>
      </w:pPr>
    </w:p>
    <w:p>
      <w:pPr>
        <w:pStyle w:val="BodyText"/>
        <w:spacing w:line="254" w:lineRule="auto" w:before="88"/>
        <w:ind w:left="1014" w:right="1551"/>
        <w:jc w:val="both"/>
      </w:pPr>
      <w:r>
        <w:rPr>
          <w:w w:val="110"/>
        </w:rPr>
        <w:t>It</w:t>
      </w:r>
      <w:r>
        <w:rPr>
          <w:w w:val="110"/>
        </w:rPr>
        <w:t> is</w:t>
      </w:r>
      <w:r>
        <w:rPr>
          <w:w w:val="110"/>
        </w:rPr>
        <w:t> also</w:t>
      </w:r>
      <w:r>
        <w:rPr>
          <w:w w:val="110"/>
        </w:rPr>
        <w:t> worth</w:t>
      </w:r>
      <w:r>
        <w:rPr>
          <w:w w:val="110"/>
        </w:rPr>
        <w:t> noting</w:t>
      </w:r>
      <w:r>
        <w:rPr>
          <w:w w:val="110"/>
        </w:rPr>
        <w:t> the</w:t>
      </w:r>
      <w:r>
        <w:rPr>
          <w:w w:val="110"/>
        </w:rPr>
        <w:t> requirements</w:t>
      </w:r>
      <w:r>
        <w:rPr>
          <w:w w:val="110"/>
        </w:rPr>
        <w:t> under</w:t>
      </w:r>
      <w:r>
        <w:rPr>
          <w:w w:val="110"/>
        </w:rPr>
        <w:t> section</w:t>
      </w:r>
      <w:r>
        <w:rPr>
          <w:w w:val="110"/>
        </w:rPr>
        <w:t> 770</w:t>
      </w:r>
      <w:r>
        <w:rPr>
          <w:w w:val="110"/>
        </w:rPr>
        <w:t> of</w:t>
      </w:r>
      <w:r>
        <w:rPr>
          <w:w w:val="110"/>
        </w:rPr>
        <w:t> the Companies</w:t>
      </w:r>
      <w:r>
        <w:rPr>
          <w:w w:val="110"/>
        </w:rPr>
        <w:t> Act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w w:val="110"/>
        </w:rPr>
        <w:t> corporate</w:t>
      </w:r>
      <w:r>
        <w:rPr>
          <w:w w:val="110"/>
        </w:rPr>
        <w:t> governance,</w:t>
      </w:r>
      <w:r>
        <w:rPr>
          <w:w w:val="110"/>
        </w:rPr>
        <w:t> functions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Audit Committee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corresponding mandatory compliance obligations vis- a-vis the Capital Markets Authority Act andregulations.</w:t>
      </w:r>
    </w:p>
    <w:p>
      <w:pPr>
        <w:pStyle w:val="BodyText"/>
        <w:spacing w:before="217"/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361"/>
        <w:jc w:val="left"/>
      </w:pPr>
      <w:r>
        <w:rPr>
          <w:spacing w:val="-6"/>
        </w:rPr>
        <w:t>Review</w:t>
      </w:r>
      <w:r>
        <w:rPr>
          <w:spacing w:val="-5"/>
        </w:rPr>
        <w:t> </w:t>
      </w:r>
      <w:r>
        <w:rPr>
          <w:spacing w:val="-6"/>
        </w:rPr>
        <w:t>of this</w:t>
      </w:r>
      <w:r>
        <w:rPr>
          <w:spacing w:val="-1"/>
        </w:rPr>
        <w:t> </w:t>
      </w:r>
      <w:r>
        <w:rPr>
          <w:spacing w:val="-6"/>
        </w:rPr>
        <w:t>Practice</w:t>
      </w:r>
      <w:r>
        <w:rPr>
          <w:spacing w:val="-3"/>
        </w:rPr>
        <w:t> </w:t>
      </w:r>
      <w:r>
        <w:rPr>
          <w:spacing w:val="-6"/>
        </w:rPr>
        <w:t>Note</w:t>
      </w:r>
    </w:p>
    <w:p>
      <w:pPr>
        <w:pStyle w:val="BodyText"/>
        <w:spacing w:before="66"/>
        <w:rPr>
          <w:b/>
        </w:rPr>
      </w:pPr>
    </w:p>
    <w:p>
      <w:pPr>
        <w:pStyle w:val="BodyText"/>
        <w:spacing w:line="259" w:lineRule="auto"/>
        <w:ind w:left="601" w:right="1613"/>
      </w:pPr>
      <w:r>
        <w:rPr/>
        <w:drawing>
          <wp:anchor distT="0" distB="0" distL="0" distR="0" allowOverlap="1" layoutInCell="1" locked="0" behindDoc="1" simplePos="0" relativeHeight="487429120">
            <wp:simplePos x="0" y="0"/>
            <wp:positionH relativeFrom="page">
              <wp:posOffset>914400</wp:posOffset>
            </wp:positionH>
            <wp:positionV relativeFrom="paragraph">
              <wp:posOffset>-76414</wp:posOffset>
            </wp:positionV>
            <wp:extent cx="5942965" cy="527240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This Practice Note shall be reviewed at least once every two years by the </w:t>
      </w:r>
      <w:r>
        <w:rPr>
          <w:w w:val="115"/>
        </w:rPr>
        <w:t>JLC at</w:t>
      </w:r>
      <w:r>
        <w:rPr>
          <w:spacing w:val="-1"/>
          <w:w w:val="115"/>
        </w:rPr>
        <w:t> </w:t>
      </w:r>
      <w:r>
        <w:rPr>
          <w:w w:val="115"/>
        </w:rPr>
        <w:t>itsdiscretion</w:t>
      </w:r>
      <w:r>
        <w:rPr>
          <w:spacing w:val="-19"/>
          <w:w w:val="115"/>
        </w:rPr>
        <w:t> </w:t>
      </w:r>
      <w:r>
        <w:rPr>
          <w:w w:val="115"/>
        </w:rPr>
        <w:t>and</w:t>
      </w:r>
      <w:r>
        <w:rPr>
          <w:spacing w:val="-21"/>
          <w:w w:val="115"/>
        </w:rPr>
        <w:t> </w:t>
      </w:r>
      <w:r>
        <w:rPr>
          <w:w w:val="115"/>
        </w:rPr>
        <w:t>subject</w:t>
      </w:r>
      <w:r>
        <w:rPr>
          <w:spacing w:val="-21"/>
          <w:w w:val="115"/>
        </w:rPr>
        <w:t> </w:t>
      </w:r>
      <w:r>
        <w:rPr>
          <w:w w:val="115"/>
        </w:rPr>
        <w:t>to</w:t>
      </w:r>
      <w:r>
        <w:rPr>
          <w:spacing w:val="-21"/>
          <w:w w:val="115"/>
        </w:rPr>
        <w:t> </w:t>
      </w:r>
      <w:r>
        <w:rPr>
          <w:w w:val="115"/>
        </w:rPr>
        <w:t>any</w:t>
      </w:r>
      <w:r>
        <w:rPr>
          <w:spacing w:val="-22"/>
          <w:w w:val="115"/>
        </w:rPr>
        <w:t> </w:t>
      </w:r>
      <w:r>
        <w:rPr>
          <w:w w:val="115"/>
        </w:rPr>
        <w:t>change</w:t>
      </w:r>
      <w:r>
        <w:rPr>
          <w:spacing w:val="-23"/>
          <w:w w:val="115"/>
        </w:rPr>
        <w:t> </w:t>
      </w:r>
      <w:r>
        <w:rPr>
          <w:w w:val="115"/>
        </w:rPr>
        <w:t>in</w:t>
      </w:r>
      <w:r>
        <w:rPr>
          <w:spacing w:val="-21"/>
          <w:w w:val="115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w w:val="115"/>
        </w:rPr>
        <w:t>Companies</w:t>
      </w:r>
      <w:r>
        <w:rPr>
          <w:spacing w:val="-21"/>
          <w:w w:val="115"/>
        </w:rPr>
        <w:t> </w:t>
      </w:r>
      <w:r>
        <w:rPr>
          <w:w w:val="115"/>
        </w:rPr>
        <w:t>Act.</w: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1" w:after="0"/>
        <w:ind w:left="959" w:right="0" w:hanging="361"/>
        <w:jc w:val="left"/>
      </w:pPr>
      <w:r>
        <w:rPr>
          <w:w w:val="90"/>
        </w:rPr>
        <w:t>Effective</w:t>
      </w:r>
      <w:r>
        <w:rPr>
          <w:spacing w:val="26"/>
        </w:rPr>
        <w:t> </w:t>
      </w:r>
      <w:r>
        <w:rPr>
          <w:spacing w:val="-4"/>
        </w:rPr>
        <w:t>Date</w:t>
      </w:r>
    </w:p>
    <w:p>
      <w:pPr>
        <w:pStyle w:val="BodyText"/>
        <w:spacing w:before="66"/>
        <w:rPr>
          <w:b/>
        </w:rPr>
      </w:pPr>
    </w:p>
    <w:p>
      <w:pPr>
        <w:pStyle w:val="BodyText"/>
        <w:ind w:left="601"/>
      </w:pPr>
      <w:r>
        <w:rPr>
          <w:w w:val="110"/>
        </w:rPr>
        <w:t>This</w:t>
      </w:r>
      <w:r>
        <w:rPr>
          <w:spacing w:val="-18"/>
          <w:w w:val="110"/>
        </w:rPr>
        <w:t> </w:t>
      </w:r>
      <w:r>
        <w:rPr>
          <w:w w:val="110"/>
        </w:rPr>
        <w:t>Practice</w:t>
      </w:r>
      <w:r>
        <w:rPr>
          <w:spacing w:val="-16"/>
          <w:w w:val="110"/>
        </w:rPr>
        <w:t> </w:t>
      </w:r>
      <w:r>
        <w:rPr>
          <w:w w:val="110"/>
        </w:rPr>
        <w:t>Note</w:t>
      </w:r>
      <w:r>
        <w:rPr>
          <w:spacing w:val="-15"/>
          <w:w w:val="110"/>
        </w:rPr>
        <w:t> </w:t>
      </w:r>
      <w:r>
        <w:rPr>
          <w:w w:val="110"/>
        </w:rPr>
        <w:t>shall</w:t>
      </w:r>
      <w:r>
        <w:rPr>
          <w:spacing w:val="-14"/>
          <w:w w:val="110"/>
        </w:rPr>
        <w:t> </w:t>
      </w:r>
      <w:r>
        <w:rPr>
          <w:w w:val="110"/>
        </w:rPr>
        <w:t>come</w:t>
      </w:r>
      <w:r>
        <w:rPr>
          <w:spacing w:val="-16"/>
          <w:w w:val="110"/>
        </w:rPr>
        <w:t> </w:t>
      </w:r>
      <w:r>
        <w:rPr>
          <w:w w:val="110"/>
        </w:rPr>
        <w:t>into</w:t>
      </w:r>
      <w:r>
        <w:rPr>
          <w:spacing w:val="-13"/>
          <w:w w:val="110"/>
        </w:rPr>
        <w:t> </w:t>
      </w:r>
      <w:r>
        <w:rPr>
          <w:w w:val="110"/>
        </w:rPr>
        <w:t>effect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16th</w:t>
      </w:r>
      <w:r>
        <w:rPr>
          <w:spacing w:val="-15"/>
          <w:w w:val="110"/>
        </w:rPr>
        <w:t> </w:t>
      </w:r>
      <w:r>
        <w:rPr>
          <w:w w:val="110"/>
        </w:rPr>
        <w:t>June</w:t>
      </w:r>
      <w:r>
        <w:rPr>
          <w:spacing w:val="-16"/>
          <w:w w:val="110"/>
        </w:rPr>
        <w:t> </w:t>
      </w:r>
      <w:r>
        <w:rPr>
          <w:spacing w:val="-4"/>
          <w:w w:val="110"/>
        </w:rPr>
        <w:t>2020.</w:t>
      </w:r>
    </w:p>
    <w:p>
      <w:pPr>
        <w:pStyle w:val="BodyText"/>
        <w:spacing w:before="170"/>
        <w:rPr>
          <w:sz w:val="20"/>
        </w:rPr>
      </w:pPr>
    </w:p>
    <w:tbl>
      <w:tblPr>
        <w:tblW w:w="0" w:type="auto"/>
        <w:jc w:val="left"/>
        <w:tblInd w:w="2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352"/>
        <w:gridCol w:w="2376"/>
        <w:gridCol w:w="2568"/>
      </w:tblGrid>
      <w:tr>
        <w:trPr>
          <w:trHeight w:val="863" w:hRule="atLeast"/>
        </w:trPr>
        <w:tc>
          <w:tcPr>
            <w:tcW w:w="9110" w:type="dxa"/>
            <w:gridSpan w:val="4"/>
          </w:tcPr>
          <w:p>
            <w:pPr>
              <w:pStyle w:val="TableParagraph"/>
              <w:spacing w:before="33"/>
              <w:rPr>
                <w:sz w:val="24"/>
              </w:rPr>
            </w:pPr>
          </w:p>
          <w:p>
            <w:pPr>
              <w:pStyle w:val="TableParagraph"/>
              <w:spacing w:before="1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</w:p>
        </w:tc>
      </w:tr>
      <w:tr>
        <w:trPr>
          <w:trHeight w:val="666" w:hRule="atLeast"/>
        </w:trPr>
        <w:tc>
          <w:tcPr>
            <w:tcW w:w="1814" w:type="dxa"/>
          </w:tcPr>
          <w:p>
            <w:pPr>
              <w:pStyle w:val="TableParagraph"/>
              <w:spacing w:line="332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 Number</w:t>
            </w:r>
          </w:p>
        </w:tc>
        <w:tc>
          <w:tcPr>
            <w:tcW w:w="2352" w:type="dxa"/>
          </w:tcPr>
          <w:p>
            <w:pPr>
              <w:pStyle w:val="TableParagraph"/>
              <w:spacing w:before="30"/>
              <w:ind w:lef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issued</w:t>
            </w:r>
          </w:p>
        </w:tc>
        <w:tc>
          <w:tcPr>
            <w:tcW w:w="2376" w:type="dxa"/>
          </w:tcPr>
          <w:p>
            <w:pPr>
              <w:pStyle w:val="TableParagraph"/>
              <w:spacing w:before="30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Author</w:t>
            </w:r>
          </w:p>
        </w:tc>
        <w:tc>
          <w:tcPr>
            <w:tcW w:w="2568" w:type="dxa"/>
          </w:tcPr>
          <w:p>
            <w:pPr>
              <w:pStyle w:val="TableParagraph"/>
              <w:spacing w:before="30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Update</w:t>
            </w:r>
            <w:r>
              <w:rPr>
                <w:b/>
                <w:spacing w:val="-2"/>
                <w:sz w:val="24"/>
              </w:rPr>
              <w:t> information</w:t>
            </w:r>
          </w:p>
        </w:tc>
      </w:tr>
      <w:tr>
        <w:trPr>
          <w:trHeight w:val="575" w:hRule="atLeast"/>
        </w:trPr>
        <w:tc>
          <w:tcPr>
            <w:tcW w:w="1814" w:type="dxa"/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V1.0</w:t>
            </w:r>
          </w:p>
        </w:tc>
        <w:tc>
          <w:tcPr>
            <w:tcW w:w="2352" w:type="dxa"/>
          </w:tcPr>
          <w:p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16.06.2020</w:t>
            </w:r>
          </w:p>
        </w:tc>
        <w:tc>
          <w:tcPr>
            <w:tcW w:w="2376" w:type="dxa"/>
          </w:tcPr>
          <w:p>
            <w:pPr>
              <w:pStyle w:val="TableParagraph"/>
              <w:spacing w:line="279" w:lineRule="exact"/>
              <w:ind w:left="12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Registrar</w:t>
            </w:r>
          </w:p>
          <w:p>
            <w:pPr>
              <w:pStyle w:val="TableParagraph"/>
              <w:spacing w:line="277" w:lineRule="exact"/>
              <w:ind w:left="1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ofCompanies</w:t>
            </w:r>
          </w:p>
        </w:tc>
        <w:tc>
          <w:tcPr>
            <w:tcW w:w="2568" w:type="dxa"/>
          </w:tcPr>
          <w:p>
            <w:pPr>
              <w:pStyle w:val="TableParagraph"/>
              <w:spacing w:line="232" w:lineRule="auto"/>
              <w:ind w:left="13" w:right="81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First</w:t>
            </w:r>
            <w:r>
              <w:rPr>
                <w:spacing w:val="-3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published version</w:t>
            </w:r>
          </w:p>
        </w:tc>
      </w:tr>
      <w:tr>
        <w:trPr>
          <w:trHeight w:val="427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282197</wp:posOffset>
                </wp:positionV>
                <wp:extent cx="5981065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220312pt;width:470.95pt;height:.47998pt;mso-position-horizontal-relative:page;mso-position-vertical-relative:paragraph;z-index:-15725568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0" w:footer="953" w:top="1220" w:bottom="1160" w:left="13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896416</wp:posOffset>
              </wp:positionH>
              <wp:positionV relativeFrom="page">
                <wp:posOffset>9280855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730.776001pt;width:470.95pt;height:.47998pt;mso-position-horizontal-relative:page;mso-position-vertical-relative:page;z-index:-15890944" id="docshape1" filled="true" fillcolor="#d9d9d9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876604</wp:posOffset>
              </wp:positionH>
              <wp:positionV relativeFrom="page">
                <wp:posOffset>9302292</wp:posOffset>
              </wp:positionV>
              <wp:extent cx="63373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337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4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0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Verdana"/>
                              <w:color w:val="7E7E7E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Verdana"/>
                              <w:color w:val="7E7E7E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Verdana"/>
                              <w:color w:val="7E7E7E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24002pt;margin-top:732.463989pt;width:49.9pt;height:13pt;mso-position-horizontal-relative:page;mso-position-vertical-relative:page;z-index:-1589043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4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0"/>
                        <w:sz w:val="18"/>
                      </w:rPr>
                      <w:t>|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Verdana"/>
                        <w:color w:val="7E7E7E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Verdana"/>
                        <w:color w:val="7E7E7E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Verdana"/>
                        <w:color w:val="7E7E7E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876604</wp:posOffset>
              </wp:positionH>
              <wp:positionV relativeFrom="page">
                <wp:posOffset>9302292</wp:posOffset>
              </wp:positionV>
              <wp:extent cx="627380" cy="1651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2738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0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Verdana"/>
                              <w:color w:val="7E7E7E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Verdana"/>
                              <w:color w:val="7E7E7E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Verdana"/>
                              <w:color w:val="7E7E7E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32.463989pt;width:49.4pt;height:13pt;mso-position-horizontal-relative:page;mso-position-vertical-relative:page;z-index:-1588992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0"/>
                        <w:sz w:val="18"/>
                      </w:rPr>
                      <w:t>|</w:t>
                    </w:r>
                    <w:r>
                      <w:rPr>
                        <w:b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Verdana"/>
                        <w:color w:val="7E7E7E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Verdana"/>
                        <w:color w:val="7E7E7E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Verdana"/>
                        <w:color w:val="7E7E7E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961" w:hanging="36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74" w:hanging="42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8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1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5" w:hanging="4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232" w:hanging="28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0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1" w:hanging="363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54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81" w:hanging="363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3" w:hanging="3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59" w:hanging="361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59" w:hanging="36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2024-04-11T13:39:26Z</dcterms:created>
  <dcterms:modified xsi:type="dcterms:W3CDTF">2024-04-11T13:39:26Z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2024-04-11T00:00:00Z</vt:filetime>
  </property>
  <property fmtid="{D5CDD505-2E9C-101B-9397-08002B2CF9AE}" pid="5" name="Producer">
    <vt:lpwstr>Microsoft® Word 2019</vt:lpwstr>
  </property>
</Properties>
</file>