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Statistical analysis and reporting</w:t>
      </w:r>
    </w:p>
    <w:p>
      <w:r>
        <w:t xml:space="preserve">Unless stated otherwise, all hypothesis tests are two-sided. When permutation tests are used, reported p-values are empirical permutation p-values computed as the proportion of null replicates with a test statistic at least as extreme as the observed one (with the usual +1 numerator/denominator correction). We report the statistic used in each comparison (e.g., Pearson correlation r, chi-square dissimilarity, L2 norm of position differences, median iterations to convergence). Degrees of freedom are reported where parametric tests are used; permutation-based p-values do not have degrees of freedom. By default, permutation counts were 1,000, except where explicitly noted (e.g., 50,000 label shuffles in clinical analyses). Confidence intervals based on bootstrap are percentile bootstrap intervals; where shown as 99% CIs, they reflect the percentile range from the bootstrap samples described below.</w:t>
      </w:r>
    </w:p>
    <w:p>
      <w:r>
        <w:t xml:space="preserve">For multiple comparisons in the clinical analyses, we applied Bonferroni correction across regions and attractor states as specified below.</w:t>
      </w:r>
    </w:p>
    <w:p>
      <w:pPr>
        <w:pStyle w:val="Heading2"/>
      </w:pPr>
      <w:r>
        <w:t xml:space="preserve">Data</w:t>
      </w:r>
    </w:p>
    <w:p>
      <w:r>
        <w:t xml:space="preserve">We obtained functional MRI data from seven sources (see </w:t>
      </w:r>
      <w:r>
        <w:t xml:space="preserve">tab-samples</w:t>
      </w:r>
      <w:r>
        <w:t xml:space="preserve">). MRI sequence parameters for studies 1–4 are summarized in Supplementary Table </w:t>
      </w:r>
      <w:r>
        <w:t xml:space="preserve">Table </w:t>
      </w:r>
      <w:r>
        <w:t xml:space="preserve">1</w:t>
      </w:r>
      <w:r>
        <w:t xml:space="preserve">.
We included three resting-state studies with healthy volunteers (study 1, study 2, study 3, </w:t>
      </w:r>
      <m:oMath>
        <m:r>
          <m:t>n_{total}=118</m:t>
        </m:r>
      </m:oMath>
      <w:r>
        <w:t xml:space="preserve">), one task-based study (study 4, </w:t>
      </w:r>
      <m:oMath>
        <m:r>
          <m:t>n_{total}=33</m:t>
        </m:r>
      </m:oMath>
      <w:r>
        <w:t xml:space="preserve"> participants, nine runs each), an individual-participant meta-analytic activation map of pain (study 5, </w:t>
      </w:r>
      <m:oMath>
        <m:r>
          <m:t>n_{total}=603</m:t>
        </m:r>
      </m:oMath>
      <w:r>
        <w:t xml:space="preserve"> from 20 studies), eight task-based activation patterns obtained from coordinate-based meta-analyses via Neurosynth (study 6, 14,371 studies in total; see </w:t>
      </w:r>
      <w:r>
        <w:t xml:space="preserve">Supplementary Table </w:t>
      </w:r>
      <w:r>
        <w:t xml:space="preserve">2</w:t>
      </w:r>
      <w:r>
        <w:t xml:space="preserve">), and a resting-state dataset focusing on autism spectrum disorder (</w:t>
      </w:r>
      <w:r>
        <w:t xml:space="preserve">ASD</w:t>
      </w:r>
      <w:r>
        <w:t xml:space="preserve">) from </w:t>
      </w:r>
      <w:r>
        <w:t xml:space="preserve">ABIDE</w:t>
      </w:r>
      <w:r>
        <w:t xml:space="preserve"> (study 7,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whether the resting‑state functional connectome can be treated as an attractor network, to optimize the temperature (</w:t>
      </w:r>
      <m:oMath>
        <m:r>
          <m:t>\beta</m:t>
        </m:r>
      </m:oMath>
      <w:r>
        <w:t xml:space="preserve">) and noise (</w:t>
      </w:r>
      <m:oMath>
        <m:r>
          <m:t>\epsilon</m:t>
        </m:r>
      </m:oMath>
      <w:r>
        <w:t xml:space="preserve">) parameters of the </w:t>
      </w:r>
      <w:r>
        <w:t xml:space="preserve">fcANN</w:t>
      </w:r>
      <w:r>
        <w:t xml:space="preserve"> model, and to evaluate the proposed approach for reconstructing resting‑state brain dynamics. Studies 2 and 3 served as replication datasets. Studies 1–3 are well suited to examine replicability and generalizability; data were acquired in three centers across two countries, by different research staff, with different scanners (Philips, Siemens, GE) and imaging sequences. Further details on studies 1–3 are described in </w:t>
      </w:r>
      <w:r>
        <w:t xml:space="preserve">Spisak </w:t>
      </w:r>
      <w:r>
        <w:rPr>
          <w:i/>
          <w:iCs/>
        </w:rPr>
        <w:t xml:space="preserve">et al.</w:t>
      </w:r>
      <w:r>
        <w:t xml:space="preserve"> (2020)</w:t>
      </w:r>
      <w:r>
        <w:t xml:space="preserve">. The ability of the proposed approach to model task‑based perturbations of brain dynamics was evaluated in study 4, which consisted of nine task‑based </w:t>
      </w:r>
      <w:r>
        <w:t xml:space="preserve">fMRI</w:t>
      </w:r>
      <w:r>
        <w:t xml:space="preserve"> runs for each of the 33 healthy volunteers. In all runs, participants received heat pain stimulation. Each stimulus lasted 12.5 seconds, with a 3‑second ramp‑up and 2‑second ramp‑down and 7.5 seconds at target temperature. Six temperature levels were a</w:t>
      </w:r>
      <w:r>
        <w:t xml:space="preserve">dm</w:t>
      </w:r>
      <w:r>
        <w:t xml:space="preserve">inistered (44.3°C, 45.3°C, 46.3°C, 47.3°C, 48.3°C, 49.3°C). We used run 1 (passive experience), run 3 (down‑regulation), and run 7 (up‑regulation). In runs 3 and 7, participants were asked to cognitively increase (regulate up) or decrease (regulate 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 (</w:t>
      </w:r>
      <w:r>
        <w:t xml:space="preserve">Tor D. (2011)</w:t>
      </w:r>
      <w:r>
        <w:t xml:space="preserve">), a web-based platform for large-scale, automated synthesis of </w:t>
      </w:r>
      <w:r>
        <w:t xml:space="preserve">fMRI</w:t>
      </w:r>
      <w:r>
        <w:t xml:space="preserve"> data. We performed eight coordinate-based meta-analyses with the terms “motor”, “auditory”, “visual”, “face”, “autobiographical”, “theory mind”, “language”, and “pain” (</w:t>
      </w:r>
      <w:r>
        <w:t xml:space="preserve">Supplementary Table </w:t>
      </w:r>
      <w:r>
        <w:t xml:space="preserve">2</w:t>
      </w:r>
      <w:r>
        <w:t xml:space="preserve">) and obtained Z-score maps from a two-way ANOVA, comparing coordinates reported for studies with and without the term of interest and testing for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at </w:t>
      </w:r>
      <w:hyperlink w:history="1" r:id="rId7qt_axzs9rub0obifiumk">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were preprocessed with our in-house analysis pipeline, the RPN-pipeline (</w:t>
      </w:r>
      <w:hyperlink w:history="1" r:id="rIdoygaimdfncznq-9jwm_dj">
        <w:r>
          <w:rPr>
            <w:rStyle w:val="Hyperlink"/>
          </w:rPr>
          <w:t xml:space="preserve">https://​github​.com​/spisakt​/RPN​-signature</w:t>
        </w:r>
      </w:hyperlink>
      <w:r>
        <w:t xml:space="preserve">). The RPN-pipeline is based on PUMI (Neuroimaging Pipelines Using Modular workflow Integration, </w:t>
      </w:r>
      <w:hyperlink w:history="1" r:id="rIdq-3fbkawjwobfsbp2xadk">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anatomical and structural images, as well as tissue segmentation from the anatomical images, was performed with FSL BET and FAST. Anatomical images were linearly and nonlinearly co-registered to the 1 mm MNI152 standard brain template with ANTs (see </w:t>
      </w:r>
      <w:hyperlink w:history="1" r:id="rIdegtcjqalebacaqkohz4c3">
        <w:r>
          <w:rPr>
            <w:rStyle w:val="Hyperlink"/>
          </w:rPr>
          <w:t xml:space="preserve">https://​gist​.github​.com​/spisakt​/0caa7ec4bc18d3ed736d3a4e49da7415</w:t>
        </w:r>
      </w:hyperlink>
      <w:r>
        <w:t xml:space="preserve"> for parameters).
Functional images were co-registered to the anatomical images with FSL FLIRT’s boundary-based registration. All resulting transformations were saved for further use. Preprocessing of functional images was performed in native space, without resampling. Realignment-based motion correction was performed with FSL MCFLIRT. The resulting six head motion estimates (three rotations, three translations), their squared terms, their derivatives, and the squared derivatives (Friston-24 expansion, </w:t>
      </w:r>
      <w:r>
        <w:t xml:space="preserve">Friston </w:t>
      </w:r>
      <w:r>
        <w:rPr>
          <w:i/>
          <w:iCs/>
        </w:rPr>
        <w:t xml:space="preserve">et al.</w:t>
      </w:r>
      <w:r>
        <w:t xml:space="preserve"> (1996)</w:t>
      </w:r>
      <w:r>
        <w:t xml:space="preserve">) were calculated as nuisance signals. Additionally, head motion was summarized as framewise displacement (FD) time series, according to Power’s method </w:t>
      </w:r>
      <w:r>
        <w:t xml:space="preserve">(</w:t>
      </w:r>
      <w:r>
        <w:t xml:space="preserve">Power </w:t>
      </w:r>
      <w:r>
        <w:rPr>
          <w:i/>
          <w:iCs/>
        </w:rPr>
        <w:t xml:space="preserve">et al.</w:t>
      </w:r>
      <w:r>
        <w:t xml:space="preserve">, 2012</w:t>
      </w:r>
      <w:r>
        <w:t xml:space="preserve">)</w:t>
      </w:r>
      <w:r>
        <w:t xml:space="preserve">, for use in censoring and exclusion. After motion correction, outliers (e.g., motion spikes) in time‑series data were attenuated using AFNI despike. The union of eroded white‑matter maps and ventricle masks was transformed to native functional space and used to extract noise signals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six CompCor parameters (the first six principal components of noise-region time series), the Friston‑24 motion parameters, and the linear trend were removed with a general linear model. On the residual data, temporal band‑pass filtering was performed with AFNI’s 3dBandpass to retain the 0.008–0.08 Hz band. To further attenuate motion artifacts, potentially motion‑contaminated time frames, defined by a conservative FD &gt; 0.15 mm threshold, were dropped (scrubbing, </w:t>
      </w:r>
      <w:r>
        <w:t xml:space="preserve">Satterthwaite </w:t>
      </w:r>
      <w:r>
        <w:rPr>
          <w:i/>
          <w:iCs/>
        </w:rPr>
        <w:t xml:space="preserve">et al.</w:t>
      </w:r>
      <w:r>
        <w:t xml:space="preserve"> (2013)</w:t>
      </w:r>
      <w:r>
        <w:t xml:space="preserve">). Participants were excluded if more than 50% of frames were scrubbed.</w:t>
      </w:r>
    </w:p>
    <w:p>
      <w:r>
        <w:t xml:space="preserve">The 122‑parcel BASC (Bootstrap Analysis of Stable Clusters) atlas </w:t>
      </w:r>
      <w:r>
        <w:t xml:space="preserve">(</w:t>
      </w:r>
      <w:r>
        <w:t xml:space="preserve">Bellec </w:t>
      </w:r>
      <w:r>
        <w:rPr>
          <w:i/>
          <w:iCs/>
        </w:rPr>
        <w:t xml:space="preserve">et al.</w:t>
      </w:r>
      <w:r>
        <w:t xml:space="preserve">, 2010</w:t>
      </w:r>
      <w:r>
        <w:t xml:space="preserve">)</w:t>
      </w:r>
      <w:r>
        <w:t xml:space="preserve"> was individualized by transforming it to each participant’s native functional space (nearest‑neighbour interpolation) and masking by that participant’s grey‑matter mask to retain only grey‑matter voxels. Voxel time series were then averaged within BASC regions.</w:t>
      </w:r>
    </w:p>
    <w:p>
      <w:r>
        <w:t xml:space="preserve">All these preprocessing steps are part of the containerized version of the RPN-pipeline (</w:t>
      </w:r>
      <w:hyperlink w:history="1" r:id="rIdonc1eicw4ywreb-m0vtt0">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 series were ordered into large-scale functional modules (defined by the 7‑parcel level of the BASC atlas) for visualization.
Next, in all datasets, we estimated study‑level mean connectivity matrices by regularized partial correlation via the Ledoit–Wolf shrinkage estimator </w:t>
      </w:r>
      <w:r>
        <w:t xml:space="preserve">(</w:t>
      </w:r>
      <w:r>
        <w:t xml:space="preserve">Ledoit &amp; Wolf, 2004</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The precision matrix was obtained by inverting the shrinkage covariance, and partial correlations were derived from the precision; diagonal elements were set to zero.</w:t>
      </w:r>
    </w:p>
    <w:p>
      <w:pPr>
        <w:pStyle w:val="Heading2"/>
      </w:pPr>
      <w:r>
        <w:t xml:space="preserve">fcANN</w:t>
      </w:r>
      <w:r>
        <w:t xml:space="preserve"> inference (</w:t>
      </w:r>
      <w:r>
        <w:t xml:space="preserve">FEP-ANN</w:t>
      </w:r>
      <w:r>
        <w:t xml:space="preserve">) and update rules</w:t>
      </w:r>
    </w:p>
    <w:p>
      <w:r>
        <w:t xml:space="preserve">Our </w:t>
      </w:r>
      <w:r>
        <w:t xml:space="preserve">fcANN</w:t>
      </w:r>
      <w:r>
        <w:t xml:space="preserve"> instantiates the inference dynamics of free-energy-minimizing attractor neural networks (</w:t>
      </w:r>
      <w:r>
        <w:t xml:space="preserve">FEP-ANN</w:t>
      </w:r>
      <w:r>
        <w:t xml:space="preserve">s) at the macro-scale. Each node represents a brain region with continuous activity ( \boldsymbol{a} = (a_1,\dots,a_m) ), and couplings are given by the symmetrized matrix ( \boldsymbol{J} ) (see Functional connectome). Unless noted otherwise, biases are zero ((\boldsymbol{b}=\boldsymbol{0})).</w:t>
      </w:r>
    </w:p>
    <w:p>
      <w:r>
        <w:t xml:space="preserve">Deterministic inference. In the noise‑free symmetric case, activities are updated by repeate</w:t>
      </w:r>
      <w:r>
        <w:t xml:space="preserve">dl</w:t>
      </w:r>
      <w:r>
        <w:t xml:space="preserve">y applying a sigmoidal nonlinearity to the weighted input</w:t>
      </w:r>
    </w:p>
    <w:p/>
    <w:p>
      <w:pPr>
        <w:tabs>
          <w:tab w:val="center" w:pos="4513"/>
          <w:tab w:val="right" w:pos="9026"/>
        </w:tabs>
      </w:pPr>
      <w:r>
        <w:t xml:space="preserve">	</w:t>
      </w:r>
      <m:oMath>
        <m:r>
          <m:t>\boldsymbol{a}^{(t+1)} = S\!\left( \beta\, \boldsymbol{J}\, \boldsymbol{a}^{(t)} \right),</m:t>
        </m:r>
      </m:oMath>
      <w:r>
        <w:t xml:space="preserve">	(1)</w:t>
      </w:r>
    </w:p>
    <w:p/>
    <w:p>
      <w:r>
        <w:t xml:space="preserve">where (S) is a smooth odd sigmoid (we used (\tanh) as a practical, fast surrogate for the Langevin function) and (\beta) is the inverse temperature (precision) scaling the couplings. Iterations monotonically decrease a Lyapunov (free energy) function equivalent—up to an additive constant—to</w:t>
      </w:r>
    </w:p>
    <w:p/>
    <w:p>
      <w:pPr>
        <w:tabs>
          <w:tab w:val="center" w:pos="4513"/>
          <w:tab w:val="right" w:pos="9026"/>
        </w:tabs>
      </w:pPr>
      <w:r>
        <w:t xml:space="preserve">	</w:t>
      </w:r>
      <m:oMath>
        <m:r>
          <m:t>E(\boldsymbol{a}) = - \tfrac{1}{2}\, \boldsymbol{a}^\top \boldsymbol{J}\, \boldsymbol{a} + \boldsymbol{a}^\top \boldsymbol{b},</m:t>
        </m:r>
      </m:oMath>
      <w:r>
        <w:t xml:space="preserve">	(2)</w:t>
      </w:r>
    </w:p>
    <w:p/>
    <w:p>
      <w:r>
        <w:t xml:space="preserve">and therefore converge to a local free‑energy minimum without any external optimizer. Thus, convergence does not require any optimization procedure with an external optimizer. Instead, it arises as the fixed point of repeated local inference updates, which implement gradient descent on free energy in the deterministic symmetric case (see main text).</w:t>
      </w:r>
    </w:p>
    <w:p>
      <w:r>
        <w:t xml:space="preserve">Stochastic (Langevin‑style) inference. For generative modeling of dynamics, we adopt a slight variation of the </w:t>
      </w:r>
      <w:r>
        <w:t xml:space="preserve">FEP</w:t>
      </w:r>
      <w:r>
        <w:t xml:space="preserve">‑</w:t>
      </w:r>
      <w:r>
        <w:t xml:space="preserve">ANN</w:t>
      </w:r>
      <w:r>
        <w:t xml:space="preserve"> inference rule: starting from the deterministic update above, we add zero‑mean Gaussian noise directly to the post‑activation state (Langevin‑style)</w:t>
      </w:r>
    </w:p>
    <w:p/>
    <w:p>
      <w:pPr>
        <w:tabs>
          <w:tab w:val="center" w:pos="4513"/>
          <w:tab w:val="right" w:pos="9026"/>
        </w:tabs>
      </w:pPr>
      <w:r>
        <w:t xml:space="preserve">	</w:t>
      </w:r>
      <m:oMath>
        <m:r>
          <m:t>\boldsymbol{a}^{(t+1)} = S\!\left( \beta\, \boldsymbol{J}\, \boldsymbol{a}^{(t)} \right) + \boldsymbol{\epsilon}^{(t)}, \quad \boldsymbol{\epsilon}^{(t)} \sim \mathcal{N}(\boldsymbol{0}, \sigma^2 \boldsymbol{I}).</m:t>
        </m:r>
      </m:oMath>
      <w:r>
        <w:t xml:space="preserve">	(3)</w:t>
      </w:r>
    </w:p>
    <w:p/>
    <w:p>
      <w:r>
        <w:t xml:space="preserve">This explicit additive Gaussian noise differs from the continuous‑Bernoulli noise implied by the theoretical derivation but aligns with common Langevin formulations and was empirically robust. We use deterministic updates to identify attractors and study convergence; we use stochastic updates as a generative model of multistable dynamics.</w:t>
      </w:r>
    </w:p>
    <w:p>
      <w:pPr>
        <w:pStyle w:val="Heading2"/>
      </w:pPr>
      <w:r>
        <w:t xml:space="preserve">fcANN</w:t>
      </w:r>
      <w:r>
        <w:t xml:space="preserve"> convergence and attractors</w:t>
      </w:r>
    </w:p>
    <w:p>
      <w:r>
        <w:t xml:space="preserve">We investigated convergence under the deterministic update (Eq. </w:t>
      </w:r>
      <w:r>
        <w:t xml:space="preserve">(</w:t>
      </w:r>
      <w:r>
        <w:t xml:space="preserve">1</w:t>
      </w:r>
      <w:r>
        <w:t xml:space="preserve">)</w:t>
      </w:r>
      <w:r>
        <w:t xml:space="preserve">) by contrasting iterations-to-convergence of the empirical </w:t>
      </w:r>
      <w:r>
        <w:t xml:space="preserve">fcANN</w:t>
      </w:r>
      <w:r>
        <w:t xml:space="preserve"> against a permutation-based null. The null was constructed by randomly permuting the upper triangle of (\boldsymbol{J}) and reflecting it to preserve symmetry (destroying topology while preserving weight distribution). For each of 1,000 permutations, we initialized both models with the same random state and counted iterations to convergence. Statistical significance of faster convergence in the empirical connectome was assessed via a one-sided Wilcoxon signed-rank test on paired iteration counts (1,000 pairs), testing whether the empirical connectome converges in fewer iterations than its permuted counterpart. We repeated this procedure across inverse-temperature values (\beta \in {0.035, 0.040, 0.045, 0.050, 0.055, 0.060}) (yielding 2–8 attractor states). See </w:t>
      </w:r>
      <w:r>
        <w:t xml:space="preserve">Supplementary Figure </w:t>
      </w:r>
      <w:r>
        <w:t xml:space="preserve">6</w:t>
      </w:r>
      <w:r>
        <w:t xml:space="preserve"> for detailed results.</w:t>
      </w:r>
    </w:p>
    <w:p>
      <w:pPr>
        <w:pStyle w:val="Heading2"/>
      </w:pPr>
      <w:r>
        <w:t xml:space="preserve">fcANN</w:t>
      </w:r>
      <w:r>
        <w:t xml:space="preserve"> projection</w:t>
      </w:r>
    </w:p>
    <w:p>
      <w:r>
        <w:t xml:space="preserve">We mapped out the </w:t>
      </w:r>
      <w:r>
        <w:t xml:space="preserve">fcANN</w:t>
      </w:r>
      <w:r>
        <w:t xml:space="preserve"> state space by initializing the model with a random input and applying the stochastic update (Eq. </w:t>
      </w:r>
      <w:r>
        <w:t xml:space="preserve">(</w:t>
      </w:r>
      <w:r>
        <w:t xml:space="preserve">3</w:t>
      </w:r>
      <w:r>
        <w:t xml:space="preserve">)</w:t>
      </w:r>
      <w:r>
        <w:t xml:space="preserve">) for </w:t>
      </w:r>
      <w:r>
        <w:t xml:space="preserve"> iterations, storing visited activity configurations. We performed principal component analysis (PCA) on the samples and used the first two PCs as the coordinate system for the </w:t>
      </w:r>
      <w:r>
        <w:t xml:space="preserve">fcANN</w:t>
      </w:r>
      <w:r>
        <w:t xml:space="preserve"> projection. Using multinomial logistic regression, we predicted attractor identity from the first two PCs. Performance was evaluated with 10-fold cross-validation and a two-sided permutation test (1,000 label permutations within folds). We visualized attractor positions and decision boundaries based on this classifier. The </w:t>
      </w:r>
      <w:r>
        <w:t xml:space="preserve">fcANN</w:t>
      </w:r>
      <w:r>
        <w:t xml:space="preserve"> projection is used for visualization; unless otherwise noted, inferential comparisons between empirical and simulated data are performed in the full 122-dimensional space.</w:t>
      </w:r>
    </w:p>
    <w:p>
      <w:pPr>
        <w:pStyle w:val="Heading2"/>
      </w:pPr>
      <w:r>
        <w:t xml:space="preserve">Parameter optimization</w:t>
      </w:r>
    </w:p>
    <w:p>
      <w:r>
        <w:t xml:space="preserve">Based on the convergence analysis, we selected the inverse temperature providing the fastest median convergence (</w:t>
      </w:r>
      <m:oMath>
        <m:r>
          <m:t>\beta = 0.04</m:t>
        </m:r>
      </m:oMath>
      <w:r>
        <w:t xml:space="preserve">) for subsequent analyses, to minimize computational costs. We then optimized the stochastic noise level </w:t>
      </w:r>
      <m:oMath>
        <m:r>
          <m:t>\epsilon</m:t>
        </m:r>
      </m:oMath>
      <w:r>
        <w:t xml:space="preserve"> for the Langevin-style update by comparing the full 122-dimensional distributions of empirical and </w:t>
      </w:r>
      <w:r>
        <w:t xml:space="preserve">fcANN</w:t>
      </w:r>
      <w:r>
        <w:t xml:space="preserve">-generated data.</w:t>
      </w:r>
    </w:p>
    <w:p>
      <w:r>
        <w:t xml:space="preserve">Specifically, for eight </w:t>
      </w:r>
      <m:oMath>
        <m:r>
          <m:t>\epsilon</m:t>
        </m:r>
      </m:oMath>
      <w:r>
        <w:t xml:space="preserve"> values spaced logarithmically between 0.1 and 1, we generated samples with Eq. </w:t>
      </w:r>
      <w:r>
        <w:t xml:space="preserve">(</w:t>
      </w:r>
      <w:r>
        <w:t xml:space="preserve">3</w:t>
      </w:r>
      <w:r>
        <w:t xml:space="preserve">)</w:t>
      </w:r>
      <w:r>
        <w:t xml:space="preserve"> and computed the 2‑Wasserstein (Earth Mover’s) distance between the 122‑dimensional empirical and simulated distributions (after per‑region z‑scoring). As a null, we drew surrogate samples from a covariance‑matched multivariate normal distribution </w:t>
      </w:r>
      <m:oMath>
        <m:r>
          <m:t>\mathcal{N}(\boldsymbol{0}, \boldsymbol{\Sigma})</m:t>
        </m:r>
      </m:oMath>
      <w:r>
        <w:t xml:space="preserve">, where </w:t>
      </w:r>
      <m:oMath>
        <m:r>
          <m:t>\boldsymbol{\Sigma}</m:t>
        </m:r>
      </m:oMath>
      <w:r>
        <w:t xml:space="preserve"> is the empirical covariance of the regional time series. For each </w:t>
      </w:r>
      <m:oMath>
        <m:r>
          <m:t>\epsilon</m:t>
        </m:r>
      </m:oMath>
      <w:r>
        <w:t xml:space="preserve">, we generated 1,000 null surrogates and contrasted the empirical Wasserstein distance to the null distribution, summarizing the separation with Glass’s </w:t>
      </w:r>
      <m:oMath>
        <m:r>
          <m:t>\Delta</m:t>
        </m:r>
      </m:oMath>
      <w:r>
        <w:t xml:space="preserve"> and permutation p‑values. We selected </w:t>
      </w:r>
      <m:oMath>
        <m:r>
          <m:t>\epsilon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fcANN</w:t>
      </w:r>
      <w:r>
        <w:t xml:space="preserve">s, based on the study-mean functional connectome obtained in studies 2 and 3 and  obtained all attractor states of these models, with the same parameter settings (</w:t>
      </w:r>
      <m:oMath>
        <m:r>
          <m:t>\beta = 0.04</m:t>
        </m:r>
      </m:oMath>
      <w:r>
        <w:t xml:space="preserve"> and </w:t>
      </w:r>
      <m:oMath>
        <m:r>
          <m:t>\epsilon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fcANN</w:t>
      </w:r>
      <w:r>
        <w:t xml:space="preserve"> projection, we performed PCA on the preprocessed </w:t>
      </w:r>
      <w:r>
        <w:t xml:space="preserve">fMRI</w:t>
      </w:r>
      <w:r>
        <w:t xml:space="preserve"> time frames from study 1 (analogous to the methodology of the </w:t>
      </w:r>
      <w:r>
        <w:t xml:space="preserve">fcANN</w:t>
      </w:r>
      <w:r>
        <w:t xml:space="preserve"> projection, but on the empirical time‑series data).
Next, we fitted linear regression models using the first two </w:t>
      </w:r>
      <w:r>
        <w:t xml:space="preserve">fcANN</w:t>
      </w:r>
      <w:r>
        <w:t xml:space="preserve">‑based or data‑based PCs as regressors to reconstruct the real </w:t>
      </w:r>
      <w:r>
        <w:t xml:space="preserve">fMRI</w:t>
      </w:r>
      <w:r>
        <w:t xml:space="preserve"> time frames. In‑sample explained variances and confidence intervals were calculated for both models with bootstrapping (100 samples; percentile 99% CIs). Differences in explained variance between </w:t>
      </w:r>
      <w:r>
        <w:t xml:space="preserve">fcANN</w:t>
      </w:r>
      <w:r>
        <w:t xml:space="preserve">‑ and data‑based PCs were assessed with a two‑sided percentile bootstrap on the difference in </w:t>
      </w:r>
      <m:oMath>
        <m:r>
          <m:t>R^2</m:t>
        </m:r>
      </m:oMath>
      <w:r>
        <w:t xml:space="preserve">. To evaluate out‑of‑sample generalization of the PCs (</w:t>
      </w:r>
      <w:r>
        <w:t xml:space="preserve">fcANN</w:t>
      </w:r>
      <w:r>
        <w:t xml:space="preserve">‑ and data‑based) from study 1, we calculated how much variance they explain in study 2.</w:t>
      </w:r>
    </w:p>
    <w:p>
      <w:r>
        <w:t xml:space="preserve">Similarity between state occupancy and distribution was calculated during parameter optimization. More detail on the associated null models can be found in </w:t>
      </w:r>
      <w:r>
        <w:t xml:space="preserve">Supplementary Figure </w:t>
      </w:r>
      <w:r>
        <w:t xml:space="preserve">7</w:t>
      </w:r>
      <w:r>
        <w:t xml:space="preserve">.</w:t>
      </w:r>
    </w:p>
    <w:p>
      <w:r>
        <w:t xml:space="preserve">To confirm that the real and </w:t>
      </w:r>
      <w:r>
        <w:t xml:space="preserve">fcANN</w:t>
      </w:r>
      <w:r>
        <w:t xml:space="preserve"> temporal sequences (from the stochastic relaxation) display similar temporal autocorrelation properties, we compared both to their randomly shuffled variant with a “flow analysis”.
First, we calculated the direction on the </w:t>
      </w:r>
      <w:r>
        <w:t xml:space="preserve">fcANN</w:t>
      </w:r>
      <w:r>
        <w:t xml:space="preserve"> projection plane between each successive TR (a vector on the </w:t>
      </w:r>
      <w:r>
        <w:t xml:space="preserve">fcANN</w:t>
      </w:r>
      <w:r>
        <w:t xml:space="preserve"> projection plane for each TR transition), both for the empirical and the shuffled data.
Next, we obtained two‑dimensional binned means for both the x and y coordinates of these transition vectors (pooled across all participants), calculated over a 100×100 grid of uniformly distributed bins in the [−6, 6] range (arbitrary units) and applied Gaussian smoothing with </w:t>
      </w:r>
      <m:oMath>
        <m:r>
          <m:t>\sigma=5</m:t>
        </m:r>
      </m:oMath>
      <w:r>
        <w:t xml:space="preserve"> bins (same approach as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fcANN</w:t>
      </w:r>
      <w:r>
        <w:t xml:space="preserve">-generated data. The similarity of the real and </w:t>
      </w:r>
      <w:r>
        <w:t xml:space="preserve">fcANN</w:t>
      </w:r>
      <w:r>
        <w:t xml:space="preserve">-generated flow analysis was quantified with Pearson’s correlation coefficient (two-sided); p-values were obtained with permutation testing (1,000 permutations), by shuffling temporal order (for resting-state analyses) or condition labels (for task analyses; see below).</w:t>
      </w:r>
    </w:p>
    <w:p>
      <w:pPr>
        <w:pStyle w:val="Heading2"/>
      </w:pPr>
      <w:r>
        <w:t xml:space="preserve">Evaluation: task-based dynamics</w:t>
      </w:r>
    </w:p>
    <w:p>
      <w:r>
        <w:t xml:space="preserve">We used study 4 to evaluate the ability of the </w:t>
      </w:r>
      <w:r>
        <w:t xml:space="preserve">fcANN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 series were grouped into “pain” and “rest” blocks, with a 6-second delay to adjust for the hemodynamic response time. All activation time frames were transformed to the </w:t>
      </w:r>
      <w:r>
        <w:t xml:space="preserve">fcANN</w:t>
      </w:r>
      <w:r>
        <w:t xml:space="preserve"> projection plane obtained from study 1. Within-participant differences in the average location on the </w:t>
      </w:r>
      <w:r>
        <w:t xml:space="preserve">fcANN</w:t>
      </w:r>
      <w:r>
        <w:t xml:space="preserve"> projection were calculated and visualized with radial plots, showing the participant-level mean trajectory on the projection plane from rest to pain (circles), as well as the group-level trajectory (arrow). The significance of the position difference and energy difference of the participant-level mean activations on the projection plane was tested with a two-sided permutation test (1,000 permutations), using the L2 norm of the two-dimensional position difference and the absolute energy difference, respectively, as test statistics, and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state data (</w:t>
      </w:r>
      <w:r>
        <w:t xml:space="preserve">Evaluation: resting state dynamics</w:t>
      </w:r>
      <w:r>
        <w:t xml:space="preserve">). First, we calculated the direction in the projection plane between each successive TR during the rest conditions (a vector on the </w:t>
      </w:r>
      <w:r>
        <w:t xml:space="preserve">fcANN</w:t>
      </w:r>
      <w:r>
        <w:t xml:space="preserve"> projection plane for each TR transition). Next, we obtained two-dimensional binned means for the x and y coordinates of these transition vectors (pooled across all participants), calculated over a two-dimensional grid of 100×100 uniformly distributed bins in the [-6,6] range (arbitrary units) and applied Gaussian smoothing with </w:t>
      </w:r>
      <m:oMath>
        <m:r>
          <m:t>\sigma=5</m:t>
        </m:r>
      </m:oMath>
      <w:r>
        <w:t xml:space="preserve">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fcANN</w:t>
      </w:r>
      <w:r>
        <w:t xml:space="preserve"> model from study 1. The similarity between real and simulated flow maps was quantified with Pearson’s correlation coefficient (two-sided), and significance was assessed via permutation testing (1,000 permutations) by randomly swapping condition labels within participants.</w:t>
      </w:r>
    </w:p>
    <w:p>
      <w:r>
        <w:t xml:space="preserve">To obtain </w:t>
      </w:r>
      <w:r>
        <w:t xml:space="preserve">fcANN</w:t>
      </w:r>
      <w:r>
        <w:t xml:space="preserve">-simulated state transitions in resting conditions, we used the stochastic relaxation procedure (</w:t>
      </w:r>
      <w:r>
        <w:t xml:space="preserve">), with </w:t>
      </w:r>
      <m:oMath>
        <m:r>
          <m:t>\mathbf{\mu}</m:t>
        </m:r>
      </m:oMath>
      <w:r>
        <w:t xml:space="preserve"> set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fcANN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fcANN</w:t>
      </w:r>
      <w:r>
        <w:t xml:space="preserve">-generated flow maps as the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fcANN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results were not biased by center effects. We excluded high‑motion cases similarly to studies 1–4, i.e., by scrubbing volumes with FD &gt; 0.15 and excluding participants with &gt;50% of data scrubbed. Time‑series data were pooled and visualized on the </w:t>
      </w:r>
      <w:r>
        <w:t xml:space="preserve">fcANN</w:t>
      </w:r>
      <w:r>
        <w:t xml:space="preserve"> projection of study 1, separately for </w:t>
      </w:r>
      <w:r>
        <w:t xml:space="preserve">ASD</w:t>
      </w:r>
      <w:r>
        <w:t xml:space="preserve"> and control participants.
Next, for each participant, we grouped time frames from the regional time‑series data according to the corresponding attractor states (obtained with the </w:t>
      </w:r>
      <w:r>
        <w:t xml:space="preserve">fcANN</w:t>
      </w:r>
      <w:r>
        <w:t xml:space="preserve"> model from study 1) and averaged time frames corresponding to the same attractor state to calculate participant‑level mean attractor activations.
We assessed mean attractor‑activity differences between groups with a two‑sided permutation test, randomly reassigning group labels 50,000 times. Reported effect sizes in the clinical tables are mean activation differences. Note that activation time series were standard‑scaled independently for each region, so effect size can be interpreted as the proportion of regional variability.
We adjusted the significance threshold with a Bonferroni-correction, accounting for tests across 4 states and 122 regions, resulting in </w:t>
      </w:r>
      <m:oMath>
        <m:r>
          <m:t>\alpha = 0.0001</m:t>
        </m:r>
      </m:oMath>
      <w:r>
        <w:t xml:space="preserve">.
Finally, we calculated trajectory differences between the two groups, as predicted by the group‑specific </w:t>
      </w:r>
      <w:r>
        <w:t xml:space="preserve">fcANN</w:t>
      </w:r>
      <w:r>
        <w:t xml:space="preserve">s (initialized with the </w:t>
      </w:r>
      <w:r>
        <w:t xml:space="preserve">ASD</w:t>
      </w:r>
      <w:r>
        <w:t xml:space="preserve"> and TDC connectomes), and—similarly to the approach used in study 4—contrasted the </w:t>
      </w:r>
      <w:r>
        <w:t xml:space="preserve">fcANN</w:t>
      </w:r>
      <w:r>
        <w:t xml:space="preserve"> predictions with trajectory differences observed in real rs</w:t>
      </w:r>
      <w:r>
        <w:t xml:space="preserve">fMRI</w:t>
      </w:r>
      <w:r>
        <w:t xml:space="preserve"> data. As in the previous flow analyses, we tested the significance of the similarity (Pearson’s correlation) between predicted and observed trajectory differences with a two‑sided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p5qzhtzpvoxxq46mjbeoj">
        <w:r>
          <w:rPr>
            <w:rStyle w:val="Hyperlink"/>
          </w:rPr>
          <w:t xml:space="preserve">10.1016/s0047-259x(03)00096-4</w:t>
        </w:r>
      </w:hyperlink>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wfn8uu2rufaxjhyls-naa">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d5gercnu7q1eyaldkd25c">
        <w:r>
          <w:rPr>
            <w:rStyle w:val="Hyperlink"/>
          </w:rPr>
          <w:t xml:space="preserve">10.3389/conf.fninf.2011.08.00058</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yo34jr2j-sxqzc4ybevt8">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4cs3igadynwu0uunwkx_u">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7qt_axzs9rub0obifiumk" Type="http://schemas.openxmlformats.org/officeDocument/2006/relationships/hyperlink" Target="https://osf.io/hc4md" TargetMode="External"/><Relationship Id="rIdoygaimdfncznq-9jwm_dj" Type="http://schemas.openxmlformats.org/officeDocument/2006/relationships/hyperlink" Target="https://github.com/spisakt/RPN-signature" TargetMode="External"/><Relationship Id="rIdq-3fbkawjwobfsbp2xadk" Type="http://schemas.openxmlformats.org/officeDocument/2006/relationships/hyperlink" Target="https://github.com/pni-lab/PUMI" TargetMode="External"/><Relationship Id="rIdegtcjqalebacaqkohz4c3" Type="http://schemas.openxmlformats.org/officeDocument/2006/relationships/hyperlink" Target="https://gist.github.com/spisakt/0caa7ec4bc18d3ed736d3a4e49da7415" TargetMode="External"/><Relationship Id="rIdonc1eicw4ywreb-m0vtt0" Type="http://schemas.openxmlformats.org/officeDocument/2006/relationships/hyperlink" Target="https://spisakt.github.io/RPN-signature" TargetMode="External"/><Relationship Id="rIdp5qzhtzpvoxxq46mjbeoj" Type="http://schemas.openxmlformats.org/officeDocument/2006/relationships/hyperlink" Target="https://doi.org/10.1016/s0047-259x(03)00096-4" TargetMode="External"/><Relationship Id="rIdwfn8uu2rufaxjhyls-naa" Type="http://schemas.openxmlformats.org/officeDocument/2006/relationships/hyperlink" Target="https://doi.org/10.1038/s41467-019-13785-z" TargetMode="External"/><Relationship Id="rIdd5gercnu7q1eyaldkd25c" Type="http://schemas.openxmlformats.org/officeDocument/2006/relationships/hyperlink" Target="https://doi.org/10.3389/conf.fninf.2011.08.00058" TargetMode="External"/><Relationship Id="rIdyo34jr2j-sxqzc4ybevt8" Type="http://schemas.openxmlformats.org/officeDocument/2006/relationships/hyperlink" Target="https://doi.org/10.1371/journal.pbio.1002036" TargetMode="External"/><Relationship Id="rId4cs3igadynwu0uunwkx_u"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2025-10-24T08:02:03.959Z</dcterms:created>
  <dcterms:modified xsi:type="dcterms:W3CDTF">2025-10-24T08:02:03.959Z</dcterms:modified>
</cp:coreProperties>
</file>

<file path=docProps/custom.xml><?xml version="1.0" encoding="utf-8"?>
<Properties xmlns="http://schemas.openxmlformats.org/officeDocument/2006/custom-properties" xmlns:vt="http://schemas.openxmlformats.org/officeDocument/2006/docPropsVTypes"/>
</file>