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q3-_v6jpalfgagvoviskq">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sz1mzwx74bhp_uan9dxpt">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fcANN, when predicting the attractor state from state
activation.</w:t>
      </w:r>
      <w:r>
        <w:t xml:space="preserve">  See </w:t>
      </w:r>
      <w:hyperlink w:history="1" r:id="rId1puq2kky0ve7ogds-u-d3">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fcANN parameters threshold and beta.</w:t>
      </w:r>
      <w:r>
        <w:t xml:space="preserve"> The number of attractor states is color‑coded. See </w:t>
      </w:r>
      <w:hyperlink w:history="1" r:id="rIdq-eudnawavpgkz2muzpuw">
        <w:r>
          <w:rPr>
            <w:rStyle w:val="Hyperlink"/>
          </w:rPr>
          <w:t xml:space="preserve">supplemental​_material​.ipynb</w:t>
        </w:r>
      </w:hyperlink>
      <w:r>
        <w:t xml:space="preserve"> for details.</w:t>
      </w:r>
    </w:p>
    <w:p>
      <w:pPr>
        <w:jc w:val="center"/>
      </w:pPr>
      <w:r>
        <w:drawing>
          <wp:inline distT="0" distB="0" distL="0" distR="0">
            <wp:extent cx="4000500" cy="1449970"/>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49970"/>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fcANNs initialized with the empirical connectome have better convergence properties than permutation‑based null models.</w:t>
      </w:r>
      <w:r>
        <w:t xml:space="preserve"> We investigated the convergence properties of functional connectome‑based ANNs in study 1 by contrasting the number of iterations until reaching convergence to a permutation‑based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fcANN with the same random input and counted the number of iterations until convergence. Each point on the plot shows an iteration number; the lines connect iteration numbers corresponding to the original and permuted matrices initialized with the same input. Statistical significance of the faster convergence in the empirical connectome was assessed via a one‑sided Wilcoxon signed‑rank test (i.e., a non‑parametric paired test) on the paired iteration values (1,000 pairs), with the null hypothesis that the empirical connectome converges in fewer iterations than the permuted connectome. The whole procedure was repeated with </w:t>
      </w:r>
      <m:oMath>
        <m:r>
          <m:t>\beta=0.3, 0.35, 0.4, 0.5</m:t>
        </m:r>
      </m:oMath>
      <w:r>
        <w:t xml:space="preserve"> and </w:t>
      </w:r>
      <w:r>
        <w:t xml:space="preserve">0.6</w:t>
      </w:r>
      <w:r>
        <w:t xml:space="preserve"> (providing 2–8 attractor states). See </w:t>
      </w:r>
      <w:hyperlink w:history="1" r:id="rIdw1tvq40t4tsxtclfqv4lw">
        <w:r>
          <w:rPr>
            <w:rStyle w:val="Hyperlink"/>
          </w:rPr>
          <w:t xml:space="preserve">convergence​-analysis​.ipynb</w:t>
        </w:r>
      </w:hyperlink>
      <w:r>
        <w:t xml:space="preserve"> for details.</w:t>
      </w:r>
    </w:p>
    <w:p>
      <w:pPr>
        <w:jc w:val="center"/>
      </w:pPr>
      <w:r>
        <w:drawing>
          <wp:inline distT="0" distB="0" distL="0" distR="0">
            <wp:extent cx="4000500" cy="2100982"/>
            <wp:effectExtent b="0" l="0" r="0" t="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00982"/>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fcANN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ccateltvbvbpiud49igsx">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fcANN performance. See </w:t>
      </w:r>
      <w:hyperlink w:history="1" r:id="rIdmdzsmxmvcvsmwcxiktxxn">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FcANN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mdwzut1jt-gzf_rxgo1ye">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fcANN can reconstruct the changes in brain dynamics caused by the voluntary downregulation of pain (as contrasted to upregulation)</w:t>
      </w:r>
      <w:r>
        <w:t xml:space="preserve">
Signal-to-noise values range from 0.001 to 0.005. P-values are based on permutation testing, by randomly changing the conditions in a per-participant basis. See </w:t>
      </w:r>
      <w:hyperlink w:history="1" r:id="rIdjmixs2pizactj7b8tjilz">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fcANN weights to noise.</w:t>
      </w:r>
      <w:r>
        <w:t xml:space="preserve">
We set the temperature of the fcANN, so that two attractor states emerge and iteratively add noise to the connectome.
To account for the change in dynamics, we adjust the temperature (beta) of the noisy fcANN so that exactly two states emerge. We then highlight the decrease in nodal strength of the noisy connectome (the fcANN weights) as a reference metric
vs the correlation of the attractor states that emerge from the noisy connectome. See </w:t>
      </w:r>
      <w:hyperlink w:history="1" r:id="rIdftokbgmi7xe_erlfdiccj">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y-aeynrzc0xc_hrpzzcfl">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MRI acquisition parameters.</w:t>
      </w:r>
      <w:r>
        <w:t xml:space="preserve"> TR: repetition time; TE: echo time; FA: flip angle; FOV: field of view; EPI: echo‑planar imaging; SPGR: spoiled gradient recall; SENSE/GRAPPA/ASSET: parallel imaging factors. Study 5-7 are metaanalyses or multi-center studies with varying data. Sequence parameters for these studies are available in the respective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t xml:space="preserve">Parameter</w:t>
            </w:r>
          </w:p>
        </w:tc>
        <w:tc>
          <w:p>
            <w:r>
              <w:t xml:space="preserve">Study 1</w:t>
            </w:r>
          </w:p>
        </w:tc>
        <w:tc>
          <w:p>
            <w:r>
              <w:t xml:space="preserve">Study 2</w:t>
            </w:r>
          </w:p>
        </w:tc>
        <w:tc>
          <w:p>
            <w:r>
              <w:t xml:space="preserve">Study 3</w:t>
            </w:r>
          </w:p>
        </w:tc>
        <w:tc>
          <w:p>
            <w:r>
              <w:t xml:space="preserve">Study 4</w:t>
            </w:r>
          </w:p>
        </w:tc>
      </w:tr>
      <w:tr>
        <w:trPr>
          <w:tblHeader/>
        </w:trPr>
        <w:tc>
          <w:p>
            <w:r>
              <w:t xml:space="preserve">Scanner / head coil</w:t>
            </w:r>
          </w:p>
        </w:tc>
        <w:tc>
          <w:p>
            <w:r>
              <w:t xml:space="preserve">Philips Achieva X 3T; 32‑ch</w:t>
            </w:r>
          </w:p>
        </w:tc>
        <w:tc>
          <w:p>
            <w:r>
              <w:t xml:space="preserve">Siemens Magnetom Skyra 3T; 32‑ch</w:t>
            </w:r>
          </w:p>
        </w:tc>
        <w:tc>
          <w:p>
            <w:r>
              <w:t xml:space="preserve">GE Discovery MR750w 3T; 20‑ch</w:t>
            </w:r>
          </w:p>
        </w:tc>
        <w:tc>
          <w:p>
            <w:r>
              <w:t xml:space="preserve">Philips Achieva TX 3T; head coil per site</w:t>
            </w:r>
          </w:p>
        </w:tc>
      </w:tr>
      <w:tr>
        <w:trPr>
          <w:tblHeader/>
        </w:trPr>
        <w:tc>
          <w:p>
            <w:r>
              <w:t xml:space="preserve">Anatomical sequence</w:t>
            </w:r>
          </w:p>
        </w:tc>
        <w:tc>
          <w:p>
            <w:r>
              <w:t xml:space="preserve">T1 MPRAGE</w:t>
            </w:r>
          </w:p>
        </w:tc>
        <w:tc>
          <w:p>
            <w:r>
              <w:t xml:space="preserve">T1 MPRAGE</w:t>
            </w:r>
          </w:p>
        </w:tc>
        <w:tc>
          <w:p>
            <w:r>
              <w:t xml:space="preserve">T1 3D IR‑FSPGR</w:t>
            </w:r>
          </w:p>
        </w:tc>
        <w:tc>
          <w:p>
            <w:r>
              <w:t xml:space="preserve">T1 SPGR (high‑resolution)</w:t>
            </w:r>
          </w:p>
        </w:tc>
      </w:tr>
      <w:tr>
        <w:trPr>
          <w:tblHeader/>
        </w:trPr>
        <w:tc>
          <w:p>
            <w:r>
              <w:t xml:space="preserve">Anatomical TR / TE</w:t>
            </w:r>
          </w:p>
        </w:tc>
        <w:tc>
          <w:p>
            <w:r>
              <w:t xml:space="preserve">8500 ms / 3.9 ms</w:t>
            </w:r>
          </w:p>
        </w:tc>
        <w:tc>
          <w:p>
            <w:r>
              <w:t xml:space="preserve">2300 ms / 2.07 ms</w:t>
            </w:r>
          </w:p>
        </w:tc>
        <w:tc>
          <w:p>
            <w:r>
              <w:t xml:space="preserve">5.3 ms / 2.1 ms</w:t>
            </w:r>
          </w:p>
        </w:tc>
        <w:tc>
          <w:p>
            <w:r>
              <w:t xml:space="preserve">— / —</w:t>
            </w:r>
          </w:p>
        </w:tc>
      </w:tr>
      <w:tr>
        <w:trPr>
          <w:tblHeader/>
        </w:trPr>
        <w:tc>
          <w:p>
            <w:r>
              <w:t xml:space="preserve">Anatomical resolution / FOV</w:t>
            </w:r>
          </w:p>
        </w:tc>
        <w:tc>
          <w:p>
            <w:r>
              <w:t xml:space="preserve">1×1×1 mm³; 256×256×220 mm³</w:t>
            </w:r>
          </w:p>
        </w:tc>
        <w:tc>
          <w:p>
            <w:r>
              <w:t xml:space="preserve">1×1×1 mm³; 256×256×192 mm³</w:t>
            </w:r>
          </w:p>
        </w:tc>
        <w:tc>
          <w:p>
            <w:r>
              <w:t xml:space="preserve">1×1×1 mm³; 256×256×172</w:t>
            </w:r>
          </w:p>
        </w:tc>
        <w:tc>
          <w:p>
            <w:r>
              <w:t xml:space="preserve">—</w:t>
            </w:r>
          </w:p>
        </w:tc>
      </w:tr>
      <w:tr>
        <w:trPr>
          <w:tblHeader/>
        </w:trPr>
        <w:tc>
          <w:p>
            <w:r>
              <w:t xml:space="preserve">Resting‑state EPI TR / TE / FA</w:t>
            </w:r>
          </w:p>
        </w:tc>
        <w:tc>
          <w:p>
            <w:r>
              <w:t xml:space="preserve">2500 ms / 35 ms / 90°</w:t>
            </w:r>
          </w:p>
        </w:tc>
        <w:tc>
          <w:p>
            <w:r>
              <w:t xml:space="preserve">2520 ms / 35 ms / 90°</w:t>
            </w:r>
          </w:p>
        </w:tc>
        <w:tc>
          <w:p>
            <w:r>
              <w:t xml:space="preserve">2500 ms / 27 ms / 81°</w:t>
            </w:r>
          </w:p>
        </w:tc>
        <w:tc>
          <w:p>
            <w:r>
              <w:t xml:space="preserve">2000 ms / 20 ms / —</w:t>
            </w:r>
          </w:p>
        </w:tc>
      </w:tr>
      <w:tr>
        <w:trPr>
          <w:tblHeader/>
        </w:trPr>
        <w:tc>
          <w:p>
            <w:r>
              <w:t xml:space="preserve">Phase enc.</w:t>
            </w:r>
          </w:p>
        </w:tc>
        <w:tc>
          <w:p>
            <w:r>
              <w:t xml:space="preserve">COL</w:t>
            </w:r>
          </w:p>
        </w:tc>
        <w:tc>
          <w:p>
            <w:r>
              <w:t xml:space="preserve">A&gt;&gt;P</w:t>
            </w:r>
          </w:p>
        </w:tc>
        <w:tc>
          <w:p>
            <w:r>
              <w:t xml:space="preserve">A&gt;&gt;P</w:t>
            </w:r>
          </w:p>
        </w:tc>
        <w:tc>
          <w:p>
            <w:r>
              <w:t xml:space="preserve">—</w:t>
            </w:r>
          </w:p>
        </w:tc>
      </w:tr>
      <w:tr>
        <w:trPr>
          <w:tblHeader/>
        </w:trPr>
        <w:tc>
          <w:p>
            <w:r>
              <w:t xml:space="preserve">FOV (voxels × slices)</w:t>
            </w:r>
          </w:p>
        </w:tc>
        <w:tc>
          <w:p>
            <w:r>
              <w:t xml:space="preserve">240×240×132; 40 slices</w:t>
            </w:r>
          </w:p>
        </w:tc>
        <w:tc>
          <w:p>
            <w:r>
              <w:t xml:space="preserve">230×230×132; 38 slices</w:t>
            </w:r>
          </w:p>
        </w:tc>
        <w:tc>
          <w:p>
            <w:r>
              <w:t xml:space="preserve">96×96×44; 44 slices</w:t>
            </w:r>
          </w:p>
        </w:tc>
        <w:tc>
          <w:p>
            <w:r>
              <w:t xml:space="preserve">64×64; 42 slices</w:t>
            </w:r>
          </w:p>
        </w:tc>
      </w:tr>
      <w:tr>
        <w:trPr>
          <w:tblHeader/>
        </w:trPr>
        <w:tc>
          <w:p>
            <w:r>
              <w:t xml:space="preserve">Slice thickness / gap / order</w:t>
            </w:r>
          </w:p>
        </w:tc>
        <w:tc>
          <w:p>
            <w:r>
              <w:t xml:space="preserve">3 mm / 0.3 mm / interleaved</w:t>
            </w:r>
          </w:p>
        </w:tc>
        <w:tc>
          <w:p>
            <w:r>
              <w:t xml:space="preserve">3 mm / 0.48 mm / interleaved</w:t>
            </w:r>
          </w:p>
        </w:tc>
        <w:tc>
          <w:p>
            <w:r>
              <w:t xml:space="preserve">3 mm / 0 mm / interleaved</w:t>
            </w:r>
          </w:p>
        </w:tc>
        <w:tc>
          <w:p>
            <w:r>
              <w:t xml:space="preserve">3 mm / — / interleaved</w:t>
            </w:r>
          </w:p>
        </w:tc>
      </w:tr>
      <w:tr>
        <w:trPr>
          <w:tblHeader/>
        </w:trPr>
        <w:tc>
          <w:p>
            <w:r>
              <w:t xml:space="preserve">Acceleration / fat suppression</w:t>
            </w:r>
          </w:p>
        </w:tc>
        <w:tc>
          <w:p>
            <w:r>
              <w:t xml:space="preserve">SENSE 3× / SPIR</w:t>
            </w:r>
          </w:p>
        </w:tc>
        <w:tc>
          <w:p>
            <w:r>
              <w:t xml:space="preserve">GRAPPA 2× / Fat sat.</w:t>
            </w:r>
          </w:p>
        </w:tc>
        <w:tc>
          <w:p>
            <w:r>
              <w:t xml:space="preserve">ASSET 2× / Fat sat.</w:t>
            </w:r>
          </w:p>
        </w:tc>
        <w:tc>
          <w:p>
            <w:r>
              <w:t xml:space="preserve">SENSE 1.5× / —</w:t>
            </w:r>
          </w:p>
        </w:tc>
      </w:tr>
      <w:tr>
        <w:trPr>
          <w:tblHeader/>
        </w:trPr>
        <w:tc>
          <w:p>
            <w:r>
              <w:t xml:space="preserve">Volumes / dummies / scan time</w:t>
            </w:r>
          </w:p>
        </w:tc>
        <w:tc>
          <w:p>
            <w:r>
              <w:t xml:space="preserve">200 / 5 / 8 min 37 s</w:t>
            </w:r>
          </w:p>
        </w:tc>
        <w:tc>
          <w:p>
            <w:r>
              <w:t xml:space="preserve">290 / 5 / 12 min 11 s</w:t>
            </w:r>
          </w:p>
        </w:tc>
        <w:tc>
          <w:p>
            <w:r>
              <w:t xml:space="preserve">240 / 0 / 10 min</w:t>
            </w:r>
          </w:p>
        </w:tc>
        <w:tc>
          <w:p>
            <w:r>
              <w:t xml:space="preserve">— / — / —</w:t>
            </w:r>
          </w:p>
        </w:tc>
      </w:tr>
    </w:tbl>
    <w:p>
      <w:r>
        <w:t xml:space="preserve"/>
      </w:r>
    </w:p>
    <w:p>
      <w:pPr>
        <w:pStyle w:val="Caption"/>
      </w:pPr>
      <w:r>
        <w:rPr>
          <w:b/>
          <w:bCs/>
        </w:rPr>
        <w:t xml:space="preserve">Table </w:t>
      </w:r>
      <w:r>
        <w:rPr>
          <w:b/>
          <w:bCs/>
        </w:rPr>
        <w:t xml:space="preserve">2</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25"/>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25"/>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25"/>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25"/>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&gt; \Phi(\sigma^{(i,x)}) − \Phi(σ) = \kappa(x − \sigma_i)
&gt;</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&gt; \partial_{\sigma_i}\Phi(\sigma) = \kappa_i(\sigma_{-i}) = b_i + \sum_{k\neq i} J_{ik} \sigma_k
&gt;</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26"/>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27"/>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vdkql6-182nmaos51ehex">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3-_v6jpalfgagvoviskq" Type="http://schemas.openxmlformats.org/officeDocument/2006/relationships/hyperlink" Target="https://github.com/pni-lab/connattractor/blob/master/notebooks/ks-test.ipynb" TargetMode="External"/><Relationship Id="rIdsz1mzwx74bhp_uan9dxpt" Type="http://schemas.openxmlformats.org/officeDocument/2006/relationships/hyperlink" Target="https://github.com/pni-lab/connattractor/blob/master/notebooks/supplemental_material.ipynb" TargetMode="External"/><Relationship Id="rId1puq2kky0ve7ogds-u-d3" Type="http://schemas.openxmlformats.org/officeDocument/2006/relationships/hyperlink" Target="https://github.com/pni-lab/connattractor/blob/master/notebooks/supplemental_material.ipynb" TargetMode="External"/><Relationship Id="rIdq-eudnawavpgkz2muzpuw" Type="http://schemas.openxmlformats.org/officeDocument/2006/relationships/hyperlink" Target="https://github.com/pni-lab/connattractor/blob/master/notebooks/supplemental_material.ipynb" TargetMode="External"/><Relationship Id="rIdw1tvq40t4tsxtclfqv4lw" Type="http://schemas.openxmlformats.org/officeDocument/2006/relationships/hyperlink" Target="https://github.com/pni-lab/connattractor/blob/master/notebooks/convergence_analysis.ipynb" TargetMode="External"/><Relationship Id="rIdccateltvbvbpiud49igsx" Type="http://schemas.openxmlformats.org/officeDocument/2006/relationships/hyperlink" Target="https://github.com/pni-lab/connattractor/blob/master/notebooks/null_models.ipynb" TargetMode="External"/><Relationship Id="rIdmdzsmxmvcvsmwcxiktxxn" Type="http://schemas.openxmlformats.org/officeDocument/2006/relationships/hyperlink" Target="https://github.com/pni-lab/connattractor/blob/master/notebooks/supplemental_material.ipynb" TargetMode="External"/><Relationship Id="rIdmdwzut1jt-gzf_rxgo1ye" Type="http://schemas.openxmlformats.org/officeDocument/2006/relationships/hyperlink" Target="https://github.com/pni-lab/connattractor/blob/master/notebooks/main_analyses.ipynb" TargetMode="External"/><Relationship Id="rIdjmixs2pizactj7b8tjilz" Type="http://schemas.openxmlformats.org/officeDocument/2006/relationships/hyperlink" Target="https://github.com/pni-lab/connattractor/blob/master/notebooks/main_analyses.ipynb" TargetMode="External"/><Relationship Id="rIdftokbgmi7xe_erlfdiccj" Type="http://schemas.openxmlformats.org/officeDocument/2006/relationships/hyperlink" Target="https://github.com/pni-lab/connattractor/blob/master/notebooks/supplemental_material.ipynb" TargetMode="External"/><Relationship Id="rIdy-aeynrzc0xc_hrpzzcfl" Type="http://schemas.openxmlformats.org/officeDocument/2006/relationships/hyperlink" Target="https://github.com/pni-lab/connattractor/blob/master/notebooks/supplemental_material.ipynb" TargetMode="External"/><Relationship Id="rIdvdkql6-182nmaos51ehex" Type="http://schemas.openxmlformats.org/officeDocument/2006/relationships/hyperlink" Target="https://doi.org/10.48550/ARXIV.2505.22749" TargetMode="External"/><Relationship Id="rId6" Type="http://schemas.openxmlformats.org/officeDocument/2006/relationships/image" Target="media/uypsafylf1bvnpwoirbwf.png"/><Relationship Id="rId7" Type="http://schemas.openxmlformats.org/officeDocument/2006/relationships/image" Target="media/o0xuzdpymbjk8h3u2zrrn.png"/><Relationship Id="rId8" Type="http://schemas.openxmlformats.org/officeDocument/2006/relationships/image" Target="media/_bbmuw4rxkj3tn-wisrkg.png"/><Relationship Id="rId9" Type="http://schemas.openxmlformats.org/officeDocument/2006/relationships/image" Target="media/upz1bgvdujnxeaudhwodk.png"/><Relationship Id="rId10" Type="http://schemas.openxmlformats.org/officeDocument/2006/relationships/image" Target="media/oq-uufctlbsgw3jyxva-2.png"/><Relationship Id="rId11" Type="http://schemas.openxmlformats.org/officeDocument/2006/relationships/image" Target="media/mi63epqgafpty2afpbjxc.png"/><Relationship Id="rId12" Type="http://schemas.openxmlformats.org/officeDocument/2006/relationships/image" Target="media/-ljd3axvlatq5z-ii_khy.png"/><Relationship Id="rId13" Type="http://schemas.openxmlformats.org/officeDocument/2006/relationships/image" Target="media/mzc1ypi0bbxmcg5w5y82h.png"/><Relationship Id="rId14" Type="http://schemas.openxmlformats.org/officeDocument/2006/relationships/image" Target="media/67lucl9qnxkwhuhstdia2.png"/><Relationship Id="rId15" Type="http://schemas.openxmlformats.org/officeDocument/2006/relationships/image" Target="media/rayfwtvb61nskijoyj3op.png"/><Relationship Id="rId16" Type="http://schemas.openxmlformats.org/officeDocument/2006/relationships/image" Target="media/lpcqusghxklovt34nj6w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2025-10-24T08:02:04.027Z</dcterms:created>
  <dcterms:modified xsi:type="dcterms:W3CDTF">2025-10-24T08:02:04.027Z</dcterms:modified>
</cp:coreProperties>
</file>

<file path=docProps/custom.xml><?xml version="1.0" encoding="utf-8"?>
<Properties xmlns="http://schemas.openxmlformats.org/officeDocument/2006/custom-properties" xmlns:vt="http://schemas.openxmlformats.org/officeDocument/2006/docPropsVTypes"/>
</file>