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Verwerkersovereenkomst (intra-groep) — concept ter toetsing</w:t>
      </w:r>
    </w:p>
    <w:p>
      <w:pPr>
        <w:pStyle w:val="Heading1"/>
      </w:pPr>
      <w:bookmarkStart w:id="20" w:name="X721665a29769d2362f98052c09c63edcb9ae742"/>
      <w:r>
        <w:t xml:space="preserve">Verwerkersovereenkomst (intra-groep) — Administratiekantoor Nijenhuis ↔ PDL Powerhouse B.V.</w:t>
      </w:r>
      <w:bookmarkEnd w:id="20"/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Concept ter juridische toetsing — niet door een jurist opgesteld</w:t>
      </w:r>
      <w:r>
        <w:t xml:space="preserve"> </w:t>
      </w:r>
      <w:r>
        <w:t xml:space="preserve">(vraag 9 van het</w:t>
      </w:r>
      <w:r>
        <w:t xml:space="preserve"> </w:t>
      </w:r>
      <w:r>
        <w:t xml:space="preserve">toetsingsmemo). Opgesteld 2026-08-12. Aanname die de jurist moet bevestigen: PDL is</w:t>
      </w:r>
      <w:r>
        <w:t xml:space="preserve"> </w:t>
      </w:r>
      <w:r>
        <w:t xml:space="preserve">verwerker voor</w:t>
      </w:r>
      <w:r>
        <w:t xml:space="preserve"> </w:t>
      </w:r>
      <w:r>
        <w:rPr>
          <w:b/>
        </w:rPr>
        <w:t xml:space="preserve">hosting en software-exploitatie</w:t>
      </w:r>
      <w:r>
        <w:t xml:space="preserve">; Google Cloud is subverwerker ván PDL;</w:t>
      </w:r>
      <w:r>
        <w:t xml:space="preserve"> </w:t>
      </w:r>
      <w:r>
        <w:t xml:space="preserve">het kantoor contracteert</w:t>
      </w:r>
      <w:r>
        <w:t xml:space="preserve"> </w:t>
      </w:r>
      <w:r>
        <w:rPr>
          <w:b/>
        </w:rPr>
        <w:t xml:space="preserve">Anthropic en Exact Reeleezee rechtstreeks</w:t>
      </w:r>
      <w:r>
        <w:t xml:space="preserve"> </w:t>
      </w:r>
      <w:r>
        <w:t xml:space="preserve">(accounts op naam</w:t>
      </w:r>
      <w:r>
        <w:t xml:space="preserve"> </w:t>
      </w:r>
      <w:r>
        <w:t xml:space="preserve">van het kantoor) zodat documenten 1–3 ongewijzigd kloppen. Staan die accounts feitelijk op</w:t>
      </w:r>
      <w:r>
        <w:t xml:space="preserve"> </w:t>
      </w:r>
      <w:r>
        <w:t xml:space="preserve">naam van PDL, dan verhuizen die partijen naar Bijlage B en moeten documenten 1–2 daarop</w:t>
      </w:r>
      <w:r>
        <w:t xml:space="preserve"> </w:t>
      </w:r>
      <w:r>
        <w:t xml:space="preserve">worden aangepast — dit is een invulpunt bij ondertekening.</w:t>
      </w:r>
    </w:p>
    <w:p>
      <w:pPr>
        <w:pStyle w:val="FirstParagraph"/>
      </w:pPr>
      <w:r>
        <w:rPr>
          <w:b/>
        </w:rPr>
        <w:t xml:space="preserve">Partijen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Administratiekantoor Nijenhuis</w:t>
      </w:r>
      <w:r>
        <w:t xml:space="preserve"> </w:t>
      </w:r>
      <w:r>
        <w:t xml:space="preserve">([rechtsvorm + KvK invullen]), hierna:</w:t>
      </w:r>
      <w:r>
        <w:t xml:space="preserve"> </w:t>
      </w:r>
      <w:r>
        <w:rPr>
          <w:i/>
        </w:rPr>
        <w:t xml:space="preserve">Verantwoordelijke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PDL Powerhouse B.V.</w:t>
      </w:r>
      <w:r>
        <w:t xml:space="preserve"> </w:t>
      </w:r>
      <w:r>
        <w:t xml:space="preserve">([KvK invullen]), hierna:</w:t>
      </w:r>
      <w:r>
        <w:t xml:space="preserve"> </w:t>
      </w:r>
      <w:r>
        <w:rPr>
          <w:i/>
        </w:rPr>
        <w:t xml:space="preserve">Verwerker</w:t>
      </w:r>
      <w:r>
        <w:t xml:space="preserve">.</w:t>
      </w:r>
    </w:p>
    <w:p>
      <w:pPr>
        <w:pStyle w:val="FirstParagraph"/>
      </w:pPr>
      <w:r>
        <w:t xml:space="preserve">Overwegende dat Verwerker eigenaar en beheerder is van de programmatuur</w:t>
      </w:r>
      <w:r>
        <w:t xml:space="preserve"> </w:t>
      </w:r>
      <w:r>
        <w:t xml:space="preserve">“</w:t>
      </w:r>
      <w:r>
        <w:t xml:space="preserve">RLZ Boekingsmodule</w:t>
      </w:r>
      <w:r>
        <w:t xml:space="preserve">”</w:t>
      </w:r>
      <w:r>
        <w:t xml:space="preserve"> </w:t>
      </w:r>
      <w:r>
        <w:t xml:space="preserve">en de bijbehorende cloudinfrastructuur (Google Cloud, regio</w:t>
      </w:r>
      <w:r>
        <w:t xml:space="preserve"> </w:t>
      </w:r>
      <w:r>
        <w:rPr>
          <w:rStyle w:val="VerbatimChar"/>
        </w:rPr>
        <w:t xml:space="preserve">europe-west4</w:t>
      </w:r>
      <w:r>
        <w:t xml:space="preserve">), en deze aan</w:t>
      </w:r>
      <w:r>
        <w:t xml:space="preserve"> </w:t>
      </w:r>
      <w:r>
        <w:t xml:space="preserve">Verantwoordelijke ter beschikking stelt voor het voeren van klantadministraties, komen</w:t>
      </w:r>
      <w:r>
        <w:t xml:space="preserve"> </w:t>
      </w:r>
      <w:r>
        <w:t xml:space="preserve">partijen het volgende overeen.</w:t>
      </w:r>
    </w:p>
    <w:p>
      <w:pPr>
        <w:pStyle w:val="Heading2"/>
      </w:pPr>
      <w:bookmarkStart w:id="21" w:name="artikel-1-onderwerp-aard-en-doel"/>
      <w:r>
        <w:t xml:space="preserve">Artikel 1 — Onderwerp, aard en doel</w:t>
      </w:r>
      <w:bookmarkEnd w:id="21"/>
    </w:p>
    <w:p>
      <w:pPr>
        <w:numPr>
          <w:ilvl w:val="0"/>
          <w:numId w:val="1002"/>
        </w:numPr>
        <w:pStyle w:val="Compact"/>
      </w:pPr>
      <w:r>
        <w:t xml:space="preserve">Verwerker verwerkt persoonsgegevens uitsluitend ten behoeve van Verantwoordelijke in het</w:t>
      </w:r>
      <w:r>
        <w:t xml:space="preserve"> </w:t>
      </w:r>
      <w:r>
        <w:t xml:space="preserve">kader van: (a) hosting en technisch beheer van de RLZ Boekingsmodule en de bijbehorende</w:t>
      </w:r>
      <w:r>
        <w:t xml:space="preserve"> </w:t>
      </w:r>
      <w:r>
        <w:t xml:space="preserve">database en documentopslag; (b) onderhoud, updates en incidentafhandeling.</w:t>
      </w:r>
    </w:p>
    <w:p>
      <w:pPr>
        <w:numPr>
          <w:ilvl w:val="0"/>
          <w:numId w:val="1002"/>
        </w:numPr>
        <w:pStyle w:val="Compact"/>
      </w:pPr>
      <w:r>
        <w:t xml:space="preserve">De verwerking omvat geen zelfstandig gebruik door Verwerker; Verwerker bepaalt doel noch</w:t>
      </w:r>
      <w:r>
        <w:t xml:space="preserve"> </w:t>
      </w:r>
      <w:r>
        <w:t xml:space="preserve">middelen anders dan de technische inrichting binnen de instructies van Verantwoordelijke.</w:t>
      </w:r>
    </w:p>
    <w:p>
      <w:pPr>
        <w:numPr>
          <w:ilvl w:val="0"/>
          <w:numId w:val="1002"/>
        </w:numPr>
        <w:pStyle w:val="Compact"/>
      </w:pPr>
      <w:r>
        <w:t xml:space="preserve">Duur: zolang de terbeschikkingstelling van de programmatuur voortduurt (zie artikel 10).</w:t>
      </w:r>
    </w:p>
    <w:p>
      <w:pPr>
        <w:pStyle w:val="Heading2"/>
      </w:pPr>
      <w:bookmarkStart w:id="22" w:name="Xb12ddea476d438071b0674ccccb76c7f41aa9c8"/>
      <w:r>
        <w:t xml:space="preserve">Artikel 2 — Categorieën betrokkenen en persoonsgegevens (Bijlage A)</w:t>
      </w:r>
      <w:bookmarkEnd w:id="22"/>
    </w:p>
    <w:p>
      <w:pPr>
        <w:pStyle w:val="FirstParagraph"/>
      </w:pPr>
      <w:r>
        <w:t xml:space="preserve">De verwerking betreft de gegevens zoals gespecificeerd in Bijlage A, waaronder gegevens van</w:t>
      </w:r>
      <w:r>
        <w:t xml:space="preserve"> </w:t>
      </w:r>
      <w:r>
        <w:t xml:space="preserve">leveranciers, afnemers/huurders, medewerkers en contactpersonen zoals die voorkomen op</w:t>
      </w:r>
      <w:r>
        <w:t xml:space="preserve"> </w:t>
      </w:r>
      <w:r>
        <w:t xml:space="preserve">boekhouddocumenten (namen, adressen, IBAN’s, factuur- en betaalgegevens) en accountgegevens</w:t>
      </w:r>
      <w:r>
        <w:t xml:space="preserve"> </w:t>
      </w:r>
      <w:r>
        <w:t xml:space="preserve">van gebruikers (kantoormedewerkers en klant-accordeurs). Burgerservicenummers worden door de</w:t>
      </w:r>
      <w:r>
        <w:t xml:space="preserve"> </w:t>
      </w:r>
      <w:r>
        <w:t xml:space="preserve">programmatuur niet geëxtraheerd of geïndexeerd; brondocumenten kunnen BSN’s bevatten en</w:t>
      </w:r>
      <w:r>
        <w:t xml:space="preserve"> </w:t>
      </w:r>
      <w:r>
        <w:t xml:space="preserve">worden uitsluitend als bestand bewaard (wettelijke bewaarplicht).</w:t>
      </w:r>
    </w:p>
    <w:p>
      <w:pPr>
        <w:pStyle w:val="Heading2"/>
      </w:pPr>
      <w:bookmarkStart w:id="23" w:name="artikel-3-instructies"/>
      <w:r>
        <w:t xml:space="preserve">Artikel 3 — Instructies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Verwerker verwerkt uitsluitend op schriftelijke instructie van Verantwoordelijke, behoudens</w:t>
      </w:r>
      <w:r>
        <w:t xml:space="preserve"> </w:t>
      </w:r>
      <w:r>
        <w:t xml:space="preserve">afwijkende wettelijke verplichting; in dat geval informeert Verwerker Verantwoordelijke</w:t>
      </w:r>
      <w:r>
        <w:t xml:space="preserve"> </w:t>
      </w:r>
      <w:r>
        <w:t xml:space="preserve">vooraf, tenzij de wet dat verbiedt.</w:t>
      </w:r>
    </w:p>
    <w:p>
      <w:pPr>
        <w:numPr>
          <w:ilvl w:val="0"/>
          <w:numId w:val="1003"/>
        </w:numPr>
        <w:pStyle w:val="Compact"/>
      </w:pPr>
      <w:r>
        <w:t xml:space="preserve">Verwerker informeert Verantwoordelijke onmiddellijk indien een instructie naar zijn oordeel</w:t>
      </w:r>
      <w:r>
        <w:t xml:space="preserve"> </w:t>
      </w:r>
      <w:r>
        <w:t xml:space="preserve">in strijd is met de AVG.</w:t>
      </w:r>
    </w:p>
    <w:p>
      <w:pPr>
        <w:pStyle w:val="Heading2"/>
      </w:pPr>
      <w:bookmarkStart w:id="24" w:name="artikel-4-vertrouwelijkheid"/>
      <w:r>
        <w:t xml:space="preserve">Artikel 4 — Vertrouwelijkheid</w:t>
      </w:r>
      <w:bookmarkEnd w:id="24"/>
    </w:p>
    <w:p>
      <w:pPr>
        <w:pStyle w:val="FirstParagraph"/>
      </w:pPr>
      <w:r>
        <w:t xml:space="preserve">Verwerker waarborgt dat personen die onder zijn gezag persoonsgegevens verwerken zich tot</w:t>
      </w:r>
      <w:r>
        <w:t xml:space="preserve"> </w:t>
      </w:r>
      <w:r>
        <w:t xml:space="preserve">vertrouwelijkheid hebben verbonden.</w:t>
      </w:r>
    </w:p>
    <w:p>
      <w:pPr>
        <w:pStyle w:val="Heading2"/>
      </w:pPr>
      <w:bookmarkStart w:id="25" w:name="X61b9cf06178984f9aaa196bc23db5eaeb5d5ff6"/>
      <w:r>
        <w:t xml:space="preserve">Artikel 5 — Beveiliging (art. 32 AVG; Bijlage C)</w:t>
      </w:r>
      <w:bookmarkEnd w:id="25"/>
    </w:p>
    <w:p>
      <w:pPr>
        <w:pStyle w:val="FirstParagraph"/>
      </w:pPr>
      <w:r>
        <w:t xml:space="preserve">Verwerker treft passende technische en organisatorische maatregelen, waaronder ten minste de</w:t>
      </w:r>
      <w:r>
        <w:t xml:space="preserve"> </w:t>
      </w:r>
      <w:r>
        <w:t xml:space="preserve">maatregelen in Bijlage C (o.a. toegangsbeperking per administratie met row-level security,</w:t>
      </w:r>
      <w:r>
        <w:t xml:space="preserve"> </w:t>
      </w:r>
      <w:r>
        <w:t xml:space="preserve">tweefactorauthenticatie/passkeys, versleutelde opslag van credentials, append-only audit-log,</w:t>
      </w:r>
      <w:r>
        <w:t xml:space="preserve"> </w:t>
      </w:r>
      <w:r>
        <w:t xml:space="preserve">dataregio</w:t>
      </w:r>
      <w:r>
        <w:t xml:space="preserve"> </w:t>
      </w:r>
      <w:r>
        <w:rPr>
          <w:rStyle w:val="VerbatimChar"/>
        </w:rPr>
        <w:t xml:space="preserve">europe-west4</w:t>
      </w:r>
      <w:r>
        <w:t xml:space="preserve">, back-ups met point-in-time recovery).</w:t>
      </w:r>
    </w:p>
    <w:p>
      <w:pPr>
        <w:pStyle w:val="Heading2"/>
      </w:pPr>
      <w:bookmarkStart w:id="26" w:name="artikel-6-subverwerkers-bijlage-b"/>
      <w:r>
        <w:t xml:space="preserve">Artikel 6 — Subverwerkers (Bijlage B)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Verantwoordelijke verleent algemene toestemming voor de subverwerkers in Bijlage B.</w:t>
      </w:r>
    </w:p>
    <w:p>
      <w:pPr>
        <w:numPr>
          <w:ilvl w:val="0"/>
          <w:numId w:val="1004"/>
        </w:numPr>
        <w:pStyle w:val="Compact"/>
      </w:pPr>
      <w:r>
        <w:t xml:space="preserve">Verwerker informeert Verantwoordelijke vooraf over beoogde wijzigingen; Verantwoordelijke</w:t>
      </w:r>
      <w:r>
        <w:t xml:space="preserve"> </w:t>
      </w:r>
      <w:r>
        <w:t xml:space="preserve">kan binnen 14 dagen gemotiveerd bezwaar maken.</w:t>
      </w:r>
    </w:p>
    <w:p>
      <w:pPr>
        <w:numPr>
          <w:ilvl w:val="0"/>
          <w:numId w:val="1004"/>
        </w:numPr>
        <w:pStyle w:val="Compact"/>
      </w:pPr>
      <w:r>
        <w:t xml:space="preserve">Verwerker legt aan subverwerkers dezelfde verplichtingen op als in deze overeenkomst en</w:t>
      </w:r>
      <w:r>
        <w:t xml:space="preserve"> </w:t>
      </w:r>
      <w:r>
        <w:t xml:space="preserve">blijft jegens Verantwoordelijke aansprakelijk voor hun nakoming.</w:t>
      </w:r>
    </w:p>
    <w:p>
      <w:pPr>
        <w:pStyle w:val="Heading2"/>
      </w:pPr>
      <w:bookmarkStart w:id="27" w:name="artikel-7-doorgifte-buiten-de-eer"/>
      <w:r>
        <w:t xml:space="preserve">Artikel 7 — Doorgifte buiten de EER</w:t>
      </w:r>
      <w:bookmarkEnd w:id="27"/>
    </w:p>
    <w:p>
      <w:pPr>
        <w:pStyle w:val="FirstParagraph"/>
      </w:pPr>
      <w:r>
        <w:t xml:space="preserve">Doorgifte vindt uitsluitend plaats met een passend doorgiftemechanisme (adequaatheidsbesluit,</w:t>
      </w:r>
      <w:r>
        <w:t xml:space="preserve"> </w:t>
      </w:r>
      <w:r>
        <w:t xml:space="preserve">EU Standard Contractual Clauses of EU-U.S. Data Privacy Framework). Voor Google Cloud loopt</w:t>
      </w:r>
      <w:r>
        <w:t xml:space="preserve"> </w:t>
      </w:r>
      <w:r>
        <w:t xml:space="preserve">dit via het Cloud Data Processing Addendum; dataopslag is geconfigureerd in</w:t>
      </w:r>
      <w:r>
        <w:t xml:space="preserve"> </w:t>
      </w:r>
      <w:r>
        <w:rPr>
          <w:rStyle w:val="VerbatimChar"/>
        </w:rPr>
        <w:t xml:space="preserve">europe-west4</w:t>
      </w:r>
      <w:r>
        <w:t xml:space="preserve">.</w:t>
      </w:r>
    </w:p>
    <w:p>
      <w:pPr>
        <w:pStyle w:val="Heading2"/>
      </w:pPr>
      <w:bookmarkStart w:id="28" w:name="artikel-8-bijstand-aan-verantwoordelijke"/>
      <w:r>
        <w:t xml:space="preserve">Artikel 8 — Bijstand aan Verantwoordelijke</w:t>
      </w:r>
      <w:bookmarkEnd w:id="28"/>
    </w:p>
    <w:p>
      <w:pPr>
        <w:pStyle w:val="FirstParagraph"/>
      </w:pPr>
      <w:r>
        <w:t xml:space="preserve">Verwerker verleent redelijke bijstand bij: verzoeken van betrokkenen (art. 15–22), de</w:t>
      </w:r>
      <w:r>
        <w:t xml:space="preserve"> </w:t>
      </w:r>
      <w:r>
        <w:t xml:space="preserve">beveiligingsplicht, meldplicht datalekken, DPIA’s en voorafgaande raadpleging, rekening</w:t>
      </w:r>
      <w:r>
        <w:t xml:space="preserve"> </w:t>
      </w:r>
      <w:r>
        <w:t xml:space="preserve">houdend met de aard van de verwerking en de beschikbare informatie.</w:t>
      </w:r>
    </w:p>
    <w:p>
      <w:pPr>
        <w:pStyle w:val="Heading2"/>
      </w:pPr>
      <w:bookmarkStart w:id="29" w:name="artikel-9-inbreuken-datalekken"/>
      <w:r>
        <w:t xml:space="preserve">Artikel 9 — Inbreuken (datalekken)</w:t>
      </w:r>
      <w:bookmarkEnd w:id="29"/>
    </w:p>
    <w:p>
      <w:pPr>
        <w:pStyle w:val="FirstParagraph"/>
      </w:pPr>
      <w:r>
        <w:t xml:space="preserve">Verwerker informeert Verantwoordelijke</w:t>
      </w:r>
      <w:r>
        <w:t xml:space="preserve"> </w:t>
      </w:r>
      <w:r>
        <w:rPr>
          <w:b/>
        </w:rPr>
        <w:t xml:space="preserve">zonder onredelijke vertraging en uiterlijk binnen</w:t>
      </w:r>
      <w:r>
        <w:rPr>
          <w:b/>
        </w:rPr>
        <w:t xml:space="preserve"> </w:t>
      </w:r>
      <w:r>
        <w:rPr>
          <w:b/>
        </w:rPr>
        <w:t xml:space="preserve">24 uur</w:t>
      </w:r>
      <w:r>
        <w:t xml:space="preserve"> </w:t>
      </w:r>
      <w:r>
        <w:t xml:space="preserve">na ontdekking van een inbreuk in verband met persoonsgegevens, met ten minste de</w:t>
      </w:r>
      <w:r>
        <w:t xml:space="preserve"> </w:t>
      </w:r>
      <w:r>
        <w:t xml:space="preserve">informatie die Verantwoordelijke nodig heeft voor de eigen meldplicht (aard, betrokken</w:t>
      </w:r>
      <w:r>
        <w:t xml:space="preserve"> </w:t>
      </w:r>
      <w:r>
        <w:t xml:space="preserve">gegevens/administraties, waarschijnlijke gevolgen, genomen maatregelen). Afhandeling volgens</w:t>
      </w:r>
      <w:r>
        <w:t xml:space="preserve"> </w:t>
      </w:r>
      <w:r>
        <w:t xml:space="preserve">de datalek-procedure van Verantwoordelijke (document 6).</w:t>
      </w:r>
    </w:p>
    <w:p>
      <w:pPr>
        <w:pStyle w:val="Heading2"/>
      </w:pPr>
      <w:bookmarkStart w:id="30" w:name="artikel-10-einde-van-de-overeenkomst"/>
      <w:r>
        <w:t xml:space="preserve">Artikel 10 — Einde van de overeenkomst</w:t>
      </w:r>
      <w:bookmarkEnd w:id="30"/>
    </w:p>
    <w:p>
      <w:pPr>
        <w:pStyle w:val="FirstParagraph"/>
      </w:pPr>
      <w:r>
        <w:t xml:space="preserve">Bij beëindiging van de dienstverlening retourneert of verwijdert Verwerker alle</w:t>
      </w:r>
      <w:r>
        <w:t xml:space="preserve"> </w:t>
      </w:r>
      <w:r>
        <w:t xml:space="preserve">persoonsgegevens naar keuze van Verantwoordelijke, behoudens wettelijke bewaarplichten;</w:t>
      </w:r>
      <w:r>
        <w:t xml:space="preserve"> </w:t>
      </w:r>
      <w:r>
        <w:t xml:space="preserve">verwijdering geschiedt conform het pseudonimiserings-/bewaarbeleid van Verantwoordelijke</w:t>
      </w:r>
      <w:r>
        <w:t xml:space="preserve"> </w:t>
      </w:r>
      <w:r>
        <w:t xml:space="preserve">(7 jaar administratieplicht).</w:t>
      </w:r>
    </w:p>
    <w:p>
      <w:pPr>
        <w:pStyle w:val="Heading2"/>
      </w:pPr>
      <w:bookmarkStart w:id="31" w:name="artikel-11-audit"/>
      <w:r>
        <w:t xml:space="preserve">Artikel 11 — Audit</w:t>
      </w:r>
      <w:bookmarkEnd w:id="31"/>
    </w:p>
    <w:p>
      <w:pPr>
        <w:pStyle w:val="FirstParagraph"/>
      </w:pPr>
      <w:r>
        <w:t xml:space="preserve">Verwerker stelt alle informatie ter beschikking die nodig is om nakoming aan te tonen en</w:t>
      </w:r>
      <w:r>
        <w:t xml:space="preserve"> </w:t>
      </w:r>
      <w:r>
        <w:t xml:space="preserve">staat audits toe door of namens Verantwoordelijke, maximaal eenmaal per jaar behoudens</w:t>
      </w:r>
      <w:r>
        <w:t xml:space="preserve"> </w:t>
      </w:r>
      <w:r>
        <w:t xml:space="preserve">incidenten, tegen redelijke kosten en met redelijke aankondiging. Voor subverwerkers volstaan</w:t>
      </w:r>
      <w:r>
        <w:t xml:space="preserve"> </w:t>
      </w:r>
      <w:r>
        <w:t xml:space="preserve">hun certificeringen/auditrapporten (ISO 27001, SOC 2) waar beschikbaar.</w:t>
      </w:r>
    </w:p>
    <w:p>
      <w:pPr>
        <w:pStyle w:val="Heading2"/>
      </w:pPr>
      <w:bookmarkStart w:id="32" w:name="artikel-12-aansprakelijkheid-en-rangorde"/>
      <w:r>
        <w:t xml:space="preserve">Artikel 12 — Aansprakelijkheid en rangorde</w:t>
      </w:r>
      <w:bookmarkEnd w:id="32"/>
    </w:p>
    <w:p>
      <w:pPr>
        <w:numPr>
          <w:ilvl w:val="0"/>
          <w:numId w:val="1005"/>
        </w:numPr>
        <w:pStyle w:val="Compact"/>
      </w:pPr>
      <w:r>
        <w:t xml:space="preserve">Aansprakelijkheid volgt de hoofdovereenkomst tussen partijen; bij ontbreken daarvan geldt</w:t>
      </w:r>
      <w:r>
        <w:t xml:space="preserve"> </w:t>
      </w:r>
      <w:r>
        <w:t xml:space="preserve">de wettelijke regeling van art. 82 AVG.</w:t>
      </w:r>
    </w:p>
    <w:p>
      <w:pPr>
        <w:numPr>
          <w:ilvl w:val="0"/>
          <w:numId w:val="1005"/>
        </w:numPr>
        <w:pStyle w:val="Compact"/>
      </w:pPr>
      <w:r>
        <w:t xml:space="preserve">Bij strijd tussen deze overeenkomst en andere afspraken prevaleert deze overeenkomst voor</w:t>
      </w:r>
      <w:r>
        <w:t xml:space="preserve"> </w:t>
      </w:r>
      <w:r>
        <w:t xml:space="preserve">zover het de verwerking van persoonsgegevens betreft.</w:t>
      </w:r>
    </w:p>
    <w:p>
      <w:pPr>
        <w:pStyle w:val="FirstParagraph"/>
      </w:pPr>
      <w:r>
        <w:rPr>
          <w:b/>
        </w:rPr>
        <w:t xml:space="preserve">Bijlage A — Verwerkingen en gegevens</w:t>
      </w:r>
      <w:r>
        <w:t xml:space="preserve">: de verwerkingen zoals beschreven in het</w:t>
      </w:r>
      <w:r>
        <w:t xml:space="preserve"> </w:t>
      </w:r>
      <w:r>
        <w:t xml:space="preserve">verwerkingsregister van Verantwoordelijke (document 1), beperkt tot hosting/opslag/verwerking</w:t>
      </w:r>
      <w:r>
        <w:t xml:space="preserve"> </w:t>
      </w:r>
      <w:r>
        <w:t xml:space="preserve">binnen de RLZ Boekingsmodule.</w:t>
      </w:r>
    </w:p>
    <w:p>
      <w:pPr>
        <w:pStyle w:val="BodyText"/>
      </w:pPr>
      <w:r>
        <w:rPr>
          <w:b/>
        </w:rPr>
        <w:t xml:space="preserve">Bijlage B — Subverwerkers van PDL</w:t>
      </w:r>
      <w:r>
        <w:t xml:space="preserve">: Google Cloud EMEA Ltd. (hosting, database,</w:t>
      </w:r>
      <w:r>
        <w:t xml:space="preserve"> </w:t>
      </w:r>
      <w:r>
        <w:t xml:space="preserve">documentopslag; regio</w:t>
      </w:r>
      <w:r>
        <w:t xml:space="preserve"> </w:t>
      </w:r>
      <w:r>
        <w:rPr>
          <w:rStyle w:val="VerbatimChar"/>
        </w:rPr>
        <w:t xml:space="preserve">europe-west4</w:t>
      </w:r>
      <w:r>
        <w:t xml:space="preserve">; CDPA incl. SCC’s/DPF).</w:t>
      </w:r>
      <w:r>
        <w:t xml:space="preserve"> </w:t>
      </w:r>
      <w:r>
        <w:rPr>
          <w:i/>
        </w:rPr>
        <w:t xml:space="preserve">(Invulpunt: staan het</w:t>
      </w:r>
      <w:r>
        <w:rPr>
          <w:i/>
        </w:rPr>
        <w:t xml:space="preserve"> </w:t>
      </w:r>
      <w:r>
        <w:rPr>
          <w:i/>
        </w:rPr>
        <w:t xml:space="preserve">Anthropic-API-account en/of het Exact Reeleezee-abonnement op naam van PDL in plaats van het</w:t>
      </w:r>
      <w:r>
        <w:rPr>
          <w:i/>
        </w:rPr>
        <w:t xml:space="preserve"> </w:t>
      </w:r>
      <w:r>
        <w:rPr>
          <w:i/>
        </w:rPr>
        <w:t xml:space="preserve">kantoor, dan hier toevoegen en documenten 1–2 overeenkomstig aanpassen.)</w:t>
      </w:r>
    </w:p>
    <w:p>
      <w:pPr>
        <w:pStyle w:val="BodyText"/>
      </w:pPr>
      <w:r>
        <w:rPr>
          <w:b/>
        </w:rPr>
        <w:t xml:space="preserve">Bijlage C — Beveiligingsmaatregelen</w:t>
      </w:r>
      <w:r>
        <w:t xml:space="preserve">: de maatregelen zoals beschreven in</w:t>
      </w:r>
      <w:r>
        <w:t xml:space="preserve"> </w:t>
      </w:r>
      <w:r>
        <w:t xml:space="preserve">verwerkingsregister §8 (document 1), die hier als herhaald en ingelast gelden.</w:t>
      </w:r>
    </w:p>
    <w:p>
      <w:pPr>
        <w:pStyle w:val="BodyText"/>
      </w:pPr>
      <w:r>
        <w:rPr>
          <w:i/>
        </w:rPr>
        <w:t xml:space="preserve">Aldus overeengekomen en ondertekend in tweevoud: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Administratiekantoor Nijenhuis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PDL Powerhouse B.V.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Naam:</w:t>
            </w:r>
          </w:p>
        </w:tc>
        <w:tc>
          <w:p>
            <w:pPr>
              <w:pStyle w:val="Compact"/>
              <w:jc w:val="left"/>
            </w:pPr>
            <w:r>
              <w:t xml:space="preserve">Naam: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Functie:</w:t>
            </w:r>
          </w:p>
        </w:tc>
        <w:tc>
          <w:p>
            <w:pPr>
              <w:pStyle w:val="Compact"/>
              <w:jc w:val="left"/>
            </w:pPr>
            <w:r>
              <w:t xml:space="preserve">Functie: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Datum:</w:t>
            </w:r>
          </w:p>
        </w:tc>
        <w:tc>
          <w:p>
            <w:pPr>
              <w:pStyle w:val="Compact"/>
              <w:jc w:val="left"/>
            </w:pPr>
            <w:r>
              <w:t xml:space="preserve">Datum: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Handtekening:</w:t>
            </w:r>
          </w:p>
        </w:tc>
        <w:tc>
          <w:p>
            <w:pPr>
              <w:pStyle w:val="Compact"/>
              <w:jc w:val="left"/>
            </w:pPr>
            <w:r>
              <w:t xml:space="preserve">Handtekening: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Verwerkersovereenkomst (intra-groep) — concept ter toetsing</dc:title>
  <dc:creator/>
  <cp:keywords/>
  <dcterms:created xsi:type="dcterms:W3CDTF">2026-08-12T07:51:54Z</dcterms:created>
  <dcterms:modified xsi:type="dcterms:W3CDTF">2026-08-12T07:51:54Z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