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Times New Roman" w:hAnsi="Times New Roman" w:cs="Times New Roman"/>
          <w:sz w:val="42"/>
          <w:sz-cs w:val="42"/>
          <w:b/>
          <w:spacing w:val="0"/>
        </w:rPr>
        <w:t xml:space="preserve">Verwerkersovereenkomst (intra-groep) — Administratiekantoor Nijenhuis ↔ PDL Powerhouse B.V.</w:t>
      </w:r>
    </w:p>
    <w:p>
      <w:pPr>
        <w:spacing w:after="293"/>
      </w:pPr>
      <w:r>
        <w:rPr>
          <w:rFonts w:ascii="Times New Roman" w:hAnsi="Times New Roman" w:cs="Times New Roman"/>
          <w:sz w:val="29"/>
          <w:sz-cs w:val="29"/>
          <w:spacing w:val="0"/>
        </w:rPr>
        <w:t xml:space="preserve">✅ </w:t>
      </w:r>
      <w:r>
        <w:rPr>
          <w:rFonts w:ascii="Times New Roman" w:hAnsi="Times New Roman" w:cs="Times New Roman"/>
          <w:sz w:val="29"/>
          <w:sz-cs w:val="29"/>
          <w:b/>
          <w:spacing w:val="0"/>
        </w:rPr>
        <w:t xml:space="preserve">Ondertekenklaar — versie 2026-08-18</w:t>
      </w:r>
      <w:r>
        <w:rPr>
          <w:rFonts w:ascii="Times New Roman" w:hAnsi="Times New Roman" w:cs="Times New Roman"/>
          <w:sz w:val="29"/>
          <w:sz-cs w:val="29"/>
          <w:spacing w:val="0"/>
        </w:rPr>
        <w:t xml:space="preserve"> (jurist-akkoord op het concept 2026-08-12, vraag 9 van het toetsingsmemo). Het door de jurist meegetoetste invulpunt is in deze versie ingevuld conform de </w:t>
      </w:r>
      <w:r>
        <w:rPr>
          <w:rFonts w:ascii="Times New Roman" w:hAnsi="Times New Roman" w:cs="Times New Roman"/>
          <w:sz w:val="29"/>
          <w:sz-cs w:val="29"/>
          <w:b/>
          <w:spacing w:val="0"/>
        </w:rPr>
        <w:t xml:space="preserve">feitelijke accountstructuur</w:t>
      </w:r>
      <w:r>
        <w:rPr>
          <w:rFonts w:ascii="Times New Roman" w:hAnsi="Times New Roman" w:cs="Times New Roman"/>
          <w:sz w:val="29"/>
          <w:sz-cs w:val="29"/>
          <w:spacing w:val="0"/>
        </w:rPr>
        <w:t xml:space="preserve">: het Anthropic-API-account (organisatie), het Google Cloud-project, de Google Workspace-omgeving én de Apple Developer- en Google Play-accounts staan op naam van </w:t>
      </w:r>
      <w:r>
        <w:rPr>
          <w:rFonts w:ascii="Times New Roman" w:hAnsi="Times New Roman" w:cs="Times New Roman"/>
          <w:sz w:val="29"/>
          <w:sz-cs w:val="29"/>
          <w:b/>
          <w:spacing w:val="0"/>
        </w:rPr>
        <w:t xml:space="preserve">PDL Powerhouse B.V.</w:t>
      </w:r>
      <w:r>
        <w:rPr>
          <w:rFonts w:ascii="Times New Roman" w:hAnsi="Times New Roman" w:cs="Times New Roman"/>
          <w:sz w:val="29"/>
          <w:sz-cs w:val="29"/>
          <w:spacing w:val="0"/>
        </w:rPr>
        <w:t xml:space="preserve"> — die partijen staan daarom in Bijlage B als subverwerkers ván PDL. Alleen </w:t>
      </w:r>
      <w:r>
        <w:rPr>
          <w:rFonts w:ascii="Times New Roman" w:hAnsi="Times New Roman" w:cs="Times New Roman"/>
          <w:sz w:val="29"/>
          <w:sz-cs w:val="29"/>
          <w:b/>
          <w:spacing w:val="0"/>
        </w:rPr>
        <w:t xml:space="preserve">Exact Reeleezee</w:t>
      </w:r>
      <w:r>
        <w:rPr>
          <w:rFonts w:ascii="Times New Roman" w:hAnsi="Times New Roman" w:cs="Times New Roman"/>
          <w:sz w:val="29"/>
          <w:sz-cs w:val="29"/>
          <w:spacing w:val="0"/>
        </w:rPr>
        <w:t xml:space="preserve"> contracteert het kantoor rechtstreeks (bestaande relatie, webservice-logins per administratie) en blijft dus búíten deze overeenkomst (verwerker van Verantwoordelijke, documenten 1–2). ⚠️ Open actie conform de jurist-notitie: documenten 1–2 (verwerkingsregister + verwerkers-checklist) aanpassen op de verhuizing van Anthropic en Google Workspace naar de PDL-keten.</w:t>
      </w:r>
      <w:r>
        <w:rPr>
          <w:rFonts w:ascii="Times New Roman" w:hAnsi="Times New Roman" w:cs="Times New Roman"/>
          <w:sz w:val="29"/>
          <w:sz-cs w:val="29"/>
          <w:spacing w:val="0"/>
        </w:rPr>
        <w:t xml:space="preserve"/>
      </w:r>
    </w:p>
    <w:p>
      <w:pPr>
        <w:spacing w:after="293"/>
      </w:pPr>
      <w:r>
        <w:rPr>
          <w:rFonts w:ascii="Times New Roman" w:hAnsi="Times New Roman" w:cs="Times New Roman"/>
          <w:sz w:val="29"/>
          <w:sz-cs w:val="29"/>
          <w:b/>
          <w:spacing w:val="0"/>
        </w:rPr>
        <w:t xml:space="preserve">Partijen</w:t>
      </w:r>
      <w:r>
        <w:rPr>
          <w:rFonts w:ascii="Times New Roman" w:hAnsi="Times New Roman" w:cs="Times New Roman"/>
          <w:sz w:val="29"/>
          <w:sz-cs w:val="29"/>
          <w:spacing w:val="0"/>
        </w:rPr>
        <w:t xml:space="preserve"/>
      </w:r>
    </w:p>
    <w:p>
      <w:pPr>
        <w:ind w:left="720" w:first-line="-720"/>
      </w:pPr>
      <w:r>
        <w:rPr>
          <w:rFonts w:ascii="Times New Roman" w:hAnsi="Times New Roman" w:cs="Times New Roman"/>
          <w:sz w:val="29"/>
          <w:sz-cs w:val="29"/>
          <w:b/>
        </w:rPr>
        <w:t xml:space="preserve"/>
        <w:tab/>
        <w:t xml:space="preserve">1</w:t>
        <w:tab/>
        <w:t xml:space="preserve"/>
      </w:r>
      <w:r>
        <w:rPr>
          <w:rFonts w:ascii="Times New Roman" w:hAnsi="Times New Roman" w:cs="Times New Roman"/>
          <w:sz w:val="29"/>
          <w:sz-cs w:val="29"/>
          <w:b/>
          <w:spacing w:val="0"/>
        </w:rPr>
        <w:t xml:space="preserve">Administratiekantoor Nijenhuis C.V.</w:t>
      </w:r>
      <w:r>
        <w:rPr>
          <w:rFonts w:ascii="Times New Roman" w:hAnsi="Times New Roman" w:cs="Times New Roman"/>
          <w:sz w:val="29"/>
          <w:sz-cs w:val="29"/>
          <w:spacing w:val="0"/>
        </w:rPr>
        <w:t xml:space="preserve">, gevestigd te Arnhem (Turfstraat 1, 6811 HL), KvK [INVULLEN: KvK-nummer kantoor], hierna: </w:t>
      </w:r>
      <w:r>
        <w:rPr>
          <w:rFonts w:ascii="Times New Roman" w:hAnsi="Times New Roman" w:cs="Times New Roman"/>
          <w:sz w:val="29"/>
          <w:sz-cs w:val="29"/>
          <w:i/>
          <w:spacing w:val="0"/>
        </w:rPr>
        <w:t xml:space="preserve">Verantwoordelijke</w:t>
      </w:r>
      <w:r>
        <w:rPr>
          <w:rFonts w:ascii="Times New Roman" w:hAnsi="Times New Roman" w:cs="Times New Roman"/>
          <w:sz w:val="29"/>
          <w:sz-cs w:val="29"/>
          <w:spacing w:val="0"/>
        </w:rPr>
        <w:t xml:space="preserve">;</w:t>
      </w:r>
    </w:p>
    <w:p>
      <w:pPr>
        <w:ind w:left="720" w:first-line="-720"/>
      </w:pPr>
      <w:r>
        <w:rPr>
          <w:rFonts w:ascii="Times New Roman" w:hAnsi="Times New Roman" w:cs="Times New Roman"/>
          <w:sz w:val="29"/>
          <w:sz-cs w:val="29"/>
          <w:b/>
        </w:rPr>
        <w:t xml:space="preserve"/>
        <w:tab/>
        <w:t xml:space="preserve">2</w:t>
        <w:tab/>
        <w:t xml:space="preserve"/>
      </w:r>
      <w:r>
        <w:rPr>
          <w:rFonts w:ascii="Times New Roman" w:hAnsi="Times New Roman" w:cs="Times New Roman"/>
          <w:sz w:val="29"/>
          <w:sz-cs w:val="29"/>
          <w:b/>
          <w:spacing w:val="0"/>
        </w:rPr>
        <w:t xml:space="preserve">PDL Powerhouse B.V.</w:t>
      </w:r>
      <w:r>
        <w:rPr>
          <w:rFonts w:ascii="Times New Roman" w:hAnsi="Times New Roman" w:cs="Times New Roman"/>
          <w:sz w:val="29"/>
          <w:sz-cs w:val="29"/>
          <w:spacing w:val="0"/>
        </w:rPr>
        <w:t xml:space="preserve">, gevestigd te Arnhem (Turfstraat 1-3, 6811 HL), KvK 42063059, hierna: </w:t>
      </w:r>
      <w:r>
        <w:rPr>
          <w:rFonts w:ascii="Times New Roman" w:hAnsi="Times New Roman" w:cs="Times New Roman"/>
          <w:sz w:val="29"/>
          <w:sz-cs w:val="29"/>
          <w:i/>
          <w:spacing w:val="0"/>
        </w:rPr>
        <w:t xml:space="preserve">Verwerker</w:t>
      </w:r>
      <w:r>
        <w:rPr>
          <w:rFonts w:ascii="Times New Roman" w:hAnsi="Times New Roman" w:cs="Times New Roman"/>
          <w:sz w:val="29"/>
          <w:sz-cs w:val="29"/>
          <w:spacing w:val="0"/>
        </w:rPr>
        <w:t xml:space="preserve">.</w:t>
      </w:r>
    </w:p>
    <w:p>
      <w:pPr>
        <w:spacing w:after="293"/>
      </w:pPr>
      <w:r>
        <w:rPr>
          <w:rFonts w:ascii="Times New Roman" w:hAnsi="Times New Roman" w:cs="Times New Roman"/>
          <w:sz w:val="29"/>
          <w:sz-cs w:val="29"/>
          <w:spacing w:val="0"/>
        </w:rPr>
        <w:t xml:space="preserve">Overwegende dat Verwerker eigenaar en beheerder is van de programmatuur “RLZ Boekingsmodule” en de bijbehorende cloudinfrastructuur (Google Cloud, regio </w:t>
      </w:r>
      <w:r>
        <w:rPr>
          <w:rFonts w:ascii="Courier" w:hAnsi="Courier" w:cs="Courier"/>
          <w:sz w:val="29"/>
          <w:sz-cs w:val="29"/>
          <w:spacing w:val="0"/>
        </w:rPr>
        <w:t xml:space="preserve">europe-west4</w:t>
      </w:r>
      <w:r>
        <w:rPr>
          <w:rFonts w:ascii="Times New Roman" w:hAnsi="Times New Roman" w:cs="Times New Roman"/>
          <w:sz w:val="29"/>
          <w:sz-cs w:val="29"/>
          <w:spacing w:val="0"/>
        </w:rPr>
        <w:t xml:space="preserve">), en deze aan Verantwoordelijke ter beschikking stelt voor het voeren van klantadministraties, komen partijen het volgende overeen.</w:t>
      </w:r>
    </w:p>
    <w:p>
      <w:pPr>
        <w:spacing w:after="287"/>
      </w:pPr>
      <w:r>
        <w:rPr>
          <w:rFonts w:ascii="Times New Roman" w:hAnsi="Times New Roman" w:cs="Times New Roman"/>
          <w:sz w:val="34"/>
          <w:sz-cs w:val="34"/>
          <w:b/>
          <w:spacing w:val="0"/>
        </w:rPr>
        <w:t xml:space="preserve">Artikel 1 — Onderwerp, aard en doel</w:t>
      </w:r>
    </w:p>
    <w:p>
      <w:pPr>
        <w:ind w:left="720" w:first-line="-720"/>
      </w:pPr>
      <w:r>
        <w:rPr>
          <w:rFonts w:ascii="Times New Roman" w:hAnsi="Times New Roman" w:cs="Times New Roman"/>
          <w:sz w:val="29"/>
          <w:sz-cs w:val="29"/>
        </w:rPr>
        <w:t xml:space="preserve"/>
        <w:tab/>
        <w:t xml:space="preserve">1</w:t>
        <w:tab/>
        <w:t xml:space="preserve"/>
      </w:r>
      <w:r>
        <w:rPr>
          <w:rFonts w:ascii="Times New Roman" w:hAnsi="Times New Roman" w:cs="Times New Roman"/>
          <w:sz w:val="29"/>
          <w:sz-cs w:val="29"/>
          <w:spacing w:val="0"/>
        </w:rPr>
        <w:t xml:space="preserve">Verwerker verwerkt persoonsgegevens uitsluitend ten behoeve van Verantwoordelijke in het kader van: (a) hosting en technisch beheer van de RLZ Boekingsmodule en de bijbehorende database en documentopslag; (b) onderhoud, updates en incidentafhandeling; (c) de AI-extractie van documentgegevens via het Anthropic-API-account van Verwerker; (d) de e-mail- en notificatievoorzieningen van de programmatuur (intake-postvak, uitgaande systeemmail, pushmeldingen) en de distributie van de bijbehorende mobiele accordeur-applicatie via de store-accounts van Verwerker.</w:t>
      </w:r>
    </w:p>
    <w:p>
      <w:pPr>
        <w:ind w:left="720" w:first-line="-720"/>
      </w:pPr>
      <w:r>
        <w:rPr>
          <w:rFonts w:ascii="Times New Roman" w:hAnsi="Times New Roman" w:cs="Times New Roman"/>
          <w:sz w:val="29"/>
          <w:sz-cs w:val="29"/>
        </w:rPr>
        <w:t xml:space="preserve"/>
        <w:tab/>
        <w:t xml:space="preserve">2</w:t>
        <w:tab/>
        <w:t xml:space="preserve"/>
      </w:r>
      <w:r>
        <w:rPr>
          <w:rFonts w:ascii="Times New Roman" w:hAnsi="Times New Roman" w:cs="Times New Roman"/>
          <w:sz w:val="29"/>
          <w:sz-cs w:val="29"/>
          <w:spacing w:val="0"/>
        </w:rPr>
        <w:t xml:space="preserve">De verwerking omvat geen zelfstandig gebruik door Verwerker; Verwerker bepaalt doel noch middelen anders dan de technische inrichting binnen de instructies van Verantwoordelijke.</w:t>
      </w:r>
    </w:p>
    <w:p>
      <w:pPr>
        <w:ind w:left="720" w:first-line="-720"/>
      </w:pPr>
      <w:r>
        <w:rPr>
          <w:rFonts w:ascii="Times New Roman" w:hAnsi="Times New Roman" w:cs="Times New Roman"/>
          <w:sz w:val="29"/>
          <w:sz-cs w:val="29"/>
        </w:rPr>
        <w:t xml:space="preserve"/>
        <w:tab/>
        <w:t xml:space="preserve">3</w:t>
        <w:tab/>
        <w:t xml:space="preserve"/>
      </w:r>
      <w:r>
        <w:rPr>
          <w:rFonts w:ascii="Times New Roman" w:hAnsi="Times New Roman" w:cs="Times New Roman"/>
          <w:sz w:val="29"/>
          <w:sz-cs w:val="29"/>
          <w:spacing w:val="0"/>
        </w:rPr>
        <w:t xml:space="preserve">Duur: zolang de terbeschikkingstelling van de programmatuur voortduurt (zie artikel 10).</w:t>
      </w:r>
    </w:p>
    <w:p>
      <w:pPr>
        <w:spacing w:after="287"/>
      </w:pPr>
      <w:r>
        <w:rPr>
          <w:rFonts w:ascii="Times New Roman" w:hAnsi="Times New Roman" w:cs="Times New Roman"/>
          <w:sz w:val="34"/>
          <w:sz-cs w:val="34"/>
          <w:b/>
          <w:spacing w:val="0"/>
        </w:rPr>
        <w:t xml:space="preserve">Artikel 2 — Categorieën betrokkenen en persoonsgegevens (Bijlage A)</w:t>
      </w:r>
    </w:p>
    <w:p>
      <w:pPr>
        <w:spacing w:after="293"/>
      </w:pPr>
      <w:r>
        <w:rPr>
          <w:rFonts w:ascii="Times New Roman" w:hAnsi="Times New Roman" w:cs="Times New Roman"/>
          <w:sz w:val="29"/>
          <w:sz-cs w:val="29"/>
          <w:spacing w:val="0"/>
        </w:rPr>
        <w:t xml:space="preserve">De verwerking betreft de gegevens zoals gespecificeerd in Bijlage A, waaronder gegevens van leveranciers, afnemers/huurders, medewerkers en contactpersonen zoals die voorkomen op boekhouddocumenten (namen, adressen, IBAN’s, factuur- en betaalgegevens) en accountgegevens van gebruikers (kantoormedewerkers en klant-accordeurs). Burgerservicenummers worden door de programmatuur niet geëxtraheerd of geïndexeerd; brondocumenten kunnen BSN’s bevatten en worden uitsluitend als bestand bewaard (wettelijke bewaarplicht).</w:t>
      </w:r>
    </w:p>
    <w:p>
      <w:pPr>
        <w:spacing w:after="287"/>
      </w:pPr>
      <w:r>
        <w:rPr>
          <w:rFonts w:ascii="Times New Roman" w:hAnsi="Times New Roman" w:cs="Times New Roman"/>
          <w:sz w:val="34"/>
          <w:sz-cs w:val="34"/>
          <w:b/>
          <w:spacing w:val="0"/>
        </w:rPr>
        <w:t xml:space="preserve">Artikel 3 — Instructies</w:t>
      </w:r>
    </w:p>
    <w:p>
      <w:pPr>
        <w:ind w:left="720" w:first-line="-720"/>
      </w:pPr>
      <w:r>
        <w:rPr>
          <w:rFonts w:ascii="Times New Roman" w:hAnsi="Times New Roman" w:cs="Times New Roman"/>
          <w:sz w:val="29"/>
          <w:sz-cs w:val="29"/>
        </w:rPr>
        <w:t xml:space="preserve"/>
        <w:tab/>
        <w:t xml:space="preserve">1</w:t>
        <w:tab/>
        <w:t xml:space="preserve"/>
      </w:r>
      <w:r>
        <w:rPr>
          <w:rFonts w:ascii="Times New Roman" w:hAnsi="Times New Roman" w:cs="Times New Roman"/>
          <w:sz w:val="29"/>
          <w:sz-cs w:val="29"/>
          <w:spacing w:val="0"/>
        </w:rPr>
        <w:t xml:space="preserve">Verwerker verwerkt uitsluitend op schriftelijke instructie van Verantwoordelijke, behoudens afwijkende wettelijke verplichting; in dat geval informeert Verwerker Verantwoordelijke vooraf, tenzij de wet dat verbiedt.</w:t>
      </w:r>
    </w:p>
    <w:p>
      <w:pPr>
        <w:ind w:left="720" w:first-line="-720"/>
      </w:pPr>
      <w:r>
        <w:rPr>
          <w:rFonts w:ascii="Times New Roman" w:hAnsi="Times New Roman" w:cs="Times New Roman"/>
          <w:sz w:val="29"/>
          <w:sz-cs w:val="29"/>
        </w:rPr>
        <w:t xml:space="preserve"/>
        <w:tab/>
        <w:t xml:space="preserve">2</w:t>
        <w:tab/>
        <w:t xml:space="preserve"/>
      </w:r>
      <w:r>
        <w:rPr>
          <w:rFonts w:ascii="Times New Roman" w:hAnsi="Times New Roman" w:cs="Times New Roman"/>
          <w:sz w:val="29"/>
          <w:sz-cs w:val="29"/>
          <w:spacing w:val="0"/>
        </w:rPr>
        <w:t xml:space="preserve">Verwerker informeert Verantwoordelijke onmiddellijk indien een instructie naar zijn oordeel in strijd is met de AVG.</w:t>
      </w:r>
    </w:p>
    <w:p>
      <w:pPr>
        <w:spacing w:after="287"/>
      </w:pPr>
      <w:r>
        <w:rPr>
          <w:rFonts w:ascii="Times New Roman" w:hAnsi="Times New Roman" w:cs="Times New Roman"/>
          <w:sz w:val="34"/>
          <w:sz-cs w:val="34"/>
          <w:b/>
          <w:spacing w:val="0"/>
        </w:rPr>
        <w:t xml:space="preserve">Artikel 4 — Vertrouwelijkheid</w:t>
      </w:r>
    </w:p>
    <w:p>
      <w:pPr>
        <w:spacing w:after="293"/>
      </w:pPr>
      <w:r>
        <w:rPr>
          <w:rFonts w:ascii="Times New Roman" w:hAnsi="Times New Roman" w:cs="Times New Roman"/>
          <w:sz w:val="29"/>
          <w:sz-cs w:val="29"/>
          <w:spacing w:val="0"/>
        </w:rPr>
        <w:t xml:space="preserve">Verwerker waarborgt dat personen die onder zijn gezag persoonsgegevens verwerken zich tot vertrouwelijkheid hebben verbonden.</w:t>
      </w:r>
    </w:p>
    <w:p>
      <w:pPr>
        <w:spacing w:after="287"/>
      </w:pPr>
      <w:r>
        <w:rPr>
          <w:rFonts w:ascii="Times New Roman" w:hAnsi="Times New Roman" w:cs="Times New Roman"/>
          <w:sz w:val="34"/>
          <w:sz-cs w:val="34"/>
          <w:b/>
          <w:spacing w:val="0"/>
        </w:rPr>
        <w:t xml:space="preserve">Artikel 5 — Beveiliging (art. 32 AVG; Bijlage C)</w:t>
      </w:r>
    </w:p>
    <w:p>
      <w:pPr>
        <w:spacing w:after="293"/>
      </w:pPr>
      <w:r>
        <w:rPr>
          <w:rFonts w:ascii="Times New Roman" w:hAnsi="Times New Roman" w:cs="Times New Roman"/>
          <w:sz w:val="29"/>
          <w:sz-cs w:val="29"/>
          <w:spacing w:val="0"/>
        </w:rPr>
        <w:t xml:space="preserve">Verwerker treft passende technische en organisatorische maatregelen, waaronder ten minste de maatregelen in Bijlage C (o.a. toegangsbeperking per administratie met row-level security, tweefactorauthenticatie/passkeys, versleutelde opslag van credentials, append-only audit-log, dataregio </w:t>
      </w:r>
      <w:r>
        <w:rPr>
          <w:rFonts w:ascii="Courier" w:hAnsi="Courier" w:cs="Courier"/>
          <w:sz w:val="29"/>
          <w:sz-cs w:val="29"/>
          <w:spacing w:val="0"/>
        </w:rPr>
        <w:t xml:space="preserve">europe-west4</w:t>
      </w:r>
      <w:r>
        <w:rPr>
          <w:rFonts w:ascii="Times New Roman" w:hAnsi="Times New Roman" w:cs="Times New Roman"/>
          <w:sz w:val="29"/>
          <w:sz-cs w:val="29"/>
          <w:spacing w:val="0"/>
        </w:rPr>
        <w:t xml:space="preserve">, back-ups met point-in-time recovery).</w:t>
      </w:r>
    </w:p>
    <w:p>
      <w:pPr>
        <w:spacing w:after="287"/>
      </w:pPr>
      <w:r>
        <w:rPr>
          <w:rFonts w:ascii="Times New Roman" w:hAnsi="Times New Roman" w:cs="Times New Roman"/>
          <w:sz w:val="34"/>
          <w:sz-cs w:val="34"/>
          <w:b/>
          <w:spacing w:val="0"/>
        </w:rPr>
        <w:t xml:space="preserve">Artikel 6 — Subverwerkers (Bijlage B)</w:t>
      </w:r>
    </w:p>
    <w:p>
      <w:pPr>
        <w:ind w:left="720" w:first-line="-720"/>
      </w:pPr>
      <w:r>
        <w:rPr>
          <w:rFonts w:ascii="Times New Roman" w:hAnsi="Times New Roman" w:cs="Times New Roman"/>
          <w:sz w:val="29"/>
          <w:sz-cs w:val="29"/>
        </w:rPr>
        <w:t xml:space="preserve"/>
        <w:tab/>
        <w:t xml:space="preserve">1</w:t>
        <w:tab/>
        <w:t xml:space="preserve"/>
      </w:r>
      <w:r>
        <w:rPr>
          <w:rFonts w:ascii="Times New Roman" w:hAnsi="Times New Roman" w:cs="Times New Roman"/>
          <w:sz w:val="29"/>
          <w:sz-cs w:val="29"/>
          <w:spacing w:val="0"/>
        </w:rPr>
        <w:t xml:space="preserve">Verantwoordelijke verleent algemene toestemming voor de subverwerkers in Bijlage B.</w:t>
      </w:r>
    </w:p>
    <w:p>
      <w:pPr>
        <w:ind w:left="720" w:first-line="-720"/>
      </w:pPr>
      <w:r>
        <w:rPr>
          <w:rFonts w:ascii="Times New Roman" w:hAnsi="Times New Roman" w:cs="Times New Roman"/>
          <w:sz w:val="29"/>
          <w:sz-cs w:val="29"/>
        </w:rPr>
        <w:t xml:space="preserve"/>
        <w:tab/>
        <w:t xml:space="preserve">2</w:t>
        <w:tab/>
        <w:t xml:space="preserve"/>
      </w:r>
      <w:r>
        <w:rPr>
          <w:rFonts w:ascii="Times New Roman" w:hAnsi="Times New Roman" w:cs="Times New Roman"/>
          <w:sz w:val="29"/>
          <w:sz-cs w:val="29"/>
          <w:spacing w:val="0"/>
        </w:rPr>
        <w:t xml:space="preserve">Verwerker informeert Verantwoordelijke vooraf over beoogde wijzigingen; Verantwoordelijke kan binnen 14 dagen gemotiveerd bezwaar maken.</w:t>
      </w:r>
    </w:p>
    <w:p>
      <w:pPr>
        <w:ind w:left="720" w:first-line="-720"/>
      </w:pPr>
      <w:r>
        <w:rPr>
          <w:rFonts w:ascii="Times New Roman" w:hAnsi="Times New Roman" w:cs="Times New Roman"/>
          <w:sz w:val="29"/>
          <w:sz-cs w:val="29"/>
        </w:rPr>
        <w:t xml:space="preserve"/>
        <w:tab/>
        <w:t xml:space="preserve">3</w:t>
        <w:tab/>
        <w:t xml:space="preserve"/>
      </w:r>
      <w:r>
        <w:rPr>
          <w:rFonts w:ascii="Times New Roman" w:hAnsi="Times New Roman" w:cs="Times New Roman"/>
          <w:sz w:val="29"/>
          <w:sz-cs w:val="29"/>
          <w:spacing w:val="0"/>
        </w:rPr>
        <w:t xml:space="preserve">Verwerker legt aan subverwerkers dezelfde verplichtingen op als in deze overeenkomst en blijft jegens Verantwoordelijke aansprakelijk voor hun nakoming.</w:t>
      </w:r>
    </w:p>
    <w:p>
      <w:pPr>
        <w:spacing w:after="287"/>
      </w:pPr>
      <w:r>
        <w:rPr>
          <w:rFonts w:ascii="Times New Roman" w:hAnsi="Times New Roman" w:cs="Times New Roman"/>
          <w:sz w:val="34"/>
          <w:sz-cs w:val="34"/>
          <w:b/>
          <w:spacing w:val="0"/>
        </w:rPr>
        <w:t xml:space="preserve">Artikel 7 — Doorgifte buiten de EER</w:t>
      </w:r>
    </w:p>
    <w:p>
      <w:pPr>
        <w:spacing w:after="293"/>
      </w:pPr>
      <w:r>
        <w:rPr>
          <w:rFonts w:ascii="Times New Roman" w:hAnsi="Times New Roman" w:cs="Times New Roman"/>
          <w:sz w:val="29"/>
          <w:sz-cs w:val="29"/>
          <w:spacing w:val="0"/>
        </w:rPr>
        <w:t xml:space="preserve">Doorgifte vindt uitsluitend plaats met een passend doorgiftemechanisme (adequaatheidsbesluit, EU Standard Contractual Clauses of EU-U.S. Data Privacy Framework); het toepasselijke mechanisme staat per subverwerker in Bijlage B. Voor Google Cloud en Google Workspace loopt dit via het Cloud Data Processing Addendum; dataopslag is geconfigureerd in </w:t>
      </w:r>
      <w:r>
        <w:rPr>
          <w:rFonts w:ascii="Courier" w:hAnsi="Courier" w:cs="Courier"/>
          <w:sz w:val="29"/>
          <w:sz-cs w:val="29"/>
          <w:spacing w:val="0"/>
        </w:rPr>
        <w:t xml:space="preserve">europe-west4</w:t>
      </w:r>
      <w:r>
        <w:rPr>
          <w:rFonts w:ascii="Times New Roman" w:hAnsi="Times New Roman" w:cs="Times New Roman"/>
          <w:sz w:val="29"/>
          <w:sz-cs w:val="29"/>
          <w:spacing w:val="0"/>
        </w:rPr>
        <w:t xml:space="preserve">. Voor Anthropic rust de doorgifte op de EU SCC’s in Anthropics Data Processing Addendum (verwerking en opslag in de VS; Anthropic is niet DPF-gecertificeerd — registercheck 2026-08-15).</w:t>
      </w:r>
    </w:p>
    <w:p>
      <w:pPr>
        <w:spacing w:after="287"/>
      </w:pPr>
      <w:r>
        <w:rPr>
          <w:rFonts w:ascii="Times New Roman" w:hAnsi="Times New Roman" w:cs="Times New Roman"/>
          <w:sz w:val="34"/>
          <w:sz-cs w:val="34"/>
          <w:b/>
          <w:spacing w:val="0"/>
        </w:rPr>
        <w:t xml:space="preserve">Artikel 8 — Bijstand aan Verantwoordelijke</w:t>
      </w:r>
    </w:p>
    <w:p>
      <w:pPr>
        <w:spacing w:after="293"/>
      </w:pPr>
      <w:r>
        <w:rPr>
          <w:rFonts w:ascii="Times New Roman" w:hAnsi="Times New Roman" w:cs="Times New Roman"/>
          <w:sz w:val="29"/>
          <w:sz-cs w:val="29"/>
          <w:spacing w:val="0"/>
        </w:rPr>
        <w:t xml:space="preserve">Verwerker verleent redelijke bijstand bij: verzoeken van betrokkenen (art. 15–22), de beveiligingsplicht, meldplicht datalekken, DPIA’s en voorafgaande raadpleging, rekening houdend met de aard van de verwerking en de beschikbare informatie.</w:t>
      </w:r>
    </w:p>
    <w:p>
      <w:pPr>
        <w:spacing w:after="287"/>
      </w:pPr>
      <w:r>
        <w:rPr>
          <w:rFonts w:ascii="Times New Roman" w:hAnsi="Times New Roman" w:cs="Times New Roman"/>
          <w:sz w:val="34"/>
          <w:sz-cs w:val="34"/>
          <w:b/>
          <w:spacing w:val="0"/>
        </w:rPr>
        <w:t xml:space="preserve">Artikel 9 — Inbreuken (datalekken)</w:t>
      </w:r>
    </w:p>
    <w:p>
      <w:pPr>
        <w:spacing w:after="293"/>
      </w:pPr>
      <w:r>
        <w:rPr>
          <w:rFonts w:ascii="Times New Roman" w:hAnsi="Times New Roman" w:cs="Times New Roman"/>
          <w:sz w:val="29"/>
          <w:sz-cs w:val="29"/>
          <w:spacing w:val="0"/>
        </w:rPr>
        <w:t xml:space="preserve">Verwerker informeert Verantwoordelijke </w:t>
      </w:r>
      <w:r>
        <w:rPr>
          <w:rFonts w:ascii="Times New Roman" w:hAnsi="Times New Roman" w:cs="Times New Roman"/>
          <w:sz w:val="29"/>
          <w:sz-cs w:val="29"/>
          <w:b/>
          <w:spacing w:val="0"/>
        </w:rPr>
        <w:t xml:space="preserve">zonder onredelijke vertraging en uiterlijk binnen 24 uur</w:t>
      </w:r>
      <w:r>
        <w:rPr>
          <w:rFonts w:ascii="Times New Roman" w:hAnsi="Times New Roman" w:cs="Times New Roman"/>
          <w:sz w:val="29"/>
          <w:sz-cs w:val="29"/>
          <w:spacing w:val="0"/>
        </w:rPr>
        <w:t xml:space="preserve"> na ontdekking van een inbreuk in verband met persoonsgegevens, met ten minste de informatie die Verantwoordelijke nodig heeft voor de eigen meldplicht (aard, betrokken gegevens/administraties, waarschijnlijke gevolgen, genomen maatregelen). Afhandeling volgens de datalek-procedure van Verantwoordelijke (document 6).</w:t>
      </w:r>
    </w:p>
    <w:p>
      <w:pPr>
        <w:spacing w:after="287"/>
      </w:pPr>
      <w:r>
        <w:rPr>
          <w:rFonts w:ascii="Times New Roman" w:hAnsi="Times New Roman" w:cs="Times New Roman"/>
          <w:sz w:val="34"/>
          <w:sz-cs w:val="34"/>
          <w:b/>
          <w:spacing w:val="0"/>
        </w:rPr>
        <w:t xml:space="preserve">Artikel 10 — Einde van de overeenkomst</w:t>
      </w:r>
    </w:p>
    <w:p>
      <w:pPr>
        <w:spacing w:after="293"/>
      </w:pPr>
      <w:r>
        <w:rPr>
          <w:rFonts w:ascii="Times New Roman" w:hAnsi="Times New Roman" w:cs="Times New Roman"/>
          <w:sz w:val="29"/>
          <w:sz-cs w:val="29"/>
          <w:spacing w:val="0"/>
        </w:rPr>
        <w:t xml:space="preserve">Bij beëindiging van de dienstverlening retourneert of verwijdert Verwerker alle persoonsgegevens naar keuze van Verantwoordelijke, behoudens wettelijke bewaarplichten; verwijdering geschiedt conform het pseudonimiserings-/bewaarbeleid van Verantwoordelijke (7 jaar administratieplicht).</w:t>
      </w:r>
    </w:p>
    <w:p>
      <w:pPr>
        <w:spacing w:after="287"/>
      </w:pPr>
      <w:r>
        <w:rPr>
          <w:rFonts w:ascii="Times New Roman" w:hAnsi="Times New Roman" w:cs="Times New Roman"/>
          <w:sz w:val="34"/>
          <w:sz-cs w:val="34"/>
          <w:b/>
          <w:spacing w:val="0"/>
        </w:rPr>
        <w:t xml:space="preserve">Artikel 11 — Audit</w:t>
      </w:r>
    </w:p>
    <w:p>
      <w:pPr>
        <w:spacing w:after="293"/>
      </w:pPr>
      <w:r>
        <w:rPr>
          <w:rFonts w:ascii="Times New Roman" w:hAnsi="Times New Roman" w:cs="Times New Roman"/>
          <w:sz w:val="29"/>
          <w:sz-cs w:val="29"/>
          <w:spacing w:val="0"/>
        </w:rPr>
        <w:t xml:space="preserve">Verwerker stelt alle informatie ter beschikking die nodig is om nakoming aan te tonen en staat audits toe door of namens Verantwoordelijke, maximaal eenmaal per jaar behoudens incidenten, tegen redelijke kosten en met redelijke aankondiging. Voor subverwerkers volstaan hun certificeringen/auditrapporten (ISO 27001, SOC 2) waar beschikbaar.</w:t>
      </w:r>
    </w:p>
    <w:p>
      <w:pPr>
        <w:spacing w:after="287"/>
      </w:pPr>
      <w:r>
        <w:rPr>
          <w:rFonts w:ascii="Times New Roman" w:hAnsi="Times New Roman" w:cs="Times New Roman"/>
          <w:sz w:val="34"/>
          <w:sz-cs w:val="34"/>
          <w:b/>
          <w:spacing w:val="0"/>
        </w:rPr>
        <w:t xml:space="preserve">Artikel 12 — Aansprakelijkheid en rangorde</w:t>
      </w:r>
    </w:p>
    <w:p>
      <w:pPr>
        <w:ind w:left="720" w:first-line="-720"/>
      </w:pPr>
      <w:r>
        <w:rPr>
          <w:rFonts w:ascii="Times New Roman" w:hAnsi="Times New Roman" w:cs="Times New Roman"/>
          <w:sz w:val="29"/>
          <w:sz-cs w:val="29"/>
        </w:rPr>
        <w:t xml:space="preserve"/>
        <w:tab/>
        <w:t xml:space="preserve">1</w:t>
        <w:tab/>
        <w:t xml:space="preserve"/>
      </w:r>
      <w:r>
        <w:rPr>
          <w:rFonts w:ascii="Times New Roman" w:hAnsi="Times New Roman" w:cs="Times New Roman"/>
          <w:sz w:val="29"/>
          <w:sz-cs w:val="29"/>
          <w:spacing w:val="0"/>
        </w:rPr>
        <w:t xml:space="preserve">Aansprakelijkheid volgt de hoofdovereenkomst tussen partijen; bij ontbreken daarvan geldt de wettelijke regeling van art. 82 AVG.</w:t>
      </w:r>
    </w:p>
    <w:p>
      <w:pPr>
        <w:ind w:left="720" w:first-line="-720"/>
      </w:pPr>
      <w:r>
        <w:rPr>
          <w:rFonts w:ascii="Times New Roman" w:hAnsi="Times New Roman" w:cs="Times New Roman"/>
          <w:sz w:val="29"/>
          <w:sz-cs w:val="29"/>
        </w:rPr>
        <w:t xml:space="preserve"/>
        <w:tab/>
        <w:t xml:space="preserve">2</w:t>
        <w:tab/>
        <w:t xml:space="preserve"/>
      </w:r>
      <w:r>
        <w:rPr>
          <w:rFonts w:ascii="Times New Roman" w:hAnsi="Times New Roman" w:cs="Times New Roman"/>
          <w:sz w:val="29"/>
          <w:sz-cs w:val="29"/>
          <w:spacing w:val="0"/>
        </w:rPr>
        <w:t xml:space="preserve">Bij strijd tussen deze overeenkomst en andere afspraken prevaleert deze overeenkomst voor zover het de verwerking van persoonsgegevens betreft.</w:t>
      </w:r>
    </w:p>
    <w:p>
      <w:pPr>
        <w:spacing w:after="293"/>
      </w:pPr>
      <w:r>
        <w:rPr>
          <w:rFonts w:ascii="Times New Roman" w:hAnsi="Times New Roman" w:cs="Times New Roman"/>
          <w:sz w:val="29"/>
          <w:sz-cs w:val="29"/>
          <w:b/>
          <w:spacing w:val="0"/>
        </w:rPr>
        <w:t xml:space="preserve">Bijlage A — Verwerkingen en gegevens</w:t>
      </w:r>
      <w:r>
        <w:rPr>
          <w:rFonts w:ascii="Times New Roman" w:hAnsi="Times New Roman" w:cs="Times New Roman"/>
          <w:sz w:val="29"/>
          <w:sz-cs w:val="29"/>
          <w:spacing w:val="0"/>
        </w:rPr>
        <w:t xml:space="preserve">: de verwerkingen zoals beschreven in het verwerkingsregister van Verantwoordelijke (document 1), beperkt tot hosting/opslag/verwerking binnen de RLZ Boekingsmodule.</w:t>
      </w:r>
    </w:p>
    <w:p>
      <w:pPr>
        <w:spacing w:after="293"/>
      </w:pPr>
      <w:r>
        <w:rPr>
          <w:rFonts w:ascii="Times New Roman" w:hAnsi="Times New Roman" w:cs="Times New Roman"/>
          <w:sz w:val="29"/>
          <w:sz-cs w:val="29"/>
          <w:b/>
          <w:spacing w:val="0"/>
        </w:rPr>
        <w:t xml:space="preserve">Bijlage B — Subverwerkers van PDL</w:t>
      </w:r>
      <w:r>
        <w:rPr>
          <w:rFonts w:ascii="Times New Roman" w:hAnsi="Times New Roman" w:cs="Times New Roman"/>
          <w:sz w:val="29"/>
          <w:sz-cs w:val="29"/>
          <w:spacing w:val="0"/>
        </w:rPr>
        <w:t xml:space="preserve"> (accounthouder is telkens Verwerker):</w:t>
      </w:r>
    </w:p>
    <w:p>
      <w:pPr>
        <w:jc w:val="center"/>
      </w:pPr>
      <w:r>
        <w:rPr>
          <w:rFonts w:ascii="Times New Roman" w:hAnsi="Times New Roman" w:cs="Times New Roman"/>
          <w:sz w:val="29"/>
          <w:sz-cs w:val="29"/>
          <w:b/>
          <w:spacing w:val="0"/>
        </w:rPr>
        <w:t xml:space="preserve">Subverwerker</w:t>
      </w:r>
    </w:p>
    <w:p>
      <w:pPr>
        <w:jc w:val="center"/>
      </w:pPr>
      <w:r>
        <w:rPr>
          <w:rFonts w:ascii="Times New Roman" w:hAnsi="Times New Roman" w:cs="Times New Roman"/>
          <w:sz w:val="29"/>
          <w:sz-cs w:val="29"/>
          <w:b/>
          <w:spacing w:val="0"/>
        </w:rPr>
        <w:t xml:space="preserve">Dienst</w:t>
      </w:r>
    </w:p>
    <w:p>
      <w:pPr>
        <w:jc w:val="center"/>
      </w:pPr>
      <w:r>
        <w:rPr>
          <w:rFonts w:ascii="Times New Roman" w:hAnsi="Times New Roman" w:cs="Times New Roman"/>
          <w:sz w:val="29"/>
          <w:sz-cs w:val="29"/>
          <w:b/>
          <w:spacing w:val="0"/>
        </w:rPr>
        <w:t xml:space="preserve">Datalocatie &amp; doorgifte</w:t>
      </w:r>
    </w:p>
    <w:p>
      <w:pPr>
        <w:jc w:val="center"/>
      </w:pPr>
      <w:r>
        <w:rPr>
          <w:rFonts w:ascii="Times New Roman" w:hAnsi="Times New Roman" w:cs="Times New Roman"/>
          <w:sz w:val="29"/>
          <w:sz-cs w:val="29"/>
          <w:b/>
          <w:spacing w:val="0"/>
        </w:rPr>
        <w:t xml:space="preserve">Contract/grondslag</w:t>
      </w:r>
    </w:p>
    <w:p>
      <w:pPr/>
      <w:r>
        <w:rPr>
          <w:rFonts w:ascii="Times New Roman" w:hAnsi="Times New Roman" w:cs="Times New Roman"/>
          <w:sz w:val="29"/>
          <w:sz-cs w:val="29"/>
          <w:spacing w:val="0"/>
        </w:rPr>
        <w:t xml:space="preserve">Google Cloud EMEA Ltd.</w:t>
      </w:r>
    </w:p>
    <w:p>
      <w:pPr/>
      <w:r>
        <w:rPr>
          <w:rFonts w:ascii="Times New Roman" w:hAnsi="Times New Roman" w:cs="Times New Roman"/>
          <w:sz w:val="29"/>
          <w:sz-cs w:val="29"/>
          <w:spacing w:val="0"/>
        </w:rPr>
        <w:t xml:space="preserve">Hosting, database, documentopslag en achtergrondjobs — Google Cloud-project </w:t>
      </w:r>
      <w:r>
        <w:rPr>
          <w:rFonts w:ascii="Courier" w:hAnsi="Courier" w:cs="Courier"/>
          <w:sz w:val="29"/>
          <w:sz-cs w:val="29"/>
          <w:spacing w:val="0"/>
        </w:rPr>
        <w:t xml:space="preserve">rlz-boekhouding</w:t>
      </w:r>
      <w:r>
        <w:rPr>
          <w:rFonts w:ascii="Times New Roman" w:hAnsi="Times New Roman" w:cs="Times New Roman"/>
          <w:sz w:val="29"/>
          <w:sz-cs w:val="29"/>
          <w:spacing w:val="0"/>
        </w:rPr>
        <w:t xml:space="preserve"> in de PDL Powerhouse-organisatie</w:t>
      </w:r>
    </w:p>
    <w:p>
      <w:pPr/>
      <w:r>
        <w:rPr>
          <w:rFonts w:ascii="Times New Roman" w:hAnsi="Times New Roman" w:cs="Times New Roman"/>
          <w:sz w:val="29"/>
          <w:sz-cs w:val="29"/>
          <w:spacing w:val="0"/>
        </w:rPr>
        <w:t xml:space="preserve">EU, regio </w:t>
      </w:r>
      <w:r>
        <w:rPr>
          <w:rFonts w:ascii="Courier" w:hAnsi="Courier" w:cs="Courier"/>
          <w:sz w:val="29"/>
          <w:sz-cs w:val="29"/>
          <w:spacing w:val="0"/>
        </w:rPr>
        <w:t xml:space="preserve">europe-west4</w:t>
      </w:r>
      <w:r>
        <w:rPr>
          <w:rFonts w:ascii="Times New Roman" w:hAnsi="Times New Roman" w:cs="Times New Roman"/>
          <w:sz w:val="29"/>
          <w:sz-cs w:val="29"/>
          <w:spacing w:val="0"/>
        </w:rPr>
        <w:t xml:space="preserve"> (EU-organisatiebeleid; CMEK, platformbesluit 0021)</w:t>
      </w:r>
    </w:p>
    <w:p>
      <w:pPr/>
      <w:r>
        <w:rPr>
          <w:rFonts w:ascii="Times New Roman" w:hAnsi="Times New Roman" w:cs="Times New Roman"/>
          <w:sz w:val="29"/>
          <w:sz-cs w:val="29"/>
          <w:spacing w:val="0"/>
        </w:rPr>
        <w:t xml:space="preserve">Cloud Data Processing Addendum (versie 8 juni 2026, gearchiveerd) incl. EU SCC’s; Google is DPF-gecertificeerd</w:t>
      </w:r>
    </w:p>
    <w:p>
      <w:pPr/>
      <w:r>
        <w:rPr>
          <w:rFonts w:ascii="Times New Roman" w:hAnsi="Times New Roman" w:cs="Times New Roman"/>
          <w:sz w:val="29"/>
          <w:sz-cs w:val="29"/>
          <w:spacing w:val="0"/>
        </w:rPr>
        <w:t xml:space="preserve">Google Workspace (Google Cloud EMEA Ltd.)</w:t>
      </w:r>
    </w:p>
    <w:p>
      <w:pPr/>
      <w:r>
        <w:rPr>
          <w:rFonts w:ascii="Times New Roman" w:hAnsi="Times New Roman" w:cs="Times New Roman"/>
          <w:sz w:val="29"/>
          <w:sz-cs w:val="29"/>
          <w:spacing w:val="0"/>
        </w:rPr>
        <w:t xml:space="preserve">E-mailvoorziening: intake-postvak </w:t>
      </w:r>
      <w:r>
        <w:rPr>
          <w:rFonts w:ascii="Courier" w:hAnsi="Courier" w:cs="Courier"/>
          <w:sz w:val="29"/>
          <w:sz-cs w:val="29"/>
          <w:spacing w:val="0"/>
        </w:rPr>
        <w:t xml:space="preserve">facturen@ak-nijenhuis.nl</w:t>
      </w:r>
      <w:r>
        <w:rPr>
          <w:rFonts w:ascii="Times New Roman" w:hAnsi="Times New Roman" w:cs="Times New Roman"/>
          <w:sz w:val="29"/>
          <w:sz-cs w:val="29"/>
          <w:spacing w:val="0"/>
        </w:rPr>
        <w:t xml:space="preserve"> (IMAP) en uitgaande systeemmail (uitnodigingen, herinneringen) — Workspace-omgeving van PDL</w:t>
      </w:r>
    </w:p>
    <w:p>
      <w:pPr/>
      <w:r>
        <w:rPr>
          <w:rFonts w:ascii="Times New Roman" w:hAnsi="Times New Roman" w:cs="Times New Roman"/>
          <w:sz w:val="29"/>
          <w:sz-cs w:val="29"/>
          <w:spacing w:val="0"/>
        </w:rPr>
        <w:t xml:space="preserve">EU/doorgifte conform CDPA</w:t>
      </w:r>
    </w:p>
    <w:p>
      <w:pPr/>
      <w:r>
        <w:rPr>
          <w:rFonts w:ascii="Times New Roman" w:hAnsi="Times New Roman" w:cs="Times New Roman"/>
          <w:sz w:val="29"/>
          <w:sz-cs w:val="29"/>
          <w:spacing w:val="0"/>
        </w:rPr>
        <w:t xml:space="preserve">Zelfde CDPA; Workspace expliciet in scope (geverifieerd 2026-08-15)</w:t>
      </w:r>
    </w:p>
    <w:p>
      <w:pPr/>
      <w:r>
        <w:rPr>
          <w:rFonts w:ascii="Times New Roman" w:hAnsi="Times New Roman" w:cs="Times New Roman"/>
          <w:sz w:val="29"/>
          <w:sz-cs w:val="29"/>
          <w:spacing w:val="0"/>
        </w:rPr>
        <w:t xml:space="preserve">Anthropic Ireland, Limited</w:t>
      </w:r>
    </w:p>
    <w:p>
      <w:pPr/>
      <w:r>
        <w:rPr>
          <w:rFonts w:ascii="Times New Roman" w:hAnsi="Times New Roman" w:cs="Times New Roman"/>
          <w:sz w:val="29"/>
          <w:sz-cs w:val="29"/>
          <w:spacing w:val="0"/>
        </w:rPr>
        <w:t xml:space="preserve">AI-extractie van documentgegevens (Claude API) — API-organisatieaccount van PDL; alleen actief achter de AVG-gate </w:t>
      </w:r>
      <w:r>
        <w:rPr>
          <w:rFonts w:ascii="Courier" w:hAnsi="Courier" w:cs="Courier"/>
          <w:sz w:val="29"/>
          <w:sz-cs w:val="29"/>
          <w:spacing w:val="0"/>
        </w:rPr>
        <w:t xml:space="preserve">intake_ai_ingeschakeld</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Verwerking en opslag in de VS; doorgifte op de EU SCC’s in de DPA (niet DPF-gecertificeerd); geen training op klantdata (Commercial Terms 17-06-2025); Zero Data Retention aangevraagd 2026-08-14, uitkomst open</w:t>
      </w:r>
    </w:p>
    <w:p>
      <w:pPr/>
      <w:r>
        <w:rPr>
          <w:rFonts w:ascii="Times New Roman" w:hAnsi="Times New Roman" w:cs="Times New Roman"/>
          <w:sz w:val="29"/>
          <w:sz-cs w:val="29"/>
          <w:spacing w:val="0"/>
        </w:rPr>
        <w:t xml:space="preserve">Commercial Terms of Service (17-06-2025) + Data Processing Addendum (24-02-2025), beide gearchiveerd</w:t>
      </w:r>
    </w:p>
    <w:p>
      <w:pPr/>
      <w:r>
        <w:rPr>
          <w:rFonts w:ascii="Times New Roman" w:hAnsi="Times New Roman" w:cs="Times New Roman"/>
          <w:sz w:val="29"/>
          <w:sz-cs w:val="29"/>
          <w:spacing w:val="0"/>
        </w:rPr>
        <w:t xml:space="preserve">Apple Inc. / Apple Distribution International Ltd.</w:t>
      </w:r>
    </w:p>
    <w:p>
      <w:pPr/>
      <w:r>
        <w:rPr>
          <w:rFonts w:ascii="Times New Roman" w:hAnsi="Times New Roman" w:cs="Times New Roman"/>
          <w:sz w:val="29"/>
          <w:sz-cs w:val="29"/>
          <w:spacing w:val="0"/>
        </w:rPr>
        <w:t xml:space="preserve">Distributie van de accordeur-app (App Store/TestFlight) en pushmeldingen via APNs — Apple Developer-account van PDL; pushberichten bevatten apparaat-tokens maar geen financiële gegevens of documentinhoud</w:t>
      </w:r>
    </w:p>
    <w:p>
      <w:pPr/>
      <w:r>
        <w:rPr>
          <w:rFonts w:ascii="Times New Roman" w:hAnsi="Times New Roman" w:cs="Times New Roman"/>
          <w:sz w:val="29"/>
          <w:sz-cs w:val="29"/>
          <w:spacing w:val="0"/>
        </w:rPr>
        <w:t xml:space="preserve">Doorgifte VS mogelijk (APNs)</w:t>
      </w:r>
    </w:p>
    <w:p>
      <w:pPr/>
      <w:r>
        <w:rPr>
          <w:rFonts w:ascii="Times New Roman" w:hAnsi="Times New Roman" w:cs="Times New Roman"/>
          <w:sz w:val="29"/>
          <w:sz-cs w:val="29"/>
          <w:spacing w:val="0"/>
        </w:rPr>
        <w:t xml:space="preserve">[INVULLEN: Apple-DPA/doorgiftecheck archiveren — uitbreiding verwerkers-checklist, vóór livegang van de iOS-app]</w:t>
      </w:r>
    </w:p>
    <w:p>
      <w:pPr/>
      <w:r>
        <w:rPr>
          <w:rFonts w:ascii="Times New Roman" w:hAnsi="Times New Roman" w:cs="Times New Roman"/>
          <w:sz w:val="29"/>
          <w:sz-cs w:val="29"/>
          <w:spacing w:val="0"/>
        </w:rPr>
        <w:t xml:space="preserve">Google Ireland Ltd. (Google Play + Firebase Cloud Messaging)</w:t>
      </w:r>
    </w:p>
    <w:p>
      <w:pPr/>
      <w:r>
        <w:rPr>
          <w:rFonts w:ascii="Times New Roman" w:hAnsi="Times New Roman" w:cs="Times New Roman"/>
          <w:sz w:val="29"/>
          <w:sz-cs w:val="29"/>
          <w:spacing w:val="0"/>
        </w:rPr>
        <w:t xml:space="preserve">Distributie van de Android-app (Play Console van PDL) en pushmeldingen via FCM — </w:t>
      </w:r>
      <w:r>
        <w:rPr>
          <w:rFonts w:ascii="Times New Roman" w:hAnsi="Times New Roman" w:cs="Times New Roman"/>
          <w:sz w:val="29"/>
          <w:sz-cs w:val="29"/>
          <w:b/>
          <w:spacing w:val="0"/>
        </w:rPr>
        <w:t xml:space="preserve">vanaf activering van de Android-app</w:t>
      </w:r>
      <w:r>
        <w:rPr>
          <w:rFonts w:ascii="Times New Roman" w:hAnsi="Times New Roman" w:cs="Times New Roman"/>
          <w:sz w:val="29"/>
          <w:sz-cs w:val="29"/>
          <w:spacing w:val="0"/>
        </w:rPr>
        <w:t xml:space="preserve"> (nu nog niet live)</w:t>
      </w:r>
    </w:p>
    <w:p>
      <w:pPr/>
      <w:r>
        <w:rPr>
          <w:rFonts w:ascii="Times New Roman" w:hAnsi="Times New Roman" w:cs="Times New Roman"/>
          <w:sz w:val="29"/>
          <w:sz-cs w:val="29"/>
          <w:spacing w:val="0"/>
        </w:rPr>
        <w:t xml:space="preserve">Doorgifte conform Google-voorwaarden</w:t>
      </w:r>
    </w:p>
    <w:p>
      <w:pPr/>
      <w:r>
        <w:rPr>
          <w:rFonts w:ascii="Times New Roman" w:hAnsi="Times New Roman" w:cs="Times New Roman"/>
          <w:sz w:val="29"/>
          <w:sz-cs w:val="29"/>
          <w:spacing w:val="0"/>
        </w:rPr>
        <w:t xml:space="preserve">[INVULLEN: FCM-/Play-DPA-check archiveren — AVG-afweging Firebase is een open beslispunt, vóór livegang van de Android-app]</w:t>
      </w:r>
    </w:p>
    <w:p>
      <w:pPr>
        <w:spacing w:after="293"/>
      </w:pPr>
      <w:r>
        <w:rPr>
          <w:rFonts w:ascii="Times New Roman" w:hAnsi="Times New Roman" w:cs="Times New Roman"/>
          <w:sz w:val="29"/>
          <w:sz-cs w:val="29"/>
          <w:i/>
          <w:spacing w:val="0"/>
        </w:rPr>
        <w:t xml:space="preserve">Geen subverwerker van PDL:</w:t>
      </w:r>
      <w:r>
        <w:rPr>
          <w:rFonts w:ascii="Times New Roman" w:hAnsi="Times New Roman" w:cs="Times New Roman"/>
          <w:sz w:val="29"/>
          <w:sz-cs w:val="29"/>
          <w:spacing w:val="0"/>
        </w:rPr>
        <w:t xml:space="preserve"> </w:t>
      </w:r>
      <w:r>
        <w:rPr>
          <w:rFonts w:ascii="Times New Roman" w:hAnsi="Times New Roman" w:cs="Times New Roman"/>
          <w:sz w:val="29"/>
          <w:sz-cs w:val="29"/>
          <w:b/>
          <w:spacing w:val="0"/>
        </w:rPr>
        <w:t xml:space="preserve">Exact Reeleezee (Exact Group B.V.)</w:t>
      </w:r>
      <w:r>
        <w:rPr>
          <w:rFonts w:ascii="Times New Roman" w:hAnsi="Times New Roman" w:cs="Times New Roman"/>
          <w:sz w:val="29"/>
          <w:sz-cs w:val="29"/>
          <w:spacing w:val="0"/>
        </w:rPr>
        <w:t xml:space="preserve"> — rechtstreeks gecontracteerd door Verantwoordelijke (bestaande relatie; VWO 1.5/1.6, EU/EER-datalocatie en API-toegang bevestigd — zie de verwerkers-checklist, document 2).</w:t>
      </w:r>
    </w:p>
    <w:p>
      <w:pPr>
        <w:spacing w:after="293"/>
      </w:pPr>
      <w:r>
        <w:rPr>
          <w:rFonts w:ascii="Times New Roman" w:hAnsi="Times New Roman" w:cs="Times New Roman"/>
          <w:sz w:val="29"/>
          <w:sz-cs w:val="29"/>
          <w:b/>
          <w:spacing w:val="0"/>
        </w:rPr>
        <w:t xml:space="preserve">Bijlage C — Beveiligingsmaatregelen</w:t>
      </w:r>
      <w:r>
        <w:rPr>
          <w:rFonts w:ascii="Times New Roman" w:hAnsi="Times New Roman" w:cs="Times New Roman"/>
          <w:sz w:val="29"/>
          <w:sz-cs w:val="29"/>
          <w:spacing w:val="0"/>
        </w:rPr>
        <w:t xml:space="preserve">: de maatregelen zoals beschreven in verwerkingsregister §8 (document 1), die hier als herhaald en ingelast gelden.</w:t>
      </w:r>
    </w:p>
    <w:p>
      <w:pPr>
        <w:spacing w:after="293"/>
      </w:pPr>
      <w:r>
        <w:rPr>
          <w:rFonts w:ascii="Times New Roman" w:hAnsi="Times New Roman" w:cs="Times New Roman"/>
          <w:sz w:val="29"/>
          <w:sz-cs w:val="29"/>
          <w:i/>
          <w:spacing w:val="0"/>
        </w:rPr>
        <w:t xml:space="preserve">Aldus overeengekomen en ondertekend in tweevoud te Arnhem:</w:t>
      </w:r>
      <w:r>
        <w:rPr>
          <w:rFonts w:ascii="Times New Roman" w:hAnsi="Times New Roman" w:cs="Times New Roman"/>
          <w:sz w:val="29"/>
          <w:sz-cs w:val="29"/>
          <w:spacing w:val="0"/>
        </w:rPr>
        <w:t xml:space="preserve"/>
      </w:r>
    </w:p>
    <w:p>
      <w:pPr>
        <w:jc w:val="center"/>
      </w:pPr>
      <w:r>
        <w:rPr>
          <w:rFonts w:ascii="Times New Roman" w:hAnsi="Times New Roman" w:cs="Times New Roman"/>
          <w:sz w:val="29"/>
          <w:sz-cs w:val="29"/>
          <w:b/>
          <w:spacing w:val="0"/>
        </w:rPr>
        <w:t xml:space="preserve">Administratiekantoor Nijenhuis C.V.</w:t>
      </w:r>
    </w:p>
    <w:p>
      <w:pPr>
        <w:jc w:val="center"/>
      </w:pPr>
      <w:r>
        <w:rPr>
          <w:rFonts w:ascii="Times New Roman" w:hAnsi="Times New Roman" w:cs="Times New Roman"/>
          <w:sz w:val="29"/>
          <w:sz-cs w:val="29"/>
          <w:b/>
          <w:spacing w:val="0"/>
        </w:rPr>
        <w:t xml:space="preserve">PDL Powerhouse B.V.</w:t>
      </w:r>
    </w:p>
    <w:p>
      <w:pPr/>
      <w:r>
        <w:rPr>
          <w:rFonts w:ascii="Times New Roman" w:hAnsi="Times New Roman" w:cs="Times New Roman"/>
          <w:sz w:val="29"/>
          <w:sz-cs w:val="29"/>
          <w:spacing w:val="0"/>
        </w:rPr>
        <w:t xml:space="preserve">Naam: [INVULLEN]</w:t>
      </w:r>
    </w:p>
    <w:p>
      <w:pPr/>
      <w:r>
        <w:rPr>
          <w:rFonts w:ascii="Times New Roman" w:hAnsi="Times New Roman" w:cs="Times New Roman"/>
          <w:sz w:val="29"/>
          <w:sz-cs w:val="29"/>
          <w:spacing w:val="0"/>
        </w:rPr>
        <w:t xml:space="preserve">Naam: [INVULLEN]</w:t>
      </w:r>
    </w:p>
    <w:p>
      <w:pPr/>
      <w:r>
        <w:rPr>
          <w:rFonts w:ascii="Times New Roman" w:hAnsi="Times New Roman" w:cs="Times New Roman"/>
          <w:sz w:val="29"/>
          <w:sz-cs w:val="29"/>
          <w:spacing w:val="0"/>
        </w:rPr>
        <w:t xml:space="preserve">Functie: [INVULLEN: beherend vennoot / gevolmachtigde]</w:t>
      </w:r>
    </w:p>
    <w:p>
      <w:pPr/>
      <w:r>
        <w:rPr>
          <w:rFonts w:ascii="Times New Roman" w:hAnsi="Times New Roman" w:cs="Times New Roman"/>
          <w:sz w:val="29"/>
          <w:sz-cs w:val="29"/>
          <w:spacing w:val="0"/>
        </w:rPr>
        <w:t xml:space="preserve">Functie: [INVULLEN: bestuurder / gevolmachtigde]</w:t>
      </w:r>
    </w:p>
    <w:p>
      <w:pPr/>
      <w:r>
        <w:rPr>
          <w:rFonts w:ascii="Times New Roman" w:hAnsi="Times New Roman" w:cs="Times New Roman"/>
          <w:sz w:val="29"/>
          <w:sz-cs w:val="29"/>
          <w:spacing w:val="0"/>
        </w:rPr>
        <w:t xml:space="preserve">Datum:</w:t>
      </w:r>
    </w:p>
    <w:p>
      <w:pPr/>
      <w:r>
        <w:rPr>
          <w:rFonts w:ascii="Times New Roman" w:hAnsi="Times New Roman" w:cs="Times New Roman"/>
          <w:sz w:val="29"/>
          <w:sz-cs w:val="29"/>
          <w:spacing w:val="0"/>
        </w:rPr>
        <w:t xml:space="preserve">Datum:</w:t>
      </w:r>
    </w:p>
    <w:p>
      <w:pPr/>
      <w:r>
        <w:rPr>
          <w:rFonts w:ascii="Times New Roman" w:hAnsi="Times New Roman" w:cs="Times New Roman"/>
          <w:sz w:val="29"/>
          <w:sz-cs w:val="29"/>
          <w:spacing w:val="0"/>
        </w:rPr>
        <w:t xml:space="preserve">Handtekening:</w:t>
      </w:r>
    </w:p>
    <w:p>
      <w:pPr/>
      <w:r>
        <w:rPr>
          <w:rFonts w:ascii="Times New Roman" w:hAnsi="Times New Roman" w:cs="Times New Roman"/>
          <w:sz w:val="29"/>
          <w:sz-cs w:val="29"/>
          <w:spacing w:val="0"/>
        </w:rPr>
        <w:t xml:space="preserve">Handtekening: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