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A7BB5F" w14:textId="77777777" w:rsidR="00143815" w:rsidRDefault="00000000">
      <w:pPr>
        <w:spacing w:before="400" w:after="200"/>
        <w:jc w:val="center"/>
      </w:pPr>
      <w:r>
        <w:rPr>
          <w:noProof/>
        </w:rPr>
        <w:drawing>
          <wp:inline distT="0" distB="0" distL="0" distR="0" wp14:anchorId="45466C90" wp14:editId="39BFB338">
            <wp:extent cx="1143000" cy="1143000"/>
            <wp:effectExtent l="0" t="0" r="0" b="0"/>
            <wp:docPr id="1" name="FIMsim Logo" descr="FIMsim logo" title="FIM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143000"/>
                    </a:xfrm>
                    <a:prstGeom prst="rect">
                      <a:avLst/>
                    </a:prstGeom>
                  </pic:spPr>
                </pic:pic>
              </a:graphicData>
            </a:graphic>
          </wp:inline>
        </w:drawing>
      </w:r>
    </w:p>
    <w:p w14:paraId="05CC1E88" w14:textId="77777777" w:rsidR="00143815" w:rsidRDefault="00000000">
      <w:pPr>
        <w:spacing w:after="80"/>
        <w:jc w:val="center"/>
      </w:pPr>
      <w:r>
        <w:rPr>
          <w:b/>
          <w:bCs/>
          <w:color w:val="1A3C5E"/>
          <w:sz w:val="52"/>
          <w:szCs w:val="52"/>
        </w:rPr>
        <w:t>FIMsim</w:t>
      </w:r>
    </w:p>
    <w:p w14:paraId="02BBF3EB" w14:textId="77777777" w:rsidR="00143815" w:rsidRDefault="00000000">
      <w:pPr>
        <w:spacing w:after="60"/>
        <w:jc w:val="center"/>
      </w:pPr>
      <w:r>
        <w:rPr>
          <w:color w:val="2B6CB0"/>
          <w:sz w:val="28"/>
          <w:szCs w:val="28"/>
        </w:rPr>
        <w:t>Flood Inundation Model Simulation Tool</w:t>
      </w:r>
    </w:p>
    <w:p w14:paraId="7F892DCC" w14:textId="77777777" w:rsidR="00143815" w:rsidRDefault="00000000">
      <w:pPr>
        <w:spacing w:after="400"/>
        <w:jc w:val="center"/>
      </w:pPr>
      <w:r>
        <w:t>User Manual — DEM, LULC, Flowline &amp; Streamflow Data Modes</w:t>
      </w:r>
    </w:p>
    <w:p w14:paraId="561E37FF" w14:textId="77777777" w:rsidR="00143815" w:rsidRDefault="00143815">
      <w:pPr>
        <w:spacing w:after="80"/>
      </w:pPr>
    </w:p>
    <w:p w14:paraId="60571D02" w14:textId="2D32E427" w:rsidR="00143815" w:rsidRDefault="00000000">
      <w:pPr>
        <w:spacing w:before="160" w:after="80"/>
        <w:jc w:val="center"/>
      </w:pPr>
      <w:r>
        <w:rPr>
          <w:color w:val="4A5568"/>
          <w:sz w:val="20"/>
          <w:szCs w:val="20"/>
        </w:rPr>
        <w:t xml:space="preserve">Department of </w:t>
      </w:r>
      <w:r w:rsidR="00836A5B">
        <w:rPr>
          <w:color w:val="4A5568"/>
          <w:sz w:val="20"/>
          <w:szCs w:val="20"/>
        </w:rPr>
        <w:t>Geography and the Environment</w:t>
      </w:r>
    </w:p>
    <w:p w14:paraId="0900BABC" w14:textId="1D084EA7" w:rsidR="00143815" w:rsidRDefault="00000000">
      <w:pPr>
        <w:spacing w:after="600"/>
        <w:jc w:val="center"/>
        <w:rPr>
          <w:color w:val="4A5568"/>
          <w:sz w:val="20"/>
          <w:szCs w:val="20"/>
        </w:rPr>
      </w:pPr>
      <w:r>
        <w:rPr>
          <w:color w:val="4A5568"/>
          <w:sz w:val="20"/>
          <w:szCs w:val="20"/>
        </w:rPr>
        <w:t>The University of Alabama</w:t>
      </w:r>
    </w:p>
    <w:p w14:paraId="6DA17DE2" w14:textId="3705BBD6" w:rsidR="00836A5B" w:rsidRDefault="00836A5B">
      <w:pPr>
        <w:spacing w:after="600"/>
        <w:jc w:val="center"/>
        <w:rPr>
          <w:color w:val="4A5568"/>
          <w:sz w:val="20"/>
          <w:szCs w:val="20"/>
        </w:rPr>
      </w:pPr>
      <w:r>
        <w:rPr>
          <w:noProof/>
          <w:color w:val="4A5568"/>
          <w:sz w:val="20"/>
          <w:szCs w:val="20"/>
        </w:rPr>
        <w:drawing>
          <wp:inline distT="0" distB="0" distL="0" distR="0" wp14:anchorId="6ED44189" wp14:editId="7489EF8F">
            <wp:extent cx="2513045" cy="617220"/>
            <wp:effectExtent l="0" t="0" r="1905" b="5080"/>
            <wp:docPr id="760566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66945" name="Picture 760566945"/>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2658332" cy="652903"/>
                    </a:xfrm>
                    <a:prstGeom prst="rect">
                      <a:avLst/>
                    </a:prstGeom>
                  </pic:spPr>
                </pic:pic>
              </a:graphicData>
            </a:graphic>
          </wp:inline>
        </w:drawing>
      </w:r>
    </w:p>
    <w:p w14:paraId="204D1BCA" w14:textId="77777777" w:rsidR="00836A5B" w:rsidRDefault="00836A5B">
      <w:pPr>
        <w:spacing w:after="600"/>
        <w:jc w:val="center"/>
        <w:rPr>
          <w:color w:val="4A5568"/>
          <w:sz w:val="20"/>
          <w:szCs w:val="20"/>
        </w:rPr>
      </w:pPr>
      <w:r>
        <w:rPr>
          <w:color w:val="4A5568"/>
          <w:sz w:val="20"/>
          <w:szCs w:val="20"/>
        </w:rPr>
        <w:t>Surface Dynamics Modeling Lab</w:t>
      </w:r>
    </w:p>
    <w:p w14:paraId="604546A6" w14:textId="5B7B327F" w:rsidR="00836A5B" w:rsidRDefault="00836A5B">
      <w:pPr>
        <w:spacing w:after="600"/>
        <w:jc w:val="center"/>
      </w:pPr>
      <w:r w:rsidRPr="00836A5B">
        <w:rPr>
          <w:noProof/>
        </w:rPr>
        <w:drawing>
          <wp:inline distT="0" distB="0" distL="0" distR="0" wp14:anchorId="7D58A63D" wp14:editId="1C1E2FEF">
            <wp:extent cx="2680996" cy="558541"/>
            <wp:effectExtent l="0" t="0" r="0" b="635"/>
            <wp:docPr id="10" name="Picture 9" descr="Map&#10;&#10;Description automatically generated">
              <a:extLst xmlns:a="http://schemas.openxmlformats.org/drawingml/2006/main">
                <a:ext uri="{FF2B5EF4-FFF2-40B4-BE49-F238E27FC236}">
                  <a16:creationId xmlns:a16="http://schemas.microsoft.com/office/drawing/2014/main" id="{ECD9819D-0F28-5241-DD98-14F590D52D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Map&#10;&#10;Description automatically generated">
                      <a:extLst>
                        <a:ext uri="{FF2B5EF4-FFF2-40B4-BE49-F238E27FC236}">
                          <a16:creationId xmlns:a16="http://schemas.microsoft.com/office/drawing/2014/main" id="{ECD9819D-0F28-5241-DD98-14F590D52DA1}"/>
                        </a:ext>
                      </a:extLst>
                    </pic:cNvPr>
                    <pic:cNvPicPr>
                      <a:picLocks noChangeAspect="1"/>
                    </pic:cNvPicPr>
                  </pic:nvPicPr>
                  <pic:blipFill>
                    <a:blip r:embed="rId10"/>
                    <a:stretch>
                      <a:fillRect/>
                    </a:stretch>
                  </pic:blipFill>
                  <pic:spPr>
                    <a:xfrm>
                      <a:off x="0" y="0"/>
                      <a:ext cx="2801399" cy="583625"/>
                    </a:xfrm>
                    <a:prstGeom prst="rect">
                      <a:avLst/>
                    </a:prstGeom>
                  </pic:spPr>
                </pic:pic>
              </a:graphicData>
            </a:graphic>
          </wp:inline>
        </w:drawing>
      </w:r>
      <w:r w:rsidRPr="00836A5B">
        <w:rPr>
          <w:noProof/>
        </w:rPr>
        <w:t xml:space="preserve"> </w:t>
      </w:r>
    </w:p>
    <w:p w14:paraId="0C4C135B" w14:textId="77777777" w:rsidR="00020336" w:rsidRDefault="00020336" w:rsidP="00020336">
      <w:pPr>
        <w:spacing w:after="600"/>
        <w:jc w:val="center"/>
        <w:rPr>
          <w:color w:val="4A5568"/>
          <w:sz w:val="20"/>
          <w:szCs w:val="20"/>
        </w:rPr>
      </w:pPr>
      <w:r>
        <w:rPr>
          <w:color w:val="4A5568"/>
          <w:sz w:val="20"/>
          <w:szCs w:val="20"/>
        </w:rPr>
        <w:t>Parvaneh Nikrou</w:t>
      </w:r>
    </w:p>
    <w:p w14:paraId="1DECA8AE" w14:textId="77777777" w:rsidR="00836A5B" w:rsidRDefault="00836A5B" w:rsidP="006049C0">
      <w:pPr>
        <w:pStyle w:val="Heading1"/>
        <w:pBdr>
          <w:bottom w:val="single" w:sz="4" w:space="5" w:color="2B6CB0"/>
        </w:pBdr>
      </w:pPr>
    </w:p>
    <w:p w14:paraId="4AB22E01" w14:textId="77777777" w:rsidR="00836A5B" w:rsidRDefault="00836A5B" w:rsidP="006049C0">
      <w:pPr>
        <w:pStyle w:val="Heading1"/>
        <w:pBdr>
          <w:bottom w:val="single" w:sz="4" w:space="5" w:color="2B6CB0"/>
        </w:pBdr>
      </w:pPr>
    </w:p>
    <w:p w14:paraId="5F0BCD2F" w14:textId="77777777" w:rsidR="00836A5B" w:rsidRDefault="00836A5B" w:rsidP="006049C0">
      <w:pPr>
        <w:pStyle w:val="Heading1"/>
        <w:pBdr>
          <w:bottom w:val="single" w:sz="4" w:space="5" w:color="2B6CB0"/>
        </w:pBdr>
      </w:pPr>
    </w:p>
    <w:p w14:paraId="317F4D6B" w14:textId="77777777" w:rsidR="00836A5B" w:rsidRDefault="00836A5B" w:rsidP="006049C0">
      <w:pPr>
        <w:pStyle w:val="Heading1"/>
        <w:pBdr>
          <w:bottom w:val="single" w:sz="4" w:space="5" w:color="2B6CB0"/>
        </w:pBdr>
      </w:pPr>
    </w:p>
    <w:p w14:paraId="48FB8331" w14:textId="77777777" w:rsidR="00322C51" w:rsidRDefault="00322C51" w:rsidP="006049C0">
      <w:pPr>
        <w:pStyle w:val="Heading1"/>
        <w:pBdr>
          <w:bottom w:val="single" w:sz="4" w:space="5" w:color="2B6CB0"/>
        </w:pBdr>
      </w:pPr>
    </w:p>
    <w:p w14:paraId="7C086C13" w14:textId="6CD52BBB" w:rsidR="00143815" w:rsidRDefault="00000000" w:rsidP="006049C0">
      <w:pPr>
        <w:pStyle w:val="Heading1"/>
        <w:pBdr>
          <w:bottom w:val="single" w:sz="4" w:space="5" w:color="2B6CB0"/>
        </w:pBdr>
      </w:pPr>
      <w:r>
        <w:lastRenderedPageBreak/>
        <w:t>Overview</w:t>
      </w:r>
    </w:p>
    <w:p w14:paraId="6A27146E" w14:textId="4653E30F" w:rsidR="00143815" w:rsidRDefault="00000000">
      <w:pPr>
        <w:spacing w:before="60" w:after="80"/>
      </w:pPr>
      <w:r>
        <w:t>FIMsim provides four standalone preprocessing modes for DEM, LULC, Flowline, and Streamflow Data.</w:t>
      </w:r>
    </w:p>
    <w:p w14:paraId="78479FA4" w14:textId="77777777" w:rsidR="00143815" w:rsidRDefault="001438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780"/>
      </w:tblGrid>
      <w:tr w:rsidR="00143815" w14:paraId="763491E0" w14:textId="77777777">
        <w:tblPrEx>
          <w:tblCellMar>
            <w:top w:w="0" w:type="dxa"/>
            <w:bottom w:w="0" w:type="dxa"/>
          </w:tblCellMar>
        </w:tblPrEx>
        <w:tc>
          <w:tcPr>
            <w:tcW w:w="4580" w:type="dxa"/>
            <w:tcBorders>
              <w:top w:val="single" w:sz="1" w:space="0" w:color="CBD5E0"/>
              <w:left w:val="single" w:sz="1" w:space="0" w:color="CBD5E0"/>
              <w:bottom w:val="single" w:sz="1" w:space="0" w:color="CBD5E0"/>
              <w:right w:val="single" w:sz="1" w:space="0" w:color="CBD5E0"/>
            </w:tcBorders>
            <w:shd w:val="clear" w:color="auto" w:fill="EAF7FF"/>
            <w:tcMar>
              <w:top w:w="80" w:type="dxa"/>
              <w:left w:w="120" w:type="dxa"/>
              <w:bottom w:w="80" w:type="dxa"/>
              <w:right w:w="120" w:type="dxa"/>
            </w:tcMar>
            <w:vAlign w:val="center"/>
          </w:tcPr>
          <w:p>
            <w:pPr>
              <w:spacing w:after="40"/>
            </w:pPr>
            <w:r>
              <w:rPr>
                <w:b/>
                <w:color w:val="1A3C5E"/>
                <w:sz w:val="24"/>
              </w:rPr>
              <w:t>DEM Mode</w:t>
              <w:br/>
            </w:r>
            <w:r>
              <w:rPr>
                <w:sz w:val="21"/>
              </w:rPr>
              <w:t>Download and process Digital Elevation Models for any Area of Interest (AOI).</w:t>
              <w:br/>
            </w:r>
            <w:r>
              <w:rPr>
                <w:color w:val="4A5568"/>
                <w:sz w:val="20"/>
              </w:rPr>
              <w:t>Output: DEM raster (.tif / .asc / .gpkg).</w:t>
            </w:r>
          </w:p>
        </w:tc>
        <w:tc>
          <w:tcPr>
            <w:tcW w:w="4780" w:type="dxa"/>
            <w:tcBorders>
              <w:top w:val="single" w:sz="1" w:space="0" w:color="CBD5E0"/>
              <w:left w:val="single" w:sz="1" w:space="0" w:color="CBD5E0"/>
              <w:bottom w:val="single" w:sz="1" w:space="0" w:color="CBD5E0"/>
              <w:right w:val="single" w:sz="1" w:space="0" w:color="CBD5E0"/>
            </w:tcBorders>
            <w:shd w:val="clear" w:color="auto" w:fill="E8FBF7"/>
            <w:tcMar>
              <w:top w:w="80" w:type="dxa"/>
              <w:left w:w="120" w:type="dxa"/>
              <w:bottom w:w="80" w:type="dxa"/>
              <w:right w:w="120" w:type="dxa"/>
            </w:tcMar>
            <w:vAlign w:val="center"/>
          </w:tcPr>
          <w:p>
            <w:pPr>
              <w:spacing w:after="40"/>
            </w:pPr>
            <w:r>
              <w:rPr>
                <w:b/>
                <w:color w:val="234E52"/>
                <w:sz w:val="24"/>
              </w:rPr>
              <w:t>LULC &amp; Manning Mode</w:t>
              <w:br/>
            </w:r>
            <w:r>
              <w:rPr>
                <w:sz w:val="21"/>
              </w:rPr>
              <w:t>Download land use/land cover data and assign Manning’s n roughness coefficients.</w:t>
              <w:br/>
            </w:r>
            <w:r>
              <w:rPr>
                <w:color w:val="4A5568"/>
                <w:sz w:val="20"/>
              </w:rPr>
              <w:t>Output: LULC raster and Manning’s n raster / table.</w:t>
            </w:r>
          </w:p>
        </w:tc>
      </w:tr>
      <w:tr>
        <w:tc>
          <w:tcPr>
            <w:tcW w:type="dxa" w:w="4580"/>
            <w:shd w:fill="EAF7FF"/>
            <w:tcMar>
              <w:left w:w="120" w:type="dxa"/>
              <w:right w:w="120" w:type="dxa"/>
              <w:top w:w="80" w:type="dxa"/>
              <w:bottom w:w="80" w:type="dxa"/>
            </w:tcMar>
            <w:vAlign w:val="center"/>
          </w:tcPr>
          <w:p>
            <w:pPr>
              <w:spacing w:after="40"/>
            </w:pPr>
            <w:r>
              <w:rPr>
                <w:b/>
                <w:color w:val="1A3C5E"/>
                <w:sz w:val="24"/>
              </w:rPr>
              <w:t>Flowline Mode</w:t>
              <w:br/>
            </w:r>
            <w:r>
              <w:rPr>
                <w:sz w:val="21"/>
              </w:rPr>
              <w:t>Download NHD river flowlines, identify the main river, save USGS gages, and export NWM feature IDs.</w:t>
              <w:br/>
            </w:r>
            <w:r>
              <w:rPr>
                <w:color w:val="4A5568"/>
                <w:sz w:val="20"/>
              </w:rPr>
              <w:t>Output: flowlines (.shp / .gpkg / .tif / .csv), gages CSV, feature IDs CSV.</w:t>
            </w:r>
          </w:p>
        </w:tc>
        <w:tc>
          <w:tcPr>
            <w:tcW w:type="dxa" w:w="4780"/>
            <w:shd w:fill="E8FBF7"/>
            <w:tcMar>
              <w:left w:w="120" w:type="dxa"/>
              <w:right w:w="120" w:type="dxa"/>
              <w:top w:w="80" w:type="dxa"/>
              <w:bottom w:w="80" w:type="dxa"/>
            </w:tcMar>
            <w:vAlign w:val="center"/>
          </w:tcPr>
          <w:p>
            <w:pPr>
              <w:spacing w:after="40"/>
            </w:pPr>
            <w:r>
              <w:rPr>
                <w:b/>
                <w:color w:val="234E52"/>
                <w:sz w:val="24"/>
              </w:rPr>
              <w:t>Streamflow Data Mode</w:t>
              <w:br/>
            </w:r>
            <w:r>
              <w:rPr>
                <w:sz w:val="21"/>
              </w:rPr>
              <w:t>Download discharge time series from NOAA NWM retrospective, NOAA NWM forecast, or USGS stream gages.</w:t>
              <w:br/>
            </w:r>
            <w:r>
              <w:rPr>
                <w:color w:val="4A5568"/>
                <w:sz w:val="20"/>
              </w:rPr>
              <w:t>Output: CSV files with time_hours and discharge_cms.</w:t>
            </w:r>
          </w:p>
        </w:tc>
      </w:tr>
    </w:tbl>
    <w:p w14:paraId="59CD4804" w14:textId="77777777" w:rsidR="00143815" w:rsidRDefault="00143815">
      <w:pPr>
        <w:spacing w:after="80"/>
      </w:pPr>
    </w:p>
    <w:p w14:paraId="3350B538" w14:textId="72675A58" w:rsidR="00143815" w:rsidRDefault="00000000">
      <w:pPr>
        <w:spacing w:before="60" w:after="80"/>
      </w:pPr>
      <w:r>
        <w:t>DEM, LULC, and Flowline modes support multiple AOIs. Streamflow Data Mode can be used independently by entering NWM feature IDs or USGS gage numbers. Results are saved inside a project folder you define at the start.</w:t>
      </w:r>
    </w:p>
    <w:p w14:paraId="4D20A317" w14:textId="5790F427" w:rsidR="006049C0" w:rsidRDefault="006049C0" w:rsidP="006049C0">
      <w:pPr>
        <w:pStyle w:val="Heading1"/>
        <w:pBdr>
          <w:bottom w:val="single" w:sz="4" w:space="4" w:color="2B6CB0"/>
        </w:pBdr>
      </w:pPr>
      <w:r>
        <w:t>Installation</w:t>
      </w:r>
    </w:p>
    <w:p w14:paraId="64C2DC65" w14:textId="77777777" w:rsidR="006049C0" w:rsidRPr="006049C0" w:rsidRDefault="006049C0" w:rsidP="006049C0">
      <w:pPr>
        <w:spacing w:before="100" w:beforeAutospacing="1" w:after="100" w:afterAutospacing="1"/>
        <w:rPr>
          <w:rFonts w:ascii="Times New Roman" w:eastAsia="Times New Roman" w:hAnsi="Times New Roman" w:cs="Times New Roman"/>
          <w:sz w:val="24"/>
          <w:szCs w:val="24"/>
        </w:rPr>
      </w:pPr>
      <w:r w:rsidRPr="006049C0">
        <w:rPr>
          <w:rFonts w:ascii="Times New Roman" w:eastAsia="Times New Roman" w:hAnsi="Times New Roman" w:cs="Times New Roman"/>
          <w:sz w:val="24"/>
          <w:szCs w:val="24"/>
        </w:rPr>
        <w:t>The installation is straightforward. You only need to install Anaconda first. Then, open Terminal on Mac or Anaconda Prompt on Windows and run these commands one by one:</w:t>
      </w:r>
    </w:p>
    <w:p w14:paraId="228DFAD1" w14:textId="77777777" w:rsidR="006049C0" w:rsidRPr="006049C0" w:rsidRDefault="006049C0" w:rsidP="0060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049C0">
        <w:rPr>
          <w:rFonts w:ascii="Courier New" w:eastAsia="Times New Roman" w:hAnsi="Courier New" w:cs="Courier New"/>
          <w:sz w:val="20"/>
          <w:szCs w:val="20"/>
        </w:rPr>
        <w:t>git clone https://github.com/pnikrou/FIMsim.git</w:t>
      </w:r>
    </w:p>
    <w:p w14:paraId="3BDBDB86" w14:textId="77777777" w:rsidR="006049C0" w:rsidRPr="006049C0" w:rsidRDefault="006049C0" w:rsidP="0060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049C0">
        <w:rPr>
          <w:rFonts w:ascii="Courier New" w:eastAsia="Times New Roman" w:hAnsi="Courier New" w:cs="Courier New"/>
          <w:sz w:val="20"/>
          <w:szCs w:val="20"/>
        </w:rPr>
        <w:t>cd FIMsim</w:t>
      </w:r>
    </w:p>
    <w:p w14:paraId="7C8174F9" w14:textId="77777777" w:rsidR="006049C0" w:rsidRPr="006049C0" w:rsidRDefault="006049C0" w:rsidP="0060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049C0">
        <w:rPr>
          <w:rFonts w:ascii="Courier New" w:eastAsia="Times New Roman" w:hAnsi="Courier New" w:cs="Courier New"/>
          <w:sz w:val="20"/>
          <w:szCs w:val="20"/>
        </w:rPr>
        <w:t>conda</w:t>
      </w:r>
      <w:proofErr w:type="spellEnd"/>
      <w:r w:rsidRPr="006049C0">
        <w:rPr>
          <w:rFonts w:ascii="Courier New" w:eastAsia="Times New Roman" w:hAnsi="Courier New" w:cs="Courier New"/>
          <w:sz w:val="20"/>
          <w:szCs w:val="20"/>
        </w:rPr>
        <w:t xml:space="preserve"> env create -f </w:t>
      </w:r>
      <w:proofErr w:type="spellStart"/>
      <w:r w:rsidRPr="006049C0">
        <w:rPr>
          <w:rFonts w:ascii="Courier New" w:eastAsia="Times New Roman" w:hAnsi="Courier New" w:cs="Courier New"/>
          <w:sz w:val="20"/>
          <w:szCs w:val="20"/>
        </w:rPr>
        <w:t>environment.yml</w:t>
      </w:r>
      <w:proofErr w:type="spellEnd"/>
    </w:p>
    <w:p w14:paraId="0D7177BC" w14:textId="77777777" w:rsidR="006049C0" w:rsidRPr="006049C0" w:rsidRDefault="006049C0" w:rsidP="0060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049C0">
        <w:rPr>
          <w:rFonts w:ascii="Courier New" w:eastAsia="Times New Roman" w:hAnsi="Courier New" w:cs="Courier New"/>
          <w:sz w:val="20"/>
          <w:szCs w:val="20"/>
        </w:rPr>
        <w:t>conda</w:t>
      </w:r>
      <w:proofErr w:type="spellEnd"/>
      <w:r w:rsidRPr="006049C0">
        <w:rPr>
          <w:rFonts w:ascii="Courier New" w:eastAsia="Times New Roman" w:hAnsi="Courier New" w:cs="Courier New"/>
          <w:sz w:val="20"/>
          <w:szCs w:val="20"/>
        </w:rPr>
        <w:t xml:space="preserve"> activate FIMsim</w:t>
      </w:r>
    </w:p>
    <w:p w14:paraId="550B23C3" w14:textId="77777777" w:rsidR="006049C0" w:rsidRPr="006049C0" w:rsidRDefault="006049C0" w:rsidP="0060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049C0">
        <w:rPr>
          <w:rFonts w:ascii="Courier New" w:eastAsia="Times New Roman" w:hAnsi="Courier New" w:cs="Courier New"/>
          <w:sz w:val="20"/>
          <w:szCs w:val="20"/>
        </w:rPr>
        <w:t>python main.py</w:t>
      </w:r>
    </w:p>
    <w:p w14:paraId="2767E016" w14:textId="77777777" w:rsidR="006049C0" w:rsidRPr="006049C0" w:rsidRDefault="006049C0" w:rsidP="006049C0">
      <w:pPr>
        <w:spacing w:before="100" w:beforeAutospacing="1" w:after="100" w:afterAutospacing="1"/>
        <w:rPr>
          <w:rFonts w:ascii="Times New Roman" w:eastAsia="Times New Roman" w:hAnsi="Times New Roman" w:cs="Times New Roman"/>
          <w:sz w:val="24"/>
          <w:szCs w:val="24"/>
        </w:rPr>
      </w:pPr>
      <w:r w:rsidRPr="006049C0">
        <w:rPr>
          <w:rFonts w:ascii="Times New Roman" w:eastAsia="Times New Roman" w:hAnsi="Times New Roman" w:cs="Times New Roman"/>
          <w:sz w:val="24"/>
          <w:szCs w:val="24"/>
        </w:rPr>
        <w:t>The first-time setup usually takes around 10 minutes because it needs to download the required packages. After that, whenever you want to open the app again, you can simply run:</w:t>
      </w:r>
    </w:p>
    <w:p w14:paraId="570C6337" w14:textId="77777777" w:rsidR="006049C0" w:rsidRPr="006049C0" w:rsidRDefault="006049C0" w:rsidP="0060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049C0">
        <w:rPr>
          <w:rFonts w:ascii="Courier New" w:eastAsia="Times New Roman" w:hAnsi="Courier New" w:cs="Courier New"/>
          <w:sz w:val="20"/>
          <w:szCs w:val="20"/>
        </w:rPr>
        <w:t>cd FIMsim</w:t>
      </w:r>
    </w:p>
    <w:p w14:paraId="114709CD" w14:textId="77777777" w:rsidR="006049C0" w:rsidRPr="006049C0" w:rsidRDefault="006049C0" w:rsidP="0060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049C0">
        <w:rPr>
          <w:rFonts w:ascii="Courier New" w:eastAsia="Times New Roman" w:hAnsi="Courier New" w:cs="Courier New"/>
          <w:sz w:val="20"/>
          <w:szCs w:val="20"/>
        </w:rPr>
        <w:t>conda</w:t>
      </w:r>
      <w:proofErr w:type="spellEnd"/>
      <w:r w:rsidRPr="006049C0">
        <w:rPr>
          <w:rFonts w:ascii="Courier New" w:eastAsia="Times New Roman" w:hAnsi="Courier New" w:cs="Courier New"/>
          <w:sz w:val="20"/>
          <w:szCs w:val="20"/>
        </w:rPr>
        <w:t xml:space="preserve"> activate FIMsim</w:t>
      </w:r>
    </w:p>
    <w:p w14:paraId="6D4FC8A0" w14:textId="77777777" w:rsidR="006049C0" w:rsidRPr="006049C0" w:rsidRDefault="006049C0" w:rsidP="0060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049C0">
        <w:rPr>
          <w:rFonts w:ascii="Courier New" w:eastAsia="Times New Roman" w:hAnsi="Courier New" w:cs="Courier New"/>
          <w:sz w:val="20"/>
          <w:szCs w:val="20"/>
        </w:rPr>
        <w:t>python main.py</w:t>
      </w:r>
    </w:p>
    <w:p w14:paraId="021CE06C" w14:textId="77777777" w:rsidR="00C926F8" w:rsidRDefault="00C926F8">
      <w:pPr>
        <w:pStyle w:val="Heading1"/>
        <w:pBdr>
          <w:bottom w:val="single" w:sz="4" w:space="4" w:color="2B6CB0"/>
        </w:pBdr>
        <w:rPr>
          <w:color w:val="4C94D8" w:themeColor="text2" w:themeTint="80"/>
        </w:rPr>
      </w:pPr>
    </w:p>
    <w:p w14:paraId="5801B482" w14:textId="77777777" w:rsidR="00C926F8" w:rsidRDefault="00C926F8">
      <w:pPr>
        <w:pStyle w:val="Heading1"/>
        <w:pBdr>
          <w:bottom w:val="single" w:sz="4" w:space="4" w:color="2B6CB0"/>
        </w:pBdr>
        <w:rPr>
          <w:color w:val="4C94D8" w:themeColor="text2" w:themeTint="80"/>
        </w:rPr>
      </w:pPr>
    </w:p>
    <w:p w14:paraId="68C09D31" w14:textId="77777777" w:rsidR="00C926F8" w:rsidRDefault="00C926F8">
      <w:pPr>
        <w:pStyle w:val="Heading1"/>
        <w:pBdr>
          <w:bottom w:val="single" w:sz="4" w:space="4" w:color="2B6CB0"/>
        </w:pBdr>
        <w:rPr>
          <w:color w:val="4C94D8" w:themeColor="text2" w:themeTint="80"/>
        </w:rPr>
      </w:pPr>
    </w:p>
    <w:p w14:paraId="0A3E10B7" w14:textId="77777777" w:rsidR="00C926F8" w:rsidRDefault="00C926F8">
      <w:pPr>
        <w:pStyle w:val="Heading1"/>
        <w:pBdr>
          <w:bottom w:val="single" w:sz="4" w:space="4" w:color="2B6CB0"/>
        </w:pBdr>
        <w:rPr>
          <w:color w:val="4C94D8" w:themeColor="text2" w:themeTint="80"/>
        </w:rPr>
      </w:pPr>
    </w:p>
    <w:p w14:paraId="39C6DD3A" w14:textId="77777777" w:rsidR="00C926F8" w:rsidRDefault="00C926F8">
      <w:pPr>
        <w:pStyle w:val="Heading1"/>
        <w:pBdr>
          <w:bottom w:val="single" w:sz="4" w:space="4" w:color="2B6CB0"/>
        </w:pBdr>
        <w:rPr>
          <w:color w:val="4C94D8" w:themeColor="text2" w:themeTint="80"/>
        </w:rPr>
      </w:pPr>
    </w:p>
    <w:p w14:paraId="54C13DE7" w14:textId="77777777" w:rsidR="00C926F8" w:rsidRDefault="00C926F8">
      <w:pPr>
        <w:pStyle w:val="Heading1"/>
        <w:pBdr>
          <w:bottom w:val="single" w:sz="4" w:space="4" w:color="2B6CB0"/>
        </w:pBdr>
        <w:rPr>
          <w:color w:val="4C94D8" w:themeColor="text2" w:themeTint="80"/>
        </w:rPr>
      </w:pPr>
    </w:p>
    <w:p w14:paraId="42522770" w14:textId="77777777" w:rsidR="00C926F8" w:rsidRDefault="00C926F8">
      <w:pPr>
        <w:pStyle w:val="Heading1"/>
        <w:pBdr>
          <w:bottom w:val="single" w:sz="4" w:space="4" w:color="2B6CB0"/>
        </w:pBdr>
        <w:rPr>
          <w:color w:val="4C94D8" w:themeColor="text2" w:themeTint="80"/>
        </w:rPr>
      </w:pPr>
    </w:p>
    <w:p w14:paraId="4D0154F1" w14:textId="77777777" w:rsidR="00C926F8" w:rsidRDefault="00C926F8">
      <w:pPr>
        <w:pStyle w:val="Heading1"/>
        <w:pBdr>
          <w:bottom w:val="single" w:sz="4" w:space="4" w:color="2B6CB0"/>
        </w:pBdr>
        <w:rPr>
          <w:color w:val="4C94D8" w:themeColor="text2" w:themeTint="80"/>
        </w:rPr>
      </w:pPr>
    </w:p>
    <w:p w14:paraId="3A44F12C" w14:textId="5284D58D" w:rsidR="00143815" w:rsidRPr="00863927" w:rsidRDefault="00000000">
      <w:pPr>
        <w:pStyle w:val="Heading1"/>
        <w:pBdr>
          <w:bottom w:val="single" w:sz="4" w:space="4" w:color="2B6CB0"/>
        </w:pBdr>
        <w:rPr>
          <w:color w:val="4C94D8" w:themeColor="text2" w:themeTint="80"/>
        </w:rPr>
      </w:pPr>
      <w:r w:rsidRPr="00863927">
        <w:rPr>
          <w:color w:val="4C94D8" w:themeColor="text2" w:themeTint="80"/>
        </w:rPr>
        <w:lastRenderedPageBreak/>
        <w:t>DEM Mode</w:t>
      </w:r>
    </w:p>
    <w:p w14:paraId="3BCEBB21" w14:textId="77777777" w:rsidR="00AE5BFB" w:rsidRPr="00AE5BFB" w:rsidRDefault="00AE5BFB">
      <w:pPr>
        <w:pStyle w:val="Heading2"/>
        <w:rPr>
          <w:b w:val="0"/>
          <w:bCs w:val="0"/>
          <w:color w:val="auto"/>
          <w:sz w:val="22"/>
          <w:szCs w:val="22"/>
        </w:rPr>
      </w:pPr>
      <w:r w:rsidRPr="00AE5BFB">
        <w:rPr>
          <w:b w:val="0"/>
          <w:bCs w:val="0"/>
          <w:color w:val="auto"/>
          <w:sz w:val="22"/>
          <w:szCs w:val="22"/>
        </w:rPr>
        <w:t>DEM Mode downloads and processes Digital Elevation Models for one or more Areas of Interest using USGS 3DEP data, including hydro-conditioned DEMs used for HAND-based flood inundation mapping.</w:t>
      </w:r>
    </w:p>
    <w:p w14:paraId="48084239" w14:textId="0EF3D8BE" w:rsidR="00143815" w:rsidRPr="00AE5BFB" w:rsidRDefault="00000000">
      <w:pPr>
        <w:pStyle w:val="Heading2"/>
        <w:rPr>
          <w:color w:val="000000" w:themeColor="text1"/>
        </w:rPr>
      </w:pPr>
      <w:r w:rsidRPr="00AE5BFB">
        <w:rPr>
          <w:color w:val="000000"/>
        </w:rPr>
        <w:t>Step 1 — Create or Open a Project</w:t>
      </w:r>
    </w:p>
    <w:p w14:paraId="7FE15999" w14:textId="77777777" w:rsidR="00143815" w:rsidRDefault="00000000">
      <w:pPr>
        <w:spacing w:before="60" w:after="80"/>
      </w:pPr>
      <w:r>
        <w:t>Every session starts with a project. The project folder stores all downloaded files and settings.</w:t>
      </w:r>
    </w:p>
    <w:p w14:paraId="03375213" w14:textId="61DAD4AA" w:rsidR="00143815" w:rsidRDefault="00000000">
      <w:pPr>
        <w:pStyle w:val="ListParagraph"/>
        <w:numPr>
          <w:ilvl w:val="0"/>
          <w:numId w:val="2"/>
        </w:numPr>
        <w:spacing w:before="40" w:after="40"/>
      </w:pPr>
      <w:r>
        <w:t xml:space="preserve"> Enter a Project Name</w:t>
      </w:r>
      <w:r w:rsidR="00AE5BFB">
        <w:t>.</w:t>
      </w:r>
    </w:p>
    <w:p w14:paraId="7C545061" w14:textId="77777777" w:rsidR="00143815" w:rsidRDefault="00000000">
      <w:pPr>
        <w:pStyle w:val="ListParagraph"/>
        <w:numPr>
          <w:ilvl w:val="0"/>
          <w:numId w:val="2"/>
        </w:numPr>
        <w:spacing w:before="40" w:after="40"/>
      </w:pPr>
      <w:r>
        <w:t xml:space="preserve"> Click Browse to choose where the project folder will be created.</w:t>
      </w:r>
    </w:p>
    <w:p w14:paraId="499CA342" w14:textId="231D75A5" w:rsidR="00143815" w:rsidRDefault="00000000">
      <w:pPr>
        <w:pStyle w:val="ListParagraph"/>
        <w:numPr>
          <w:ilvl w:val="0"/>
          <w:numId w:val="2"/>
        </w:numPr>
        <w:spacing w:before="40" w:after="40"/>
      </w:pPr>
      <w:r>
        <w:t xml:space="preserve"> Click Create Project. </w:t>
      </w:r>
    </w:p>
    <w:p w14:paraId="0F101E57" w14:textId="77777777" w:rsidR="00143815" w:rsidRPr="00AE5BFB" w:rsidRDefault="00000000">
      <w:pPr>
        <w:pStyle w:val="Heading2"/>
        <w:rPr>
          <w:color w:val="000000" w:themeColor="text1"/>
        </w:rPr>
      </w:pPr>
      <w:r w:rsidRPr="00AE5BFB">
        <w:rPr>
          <w:color w:val="000000"/>
        </w:rPr>
        <w:t>Step 2 — Define Area(s) of Interest (AOI)</w:t>
      </w:r>
    </w:p>
    <w:p w14:paraId="7868AA45" w14:textId="77777777" w:rsidR="00143815" w:rsidRDefault="00000000" w:rsidP="009408CE">
      <w:pPr>
        <w:spacing w:before="240" w:after="80" w:line="276" w:lineRule="auto"/>
      </w:pPr>
      <w:r>
        <w:t>An AOI is a polygon shapefile (.</w:t>
      </w:r>
      <w:proofErr w:type="spellStart"/>
      <w:r>
        <w:t>shp</w:t>
      </w:r>
      <w:proofErr w:type="spellEnd"/>
      <w:r>
        <w:t xml:space="preserve">) or </w:t>
      </w:r>
      <w:proofErr w:type="spellStart"/>
      <w:r>
        <w:t>GeoPackage</w:t>
      </w:r>
      <w:proofErr w:type="spellEnd"/>
      <w:r>
        <w:t xml:space="preserve"> (.</w:t>
      </w:r>
      <w:proofErr w:type="spellStart"/>
      <w:r>
        <w:t>gpkg</w:t>
      </w:r>
      <w:proofErr w:type="spellEnd"/>
      <w:r>
        <w:t>) that defines the study boundary.</w:t>
      </w:r>
    </w:p>
    <w:p w14:paraId="625921E2" w14:textId="1BAF46B8" w:rsidR="00143815" w:rsidRDefault="00000000" w:rsidP="009408CE">
      <w:pPr>
        <w:pStyle w:val="ListParagraph"/>
        <w:numPr>
          <w:ilvl w:val="0"/>
          <w:numId w:val="2"/>
        </w:numPr>
        <w:spacing w:before="40" w:after="40" w:line="360" w:lineRule="auto"/>
      </w:pPr>
      <w:r>
        <w:t xml:space="preserve"> Click </w:t>
      </w:r>
      <w:r w:rsidR="009408CE">
        <w:t>“</w:t>
      </w:r>
      <w:r w:rsidRPr="009408CE">
        <w:rPr>
          <w:b/>
          <w:bCs/>
        </w:rPr>
        <w:t>Browse</w:t>
      </w:r>
      <w:r w:rsidR="009408CE">
        <w:rPr>
          <w:b/>
          <w:bCs/>
        </w:rPr>
        <w:t>”</w:t>
      </w:r>
      <w:r>
        <w:t xml:space="preserve"> and select your AOI file.</w:t>
      </w:r>
      <w:r w:rsidR="00332A62" w:rsidRPr="00332A62">
        <w:t xml:space="preserve"> </w:t>
      </w:r>
      <w:r w:rsidR="00332A62">
        <w:t>The AOI file may contain one polygon feature or multiple polygon features.</w:t>
      </w:r>
    </w:p>
    <w:p w14:paraId="32D08AA7" w14:textId="713FB724" w:rsidR="00332A62" w:rsidRPr="00332A62" w:rsidRDefault="00332A62" w:rsidP="009408CE">
      <w:pPr>
        <w:pStyle w:val="ListParagraph"/>
        <w:numPr>
          <w:ilvl w:val="0"/>
          <w:numId w:val="2"/>
        </w:numPr>
        <w:spacing w:before="40" w:after="40" w:line="360" w:lineRule="auto"/>
      </w:pPr>
      <w:r>
        <w:t xml:space="preserve">After the file is loaded, the table will display all features included in the file. In the </w:t>
      </w:r>
      <w:r>
        <w:t>“</w:t>
      </w:r>
      <w:r w:rsidRPr="009408CE">
        <w:rPr>
          <w:rStyle w:val="Strong"/>
        </w:rPr>
        <w:t>Use</w:t>
      </w:r>
      <w:r>
        <w:t>”</w:t>
      </w:r>
      <w:r>
        <w:t xml:space="preserve"> column, check the box for each feature you want to process.</w:t>
      </w:r>
      <w:r>
        <w:t xml:space="preserve"> </w:t>
      </w:r>
      <w:r w:rsidRPr="00332A62">
        <w:t xml:space="preserve">To process every feature in the file, click </w:t>
      </w:r>
      <w:r>
        <w:t>“</w:t>
      </w:r>
      <w:r w:rsidRPr="009408CE">
        <w:rPr>
          <w:b/>
          <w:bCs/>
        </w:rPr>
        <w:t>Select all features</w:t>
      </w:r>
      <w:r>
        <w:t>”</w:t>
      </w:r>
      <w:r w:rsidRPr="00332A62">
        <w:t xml:space="preserve">. Otherwise, select features individually. </w:t>
      </w:r>
    </w:p>
    <w:p w14:paraId="6511CAB7" w14:textId="3EBDEC51" w:rsidR="00332A62" w:rsidRDefault="00332A62" w:rsidP="009408CE">
      <w:pPr>
        <w:pStyle w:val="ListParagraph"/>
        <w:numPr>
          <w:ilvl w:val="0"/>
          <w:numId w:val="2"/>
        </w:numPr>
        <w:spacing w:before="40" w:after="40" w:line="360" w:lineRule="auto"/>
      </w:pPr>
      <w:r w:rsidRPr="00332A62">
        <w:t xml:space="preserve">If you want to add AOIs from another file, click </w:t>
      </w:r>
      <w:r>
        <w:t>“</w:t>
      </w:r>
      <w:r w:rsidRPr="009408CE">
        <w:rPr>
          <w:b/>
          <w:bCs/>
        </w:rPr>
        <w:t>Add more AOIs</w:t>
      </w:r>
      <w:r>
        <w:t>”</w:t>
      </w:r>
      <w:r w:rsidRPr="00332A62">
        <w:t xml:space="preserve">, then click </w:t>
      </w:r>
      <w:r>
        <w:t>“</w:t>
      </w:r>
      <w:r w:rsidRPr="009408CE">
        <w:rPr>
          <w:b/>
          <w:bCs/>
        </w:rPr>
        <w:t>Browse</w:t>
      </w:r>
      <w:r>
        <w:t>”</w:t>
      </w:r>
      <w:r w:rsidRPr="00332A62">
        <w:t xml:space="preserve"> again and select the additional AOI file.</w:t>
      </w:r>
    </w:p>
    <w:p w14:paraId="0CAA6F97" w14:textId="784A4FD2" w:rsidR="009408CE" w:rsidRPr="009408CE" w:rsidRDefault="009408CE" w:rsidP="009408CE">
      <w:pPr>
        <w:pStyle w:val="ListParagraph"/>
        <w:numPr>
          <w:ilvl w:val="0"/>
          <w:numId w:val="2"/>
        </w:numPr>
        <w:spacing w:line="360" w:lineRule="auto"/>
      </w:pPr>
      <w:r w:rsidRPr="009408CE">
        <w:t xml:space="preserve">Once you have selected the desired AOI feature(s), click </w:t>
      </w:r>
      <w:r>
        <w:t>“</w:t>
      </w:r>
      <w:r w:rsidRPr="009408CE">
        <w:rPr>
          <w:b/>
          <w:bCs/>
        </w:rPr>
        <w:t>Add to confirmed AOIs</w:t>
      </w:r>
      <w:r>
        <w:t>”</w:t>
      </w:r>
      <w:r w:rsidRPr="009408CE">
        <w:t xml:space="preserve">. After an AOI is confirmed, a folder with the AOI name is automatically created inside the main project folder. All downloaded and processed data for that AOI will be saved in this folder. </w:t>
      </w:r>
    </w:p>
    <w:p w14:paraId="0187B4F9" w14:textId="2FA4BB95" w:rsidR="009408CE" w:rsidRPr="009408CE" w:rsidRDefault="009408CE" w:rsidP="009408CE">
      <w:pPr>
        <w:pStyle w:val="ListParagraph"/>
        <w:numPr>
          <w:ilvl w:val="0"/>
          <w:numId w:val="2"/>
        </w:numPr>
        <w:spacing w:line="360" w:lineRule="auto"/>
      </w:pPr>
      <w:r w:rsidRPr="009408CE">
        <w:t xml:space="preserve">After confirmation, the selected AOIs will appear in the Confirmed AOIs list. By clicking on each AOI, you can view a map preview of the selected area along with general information about it. </w:t>
      </w:r>
    </w:p>
    <w:p w14:paraId="6B9CCCB1" w14:textId="4363502F" w:rsidR="00322C51" w:rsidRPr="009408CE" w:rsidRDefault="009408CE" w:rsidP="009408CE">
      <w:pPr>
        <w:pStyle w:val="ListParagraph"/>
        <w:numPr>
          <w:ilvl w:val="0"/>
          <w:numId w:val="2"/>
        </w:numPr>
        <w:spacing w:after="80" w:line="360" w:lineRule="auto"/>
      </w:pPr>
      <w:r w:rsidRPr="009408CE">
        <w:t xml:space="preserve">Click </w:t>
      </w:r>
      <w:r>
        <w:t>“</w:t>
      </w:r>
      <w:r w:rsidRPr="009408CE">
        <w:rPr>
          <w:b/>
          <w:bCs/>
        </w:rPr>
        <w:t>Next step</w:t>
      </w:r>
      <w:r>
        <w:t>”</w:t>
      </w:r>
      <w:r w:rsidRPr="009408CE">
        <w:t xml:space="preserve"> at the bottom to continue.</w:t>
      </w:r>
    </w:p>
    <w:p w14:paraId="519644B9" w14:textId="1AEF5BAD" w:rsidR="00143815" w:rsidRPr="00AE5BFB" w:rsidRDefault="00000000">
      <w:pPr>
        <w:pStyle w:val="Heading2"/>
        <w:rPr>
          <w:color w:val="000000" w:themeColor="text1"/>
        </w:rPr>
      </w:pPr>
      <w:r w:rsidRPr="00AE5BFB">
        <w:rPr>
          <w:color w:val="000000"/>
        </w:rPr>
        <w:t>Step 3 — Configure DEM Settings</w:t>
      </w:r>
    </w:p>
    <w:p w14:paraId="0CD757B9" w14:textId="77777777" w:rsidR="00143815" w:rsidRDefault="00000000">
      <w:pPr>
        <w:spacing w:before="60" w:after="80"/>
      </w:pPr>
      <w:r>
        <w:t>For each AOI, choose the DEM source and output format:</w:t>
      </w:r>
    </w:p>
    <w:p w14:paraId="3C4CFC4B" w14:textId="77777777" w:rsidR="00143815" w:rsidRDefault="001438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143815" w14:paraId="1F31FD5B" w14:textId="77777777" w:rsidTr="00322C51">
        <w:tblPrEx>
          <w:tblCellMar>
            <w:top w:w="0" w:type="dxa"/>
            <w:bottom w:w="0" w:type="dxa"/>
          </w:tblCellMar>
        </w:tblPrEx>
        <w:tc>
          <w:tcPr>
            <w:tcW w:w="800" w:type="dxa"/>
            <w:tcBorders>
              <w:top w:val="single" w:sz="1" w:space="0" w:color="CBD5E0"/>
              <w:left w:val="single" w:sz="1" w:space="0" w:color="CBD5E0"/>
              <w:bottom w:val="single" w:sz="1" w:space="0" w:color="CBD5E0"/>
              <w:right w:val="single" w:sz="1" w:space="0" w:color="CBD5E0"/>
            </w:tcBorders>
            <w:tcMar>
              <w:top w:w="100" w:type="dxa"/>
              <w:left w:w="120" w:type="dxa"/>
              <w:bottom w:w="100" w:type="dxa"/>
              <w:right w:w="120" w:type="dxa"/>
            </w:tcMar>
            <w:vAlign w:val="center"/>
          </w:tcPr>
          <w:p w14:paraId="7077A9E7" w14:textId="77777777" w:rsidR="00143815" w:rsidRPr="00322C51" w:rsidRDefault="00000000" w:rsidP="00322C51">
            <w:pPr>
              <w:jc w:val="center"/>
              <w:rPr>
                <w:color w:val="000000" w:themeColor="text1"/>
              </w:rPr>
            </w:pPr>
            <w:r w:rsidRPr="00322C51">
              <w:rPr>
                <w:b/>
                <w:bCs/>
                <w:color w:val="000000" w:themeColor="text1"/>
                <w:sz w:val="24"/>
                <w:szCs w:val="24"/>
              </w:rPr>
              <w:t>1</w:t>
            </w:r>
          </w:p>
        </w:tc>
        <w:tc>
          <w:tcPr>
            <w:tcW w:w="2400" w:type="dxa"/>
            <w:tcBorders>
              <w:top w:val="single" w:sz="1" w:space="0" w:color="CBD5E0"/>
              <w:left w:val="single" w:sz="1" w:space="0" w:color="CBD5E0"/>
              <w:bottom w:val="single" w:sz="1" w:space="0" w:color="CBD5E0"/>
              <w:right w:val="single" w:sz="1" w:space="0" w:color="CBD5E0"/>
            </w:tcBorders>
            <w:tcMar>
              <w:top w:w="100" w:type="dxa"/>
              <w:left w:w="120" w:type="dxa"/>
              <w:bottom w:w="100" w:type="dxa"/>
              <w:right w:w="120" w:type="dxa"/>
            </w:tcMar>
            <w:vAlign w:val="center"/>
          </w:tcPr>
          <w:p w14:paraId="39BDE8E5" w14:textId="77777777" w:rsidR="00143815" w:rsidRPr="00322C51" w:rsidRDefault="00000000" w:rsidP="00322C51">
            <w:pPr>
              <w:rPr>
                <w:color w:val="000000" w:themeColor="text1"/>
              </w:rPr>
            </w:pPr>
            <w:r w:rsidRPr="00322C51">
              <w:rPr>
                <w:b/>
                <w:bCs/>
                <w:color w:val="000000" w:themeColor="text1"/>
              </w:rPr>
              <w:t>Source</w:t>
            </w:r>
          </w:p>
        </w:tc>
        <w:tc>
          <w:tcPr>
            <w:tcW w:w="6160" w:type="dxa"/>
            <w:tcBorders>
              <w:top w:val="single" w:sz="1" w:space="0" w:color="CBD5E0"/>
              <w:left w:val="single" w:sz="1" w:space="0" w:color="CBD5E0"/>
              <w:bottom w:val="single" w:sz="1" w:space="0" w:color="CBD5E0"/>
              <w:right w:val="single" w:sz="1" w:space="0" w:color="CBD5E0"/>
            </w:tcBorders>
            <w:tcMar>
              <w:top w:w="100" w:type="dxa"/>
              <w:left w:w="120" w:type="dxa"/>
              <w:bottom w:w="100" w:type="dxa"/>
              <w:right w:w="120" w:type="dxa"/>
            </w:tcMar>
            <w:vAlign w:val="center"/>
          </w:tcPr>
          <w:p w14:paraId="73CCAFCD" w14:textId="77777777" w:rsidR="00322C51" w:rsidRDefault="00000000" w:rsidP="00322C51">
            <w:r>
              <w:rPr>
                <w:b/>
              </w:rPr>
              <w:t xml:space="preserve">3DEP — USGS 3D Elevation Program. </w:t>
            </w:r>
          </w:p>
          <w:p w14:paraId="459C7B46" w14:textId="199EAC8B" w:rsidR="00143815" w:rsidRDefault="00322C51" w:rsidP="00322C51">
            <w:r>
              <w:rPr>
                <w:b/>
              </w:rPr>
              <w:t xml:space="preserve">HAND </w:t>
            </w:r>
            <w:r>
              <w:rPr>
                <w:b/>
              </w:rPr>
              <w:t>DEMs</w:t>
            </w:r>
            <w:r>
              <w:rPr>
                <w:b/>
              </w:rPr>
              <w:t>.</w:t>
            </w:r>
          </w:p>
        </w:tc>
      </w:tr>
      <w:tr w:rsidR="00143815" w14:paraId="070D1320" w14:textId="77777777" w:rsidTr="00322C51">
        <w:tblPrEx>
          <w:tblCellMar>
            <w:top w:w="0" w:type="dxa"/>
            <w:bottom w:w="0" w:type="dxa"/>
          </w:tblCellMar>
        </w:tblPrEx>
        <w:tc>
          <w:tcPr>
            <w:tcW w:w="800" w:type="dxa"/>
            <w:tcBorders>
              <w:top w:val="single" w:sz="1" w:space="0" w:color="CBD5E0"/>
              <w:left w:val="single" w:sz="1" w:space="0" w:color="CBD5E0"/>
              <w:bottom w:val="single" w:sz="1" w:space="0" w:color="CBD5E0"/>
              <w:right w:val="single" w:sz="1" w:space="0" w:color="CBD5E0"/>
            </w:tcBorders>
            <w:tcMar>
              <w:top w:w="100" w:type="dxa"/>
              <w:left w:w="120" w:type="dxa"/>
              <w:bottom w:w="100" w:type="dxa"/>
              <w:right w:w="120" w:type="dxa"/>
            </w:tcMar>
            <w:vAlign w:val="center"/>
          </w:tcPr>
          <w:p w14:paraId="5BD14620" w14:textId="77777777" w:rsidR="00143815" w:rsidRPr="00322C51" w:rsidRDefault="00000000" w:rsidP="00322C51">
            <w:pPr>
              <w:jc w:val="center"/>
              <w:rPr>
                <w:color w:val="000000" w:themeColor="text1"/>
              </w:rPr>
            </w:pPr>
            <w:r w:rsidRPr="00322C51">
              <w:rPr>
                <w:b/>
                <w:bCs/>
                <w:color w:val="000000" w:themeColor="text1"/>
                <w:sz w:val="24"/>
                <w:szCs w:val="24"/>
              </w:rPr>
              <w:t>2</w:t>
            </w:r>
          </w:p>
        </w:tc>
        <w:tc>
          <w:tcPr>
            <w:tcW w:w="2400" w:type="dxa"/>
            <w:tcBorders>
              <w:top w:val="single" w:sz="1" w:space="0" w:color="CBD5E0"/>
              <w:left w:val="single" w:sz="1" w:space="0" w:color="CBD5E0"/>
              <w:bottom w:val="single" w:sz="1" w:space="0" w:color="CBD5E0"/>
              <w:right w:val="single" w:sz="1" w:space="0" w:color="CBD5E0"/>
            </w:tcBorders>
            <w:tcMar>
              <w:top w:w="100" w:type="dxa"/>
              <w:left w:w="120" w:type="dxa"/>
              <w:bottom w:w="100" w:type="dxa"/>
              <w:right w:w="120" w:type="dxa"/>
            </w:tcMar>
            <w:vAlign w:val="center"/>
          </w:tcPr>
          <w:p w14:paraId="067C3111" w14:textId="77777777" w:rsidR="00143815" w:rsidRPr="00322C51" w:rsidRDefault="00000000" w:rsidP="00322C51">
            <w:pPr>
              <w:rPr>
                <w:color w:val="000000" w:themeColor="text1"/>
              </w:rPr>
            </w:pPr>
            <w:r w:rsidRPr="00322C51">
              <w:rPr>
                <w:b/>
                <w:bCs/>
                <w:color w:val="000000" w:themeColor="text1"/>
              </w:rPr>
              <w:t>Cell size</w:t>
            </w:r>
          </w:p>
        </w:tc>
        <w:tc>
          <w:tcPr>
            <w:tcW w:w="6160" w:type="dxa"/>
            <w:tcBorders>
              <w:top w:val="single" w:sz="1" w:space="0" w:color="CBD5E0"/>
              <w:left w:val="single" w:sz="1" w:space="0" w:color="CBD5E0"/>
              <w:bottom w:val="single" w:sz="1" w:space="0" w:color="CBD5E0"/>
              <w:right w:val="single" w:sz="1" w:space="0" w:color="CBD5E0"/>
            </w:tcBorders>
            <w:tcMar>
              <w:top w:w="100" w:type="dxa"/>
              <w:left w:w="120" w:type="dxa"/>
              <w:bottom w:w="100" w:type="dxa"/>
              <w:right w:w="120" w:type="dxa"/>
            </w:tcMar>
            <w:vAlign w:val="center"/>
          </w:tcPr>
          <w:p w14:paraId="0ABE2DCF" w14:textId="77777777" w:rsidR="00322C51" w:rsidRDefault="00000000" w:rsidP="00322C51">
            <w:r>
              <w:t xml:space="preserve">Output raster cell size in meters. Default is 10 m. </w:t>
            </w:r>
          </w:p>
          <w:p w14:paraId="6572FAD1" w14:textId="774E1D12" w:rsidR="00143815" w:rsidRDefault="00000000" w:rsidP="00322C51">
            <w:r>
              <w:t>Match this to your flood model’s required resolution.</w:t>
            </w:r>
          </w:p>
        </w:tc>
      </w:tr>
      <w:tr w:rsidR="00143815" w14:paraId="77991BE0" w14:textId="77777777" w:rsidTr="00322C51">
        <w:tblPrEx>
          <w:tblCellMar>
            <w:top w:w="0" w:type="dxa"/>
            <w:bottom w:w="0" w:type="dxa"/>
          </w:tblCellMar>
        </w:tblPrEx>
        <w:tc>
          <w:tcPr>
            <w:tcW w:w="800" w:type="dxa"/>
            <w:tcBorders>
              <w:top w:val="single" w:sz="1" w:space="0" w:color="CBD5E0"/>
              <w:left w:val="single" w:sz="1" w:space="0" w:color="CBD5E0"/>
              <w:bottom w:val="single" w:sz="1" w:space="0" w:color="CBD5E0"/>
              <w:right w:val="single" w:sz="1" w:space="0" w:color="CBD5E0"/>
            </w:tcBorders>
            <w:tcMar>
              <w:top w:w="100" w:type="dxa"/>
              <w:left w:w="120" w:type="dxa"/>
              <w:bottom w:w="100" w:type="dxa"/>
              <w:right w:w="120" w:type="dxa"/>
            </w:tcMar>
            <w:vAlign w:val="center"/>
          </w:tcPr>
          <w:p w14:paraId="1BA35505" w14:textId="77777777" w:rsidR="00143815" w:rsidRPr="00322C51" w:rsidRDefault="00000000" w:rsidP="00322C51">
            <w:pPr>
              <w:jc w:val="center"/>
              <w:rPr>
                <w:color w:val="000000" w:themeColor="text1"/>
              </w:rPr>
            </w:pPr>
            <w:r w:rsidRPr="00322C51">
              <w:rPr>
                <w:b/>
                <w:bCs/>
                <w:color w:val="000000" w:themeColor="text1"/>
                <w:sz w:val="24"/>
                <w:szCs w:val="24"/>
              </w:rPr>
              <w:t>3</w:t>
            </w:r>
          </w:p>
        </w:tc>
        <w:tc>
          <w:tcPr>
            <w:tcW w:w="2400" w:type="dxa"/>
            <w:tcBorders>
              <w:top w:val="single" w:sz="1" w:space="0" w:color="CBD5E0"/>
              <w:left w:val="single" w:sz="1" w:space="0" w:color="CBD5E0"/>
              <w:bottom w:val="single" w:sz="1" w:space="0" w:color="CBD5E0"/>
              <w:right w:val="single" w:sz="1" w:space="0" w:color="CBD5E0"/>
            </w:tcBorders>
            <w:tcMar>
              <w:top w:w="100" w:type="dxa"/>
              <w:left w:w="120" w:type="dxa"/>
              <w:bottom w:w="100" w:type="dxa"/>
              <w:right w:w="120" w:type="dxa"/>
            </w:tcMar>
            <w:vAlign w:val="center"/>
          </w:tcPr>
          <w:p w14:paraId="6401629A" w14:textId="77777777" w:rsidR="00143815" w:rsidRPr="00322C51" w:rsidRDefault="00000000" w:rsidP="00322C51">
            <w:pPr>
              <w:rPr>
                <w:color w:val="000000" w:themeColor="text1"/>
              </w:rPr>
            </w:pPr>
            <w:r w:rsidRPr="00322C51">
              <w:rPr>
                <w:b/>
                <w:bCs/>
                <w:color w:val="000000" w:themeColor="text1"/>
              </w:rPr>
              <w:t>Output format</w:t>
            </w:r>
          </w:p>
        </w:tc>
        <w:tc>
          <w:tcPr>
            <w:tcW w:w="6160" w:type="dxa"/>
            <w:tcBorders>
              <w:top w:val="single" w:sz="1" w:space="0" w:color="CBD5E0"/>
              <w:left w:val="single" w:sz="1" w:space="0" w:color="CBD5E0"/>
              <w:bottom w:val="single" w:sz="1" w:space="0" w:color="CBD5E0"/>
              <w:right w:val="single" w:sz="1" w:space="0" w:color="CBD5E0"/>
            </w:tcBorders>
            <w:tcMar>
              <w:top w:w="100" w:type="dxa"/>
              <w:left w:w="120" w:type="dxa"/>
              <w:bottom w:w="100" w:type="dxa"/>
              <w:right w:w="120" w:type="dxa"/>
            </w:tcMar>
            <w:vAlign w:val="center"/>
          </w:tcPr>
          <w:p w14:paraId="24309A38" w14:textId="10678AFE" w:rsidR="00143815" w:rsidRDefault="00000000" w:rsidP="00322C51">
            <w:proofErr w:type="spellStart"/>
            <w:r>
              <w:t>GeoTIFF</w:t>
            </w:r>
            <w:proofErr w:type="spellEnd"/>
            <w:r>
              <w:t xml:space="preserve"> (.</w:t>
            </w:r>
            <w:proofErr w:type="spellStart"/>
            <w:r>
              <w:t>tif</w:t>
            </w:r>
            <w:proofErr w:type="spellEnd"/>
            <w:r>
              <w:t>)</w:t>
            </w:r>
            <w:r w:rsidR="00322C51">
              <w:t>,</w:t>
            </w:r>
            <w:r>
              <w:t xml:space="preserve"> </w:t>
            </w:r>
            <w:proofErr w:type="spellStart"/>
            <w:r>
              <w:t>GeoPackage</w:t>
            </w:r>
            <w:proofErr w:type="spellEnd"/>
            <w:r>
              <w:t xml:space="preserve"> (.</w:t>
            </w:r>
            <w:proofErr w:type="spellStart"/>
            <w:r>
              <w:t>gpkg</w:t>
            </w:r>
            <w:proofErr w:type="spellEnd"/>
            <w:r>
              <w:t>)</w:t>
            </w:r>
            <w:r w:rsidR="00322C51">
              <w:t xml:space="preserve">, </w:t>
            </w:r>
            <w:r>
              <w:t>ASCII Grid (.</w:t>
            </w:r>
            <w:proofErr w:type="spellStart"/>
            <w:r>
              <w:t>asc</w:t>
            </w:r>
            <w:proofErr w:type="spellEnd"/>
            <w:r>
              <w:t>)</w:t>
            </w:r>
            <w:r w:rsidR="00322C51">
              <w:t>.</w:t>
            </w:r>
          </w:p>
        </w:tc>
      </w:tr>
    </w:tbl>
    <w:p w14:paraId="238D9113" w14:textId="77777777" w:rsidR="00143815" w:rsidRDefault="00143815">
      <w:pPr>
        <w:spacing w:after="80"/>
      </w:pPr>
    </w:p>
    <w:p w14:paraId="09035A5A" w14:textId="77777777" w:rsidR="00143815" w:rsidRDefault="00000000">
      <w:pPr>
        <w:spacing w:before="60" w:after="80"/>
      </w:pPr>
      <w:r>
        <w:t>For multiple AOIs, each AOI gets its own settings card. Use Apply current AOI’s settings to all to copy settings across all AOIs at once.</w:t>
      </w:r>
    </w:p>
    <w:p w14:paraId="60ADD701" w14:textId="77777777" w:rsidR="00143815" w:rsidRPr="00332A62" w:rsidRDefault="00000000">
      <w:pPr>
        <w:pStyle w:val="Heading2"/>
        <w:rPr>
          <w:color w:val="000000" w:themeColor="text1"/>
        </w:rPr>
      </w:pPr>
      <w:r w:rsidRPr="00332A62">
        <w:rPr>
          <w:color w:val="000000"/>
        </w:rPr>
        <w:lastRenderedPageBreak/>
        <w:t>Step 4 — Run</w:t>
      </w:r>
    </w:p>
    <w:p w14:paraId="081E36EE" w14:textId="49E67B31" w:rsidR="00143815" w:rsidRDefault="00000000">
      <w:pPr>
        <w:pStyle w:val="ListParagraph"/>
        <w:numPr>
          <w:ilvl w:val="0"/>
          <w:numId w:val="2"/>
        </w:numPr>
        <w:spacing w:before="40" w:after="40"/>
      </w:pPr>
      <w:r>
        <w:t xml:space="preserve"> Click </w:t>
      </w:r>
      <w:r w:rsidR="006049C0">
        <w:t>“</w:t>
      </w:r>
      <w:r w:rsidR="00332A62" w:rsidRPr="006049C0">
        <w:rPr>
          <w:b/>
          <w:bCs/>
        </w:rPr>
        <w:t>Run</w:t>
      </w:r>
      <w:r w:rsidR="006049C0">
        <w:rPr>
          <w:b/>
          <w:bCs/>
        </w:rPr>
        <w:t>”</w:t>
      </w:r>
      <w:r>
        <w:t>.</w:t>
      </w:r>
    </w:p>
    <w:p w14:paraId="0A2DFBB7" w14:textId="440A9AF1" w:rsidR="00143815" w:rsidRDefault="00000000">
      <w:pPr>
        <w:pStyle w:val="ListParagraph"/>
        <w:numPr>
          <w:ilvl w:val="0"/>
          <w:numId w:val="2"/>
        </w:numPr>
        <w:spacing w:before="40" w:after="40"/>
      </w:pPr>
      <w:r>
        <w:t xml:space="preserve"> Progress is shown in the log panel at the bottom. </w:t>
      </w:r>
    </w:p>
    <w:p w14:paraId="211E5840" w14:textId="77777777" w:rsidR="00143815" w:rsidRDefault="00000000">
      <w:pPr>
        <w:pStyle w:val="ListParagraph"/>
        <w:numPr>
          <w:ilvl w:val="0"/>
          <w:numId w:val="2"/>
        </w:numPr>
        <w:spacing w:before="40" w:after="40"/>
      </w:pPr>
      <w:r>
        <w:t xml:space="preserve"> When complete, a results list appears. Click any AOI name to see the DEM preview and elevation statistics.</w:t>
      </w:r>
    </w:p>
    <w:p w14:paraId="5CAB2C3A" w14:textId="2DCC8B55" w:rsidR="00EB20C0" w:rsidRDefault="00EB20C0">
      <w:pPr>
        <w:pStyle w:val="ListParagraph"/>
        <w:numPr>
          <w:ilvl w:val="0"/>
          <w:numId w:val="2"/>
        </w:numPr>
        <w:spacing w:before="40" w:after="40"/>
      </w:pPr>
      <w:r w:rsidRPr="00EB20C0">
        <w:t>The DEM file is saved at: &lt;project&gt;/&lt;AOI name&gt;/dem/</w:t>
      </w:r>
      <w:proofErr w:type="spellStart"/>
      <w:r w:rsidRPr="00EB20C0">
        <w:t>dem.tif</w:t>
      </w:r>
      <w:proofErr w:type="spellEnd"/>
      <w:r w:rsidRPr="00EB20C0">
        <w:t xml:space="preserve"> (or .</w:t>
      </w:r>
      <w:proofErr w:type="spellStart"/>
      <w:r w:rsidRPr="00EB20C0">
        <w:t>asc</w:t>
      </w:r>
      <w:proofErr w:type="spellEnd"/>
      <w:r w:rsidRPr="00EB20C0">
        <w:t xml:space="preserve"> </w:t>
      </w:r>
      <w:proofErr w:type="gramStart"/>
      <w:r w:rsidRPr="00EB20C0">
        <w:t>/ .</w:t>
      </w:r>
      <w:proofErr w:type="spellStart"/>
      <w:r w:rsidRPr="00EB20C0">
        <w:t>gpkg</w:t>
      </w:r>
      <w:proofErr w:type="spellEnd"/>
      <w:proofErr w:type="gramEnd"/>
      <w:r w:rsidRPr="00EB20C0">
        <w:t xml:space="preserve"> depending on your format choice).</w:t>
      </w:r>
    </w:p>
    <w:p w14:paraId="242C4EA4" w14:textId="77777777" w:rsidR="00143815" w:rsidRDefault="00143815">
      <w:pPr>
        <w:spacing w:after="80"/>
      </w:pPr>
    </w:p>
    <w:p w14:paraId="60AC59D2" w14:textId="77777777" w:rsidR="00C926F8" w:rsidRDefault="00C926F8">
      <w:pPr>
        <w:pStyle w:val="Heading1"/>
        <w:pBdr>
          <w:bottom w:val="single" w:sz="4" w:space="4" w:color="2B6CB0"/>
        </w:pBdr>
        <w:rPr>
          <w:color w:val="4C94D8" w:themeColor="text2" w:themeTint="80"/>
        </w:rPr>
      </w:pPr>
    </w:p>
    <w:p w14:paraId="1ECAFBB5" w14:textId="77777777" w:rsidR="00C926F8" w:rsidRDefault="00C926F8">
      <w:pPr>
        <w:pStyle w:val="Heading1"/>
        <w:pBdr>
          <w:bottom w:val="single" w:sz="4" w:space="4" w:color="2B6CB0"/>
        </w:pBdr>
        <w:rPr>
          <w:color w:val="4C94D8" w:themeColor="text2" w:themeTint="80"/>
        </w:rPr>
      </w:pPr>
    </w:p>
    <w:p w14:paraId="335EB723" w14:textId="77777777" w:rsidR="00C926F8" w:rsidRDefault="00C926F8">
      <w:pPr>
        <w:pStyle w:val="Heading1"/>
        <w:pBdr>
          <w:bottom w:val="single" w:sz="4" w:space="4" w:color="2B6CB0"/>
        </w:pBdr>
        <w:rPr>
          <w:color w:val="4C94D8" w:themeColor="text2" w:themeTint="80"/>
        </w:rPr>
      </w:pPr>
    </w:p>
    <w:p w14:paraId="68A9E3B1" w14:textId="77777777" w:rsidR="00C926F8" w:rsidRDefault="00C926F8">
      <w:pPr>
        <w:pStyle w:val="Heading1"/>
        <w:pBdr>
          <w:bottom w:val="single" w:sz="4" w:space="4" w:color="2B6CB0"/>
        </w:pBdr>
        <w:rPr>
          <w:color w:val="4C94D8" w:themeColor="text2" w:themeTint="80"/>
        </w:rPr>
      </w:pPr>
    </w:p>
    <w:p w14:paraId="4A0735D1" w14:textId="77777777" w:rsidR="00C926F8" w:rsidRDefault="00C926F8">
      <w:pPr>
        <w:pStyle w:val="Heading1"/>
        <w:pBdr>
          <w:bottom w:val="single" w:sz="4" w:space="4" w:color="2B6CB0"/>
        </w:pBdr>
        <w:rPr>
          <w:color w:val="4C94D8" w:themeColor="text2" w:themeTint="80"/>
        </w:rPr>
      </w:pPr>
    </w:p>
    <w:p w14:paraId="04253B1B" w14:textId="77777777" w:rsidR="00C926F8" w:rsidRDefault="00C926F8">
      <w:pPr>
        <w:pStyle w:val="Heading1"/>
        <w:pBdr>
          <w:bottom w:val="single" w:sz="4" w:space="4" w:color="2B6CB0"/>
        </w:pBdr>
        <w:rPr>
          <w:color w:val="4C94D8" w:themeColor="text2" w:themeTint="80"/>
        </w:rPr>
      </w:pPr>
    </w:p>
    <w:p w14:paraId="2E320520" w14:textId="77777777" w:rsidR="00C926F8" w:rsidRDefault="00C926F8">
      <w:pPr>
        <w:pStyle w:val="Heading1"/>
        <w:pBdr>
          <w:bottom w:val="single" w:sz="4" w:space="4" w:color="2B6CB0"/>
        </w:pBdr>
        <w:rPr>
          <w:color w:val="4C94D8" w:themeColor="text2" w:themeTint="80"/>
        </w:rPr>
      </w:pPr>
    </w:p>
    <w:p w14:paraId="7B6FD6BF" w14:textId="77777777" w:rsidR="00C926F8" w:rsidRDefault="00C926F8">
      <w:pPr>
        <w:pStyle w:val="Heading1"/>
        <w:pBdr>
          <w:bottom w:val="single" w:sz="4" w:space="4" w:color="2B6CB0"/>
        </w:pBdr>
        <w:rPr>
          <w:color w:val="4C94D8" w:themeColor="text2" w:themeTint="80"/>
        </w:rPr>
      </w:pPr>
    </w:p>
    <w:p w14:paraId="4B954804" w14:textId="77777777" w:rsidR="00C926F8" w:rsidRDefault="00C926F8">
      <w:pPr>
        <w:pStyle w:val="Heading1"/>
        <w:pBdr>
          <w:bottom w:val="single" w:sz="4" w:space="4" w:color="2B6CB0"/>
        </w:pBdr>
        <w:rPr>
          <w:color w:val="4C94D8" w:themeColor="text2" w:themeTint="80"/>
        </w:rPr>
      </w:pPr>
    </w:p>
    <w:p w14:paraId="37305DFA" w14:textId="77777777" w:rsidR="00C926F8" w:rsidRDefault="00C926F8">
      <w:pPr>
        <w:pStyle w:val="Heading1"/>
        <w:pBdr>
          <w:bottom w:val="single" w:sz="4" w:space="4" w:color="2B6CB0"/>
        </w:pBdr>
        <w:rPr>
          <w:color w:val="4C94D8" w:themeColor="text2" w:themeTint="80"/>
        </w:rPr>
      </w:pPr>
    </w:p>
    <w:p w14:paraId="5DCD3E26" w14:textId="77777777" w:rsidR="00C926F8" w:rsidRDefault="00C926F8">
      <w:pPr>
        <w:pStyle w:val="Heading1"/>
        <w:pBdr>
          <w:bottom w:val="single" w:sz="4" w:space="4" w:color="2B6CB0"/>
        </w:pBdr>
        <w:rPr>
          <w:color w:val="4C94D8" w:themeColor="text2" w:themeTint="80"/>
        </w:rPr>
      </w:pPr>
    </w:p>
    <w:p w14:paraId="20335B55" w14:textId="77777777" w:rsidR="00C926F8" w:rsidRDefault="00C926F8">
      <w:pPr>
        <w:pStyle w:val="Heading1"/>
        <w:pBdr>
          <w:bottom w:val="single" w:sz="4" w:space="4" w:color="2B6CB0"/>
        </w:pBdr>
        <w:rPr>
          <w:color w:val="4C94D8" w:themeColor="text2" w:themeTint="80"/>
        </w:rPr>
      </w:pPr>
    </w:p>
    <w:p w14:paraId="52E0E790" w14:textId="77777777" w:rsidR="00C926F8" w:rsidRDefault="00C926F8">
      <w:pPr>
        <w:pStyle w:val="Heading1"/>
        <w:pBdr>
          <w:bottom w:val="single" w:sz="4" w:space="4" w:color="2B6CB0"/>
        </w:pBdr>
        <w:rPr>
          <w:color w:val="4C94D8" w:themeColor="text2" w:themeTint="80"/>
        </w:rPr>
      </w:pPr>
    </w:p>
    <w:p w14:paraId="0C44D999" w14:textId="77777777" w:rsidR="00C926F8" w:rsidRDefault="00C926F8">
      <w:pPr>
        <w:pStyle w:val="Heading1"/>
        <w:pBdr>
          <w:bottom w:val="single" w:sz="4" w:space="4" w:color="2B6CB0"/>
        </w:pBdr>
        <w:rPr>
          <w:color w:val="4C94D8" w:themeColor="text2" w:themeTint="80"/>
        </w:rPr>
      </w:pPr>
    </w:p>
    <w:p w14:paraId="1E74ABC3" w14:textId="77777777" w:rsidR="00C926F8" w:rsidRDefault="00C926F8">
      <w:pPr>
        <w:pStyle w:val="Heading1"/>
        <w:pBdr>
          <w:bottom w:val="single" w:sz="4" w:space="4" w:color="2B6CB0"/>
        </w:pBdr>
        <w:rPr>
          <w:color w:val="4C94D8" w:themeColor="text2" w:themeTint="80"/>
        </w:rPr>
      </w:pPr>
    </w:p>
    <w:p w14:paraId="5454672A" w14:textId="77777777" w:rsidR="00C926F8" w:rsidRDefault="00C926F8">
      <w:pPr>
        <w:pStyle w:val="Heading1"/>
        <w:pBdr>
          <w:bottom w:val="single" w:sz="4" w:space="4" w:color="2B6CB0"/>
        </w:pBdr>
        <w:rPr>
          <w:color w:val="4C94D8" w:themeColor="text2" w:themeTint="80"/>
        </w:rPr>
      </w:pPr>
    </w:p>
    <w:p w14:paraId="293D1076" w14:textId="77777777" w:rsidR="00C926F8" w:rsidRDefault="00C926F8">
      <w:pPr>
        <w:pStyle w:val="Heading1"/>
        <w:pBdr>
          <w:bottom w:val="single" w:sz="4" w:space="4" w:color="2B6CB0"/>
        </w:pBdr>
        <w:rPr>
          <w:color w:val="4C94D8" w:themeColor="text2" w:themeTint="80"/>
        </w:rPr>
      </w:pPr>
    </w:p>
    <w:p w14:paraId="62DFA979" w14:textId="4506998A" w:rsidR="00143815" w:rsidRPr="00EB20C0" w:rsidRDefault="00000000">
      <w:pPr>
        <w:pStyle w:val="Heading1"/>
        <w:pBdr>
          <w:bottom w:val="single" w:sz="4" w:space="4" w:color="2B6CB0"/>
        </w:pBdr>
        <w:rPr>
          <w:color w:val="4C94D8" w:themeColor="text2" w:themeTint="80"/>
        </w:rPr>
      </w:pPr>
      <w:r w:rsidRPr="00EB20C0">
        <w:rPr>
          <w:color w:val="4C94D8" w:themeColor="text2" w:themeTint="80"/>
        </w:rPr>
        <w:lastRenderedPageBreak/>
        <w:t>LULC &amp; Manning’s n Mode</w:t>
      </w:r>
    </w:p>
    <w:p w14:paraId="39756238" w14:textId="77777777" w:rsidR="00143815" w:rsidRDefault="00000000">
      <w:pPr>
        <w:spacing w:before="60" w:after="80"/>
      </w:pPr>
      <w:r>
        <w:t>LULC Mode downloads land use / land cover data and derives Manning’s n hydraulic roughness coefficients for each AOI.</w:t>
      </w:r>
    </w:p>
    <w:p w14:paraId="6745E152" w14:textId="77777777" w:rsidR="00143815" w:rsidRPr="00C926F8" w:rsidRDefault="00000000">
      <w:pPr>
        <w:pStyle w:val="Heading2"/>
        <w:rPr>
          <w:color w:val="000000" w:themeColor="text1"/>
        </w:rPr>
      </w:pPr>
      <w:r w:rsidRPr="00C926F8">
        <w:rPr>
          <w:color w:val="000000"/>
        </w:rPr>
        <w:t>Steps 1–2 — Project and AOI</w:t>
      </w:r>
    </w:p>
    <w:p w14:paraId="7EE204F7" w14:textId="4974029A" w:rsidR="00143815" w:rsidRDefault="00000000">
      <w:pPr>
        <w:spacing w:before="60" w:after="80"/>
      </w:pPr>
      <w:r>
        <w:t xml:space="preserve">Follow the same steps as DEM Mode (see above). The project and AOI setup </w:t>
      </w:r>
      <w:r w:rsidR="00C926F8">
        <w:t>are</w:t>
      </w:r>
      <w:r>
        <w:t xml:space="preserve"> identical.</w:t>
      </w:r>
    </w:p>
    <w:p w14:paraId="3FE57370" w14:textId="77777777" w:rsidR="00143815" w:rsidRPr="00C926F8" w:rsidRDefault="00000000">
      <w:pPr>
        <w:pStyle w:val="Heading2"/>
        <w:rPr>
          <w:color w:val="000000" w:themeColor="text1"/>
        </w:rPr>
      </w:pPr>
      <w:r w:rsidRPr="00C926F8">
        <w:rPr>
          <w:color w:val="000000"/>
        </w:rPr>
        <w:t>Step 3 — Configure Manning’s n Settings</w:t>
      </w:r>
    </w:p>
    <w:p w14:paraId="608A6554" w14:textId="77777777" w:rsidR="00143815" w:rsidRDefault="00000000">
      <w:pPr>
        <w:spacing w:before="60" w:after="80"/>
      </w:pPr>
      <w:r>
        <w:t>Choose how Manning’s n is assigned across the AOI:</w:t>
      </w:r>
    </w:p>
    <w:p w14:paraId="385E38F5" w14:textId="77777777" w:rsidR="00143815" w:rsidRDefault="001438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43815" w:rsidRPr="00C926F8" w14:paraId="0D62284E" w14:textId="77777777" w:rsidTr="00C926F8">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tcMar>
              <w:top w:w="120" w:type="dxa"/>
              <w:left w:w="160" w:type="dxa"/>
              <w:bottom w:w="120" w:type="dxa"/>
              <w:right w:w="160" w:type="dxa"/>
            </w:tcMar>
            <w:vAlign w:val="center"/>
          </w:tcPr>
          <w:p w14:paraId="11BBE8FF" w14:textId="77777777" w:rsidR="00143815" w:rsidRPr="00C926F8" w:rsidRDefault="00000000">
            <w:pPr>
              <w:jc w:val="center"/>
              <w:rPr>
                <w:color w:val="000000" w:themeColor="text1"/>
              </w:rPr>
            </w:pPr>
            <w:r w:rsidRPr="00C926F8">
              <w:rPr>
                <w:b/>
                <w:bCs/>
                <w:color w:val="000000" w:themeColor="text1"/>
              </w:rPr>
              <w:t>Fixed (Uniform)</w:t>
            </w:r>
          </w:p>
        </w:tc>
        <w:tc>
          <w:tcPr>
            <w:tcW w:w="7160" w:type="dxa"/>
            <w:tcBorders>
              <w:top w:val="single" w:sz="1" w:space="0" w:color="CBD5E0"/>
              <w:left w:val="single" w:sz="1" w:space="0" w:color="CBD5E0"/>
              <w:bottom w:val="single" w:sz="1" w:space="0" w:color="CBD5E0"/>
              <w:right w:val="single" w:sz="1" w:space="0" w:color="CBD5E0"/>
            </w:tcBorders>
            <w:tcMar>
              <w:top w:w="120" w:type="dxa"/>
              <w:left w:w="160" w:type="dxa"/>
              <w:bottom w:w="120" w:type="dxa"/>
              <w:right w:w="160" w:type="dxa"/>
            </w:tcMar>
          </w:tcPr>
          <w:p w14:paraId="70E637E1" w14:textId="77777777" w:rsidR="00143815" w:rsidRPr="00C926F8" w:rsidRDefault="00000000">
            <w:pPr>
              <w:spacing w:after="40"/>
              <w:rPr>
                <w:color w:val="000000" w:themeColor="text1"/>
              </w:rPr>
            </w:pPr>
            <w:r w:rsidRPr="00C926F8">
              <w:rPr>
                <w:b/>
                <w:color w:val="000000" w:themeColor="text1"/>
              </w:rPr>
              <w:t>A single Manning’s n value is applied uniformly across the entire AOI.</w:t>
            </w:r>
          </w:p>
          <w:p w14:paraId="4AFAAA40" w14:textId="77777777" w:rsidR="00143815" w:rsidRPr="00C926F8" w:rsidRDefault="00000000">
            <w:pPr>
              <w:rPr>
                <w:color w:val="000000" w:themeColor="text1"/>
              </w:rPr>
            </w:pPr>
            <w:r w:rsidRPr="00C926F8">
              <w:rPr>
                <w:b/>
                <w:i/>
                <w:iCs/>
                <w:color w:val="000000" w:themeColor="text1"/>
                <w:sz w:val="21"/>
                <w:szCs w:val="21"/>
              </w:rPr>
              <w:t>Use this for simple simulations or when land cover variability is not critical. No LULC download is required.</w:t>
            </w:r>
          </w:p>
        </w:tc>
      </w:tr>
      <w:tr w:rsidR="00143815" w:rsidRPr="00C926F8" w14:paraId="6BF52056" w14:textId="77777777" w:rsidTr="00C926F8">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tcMar>
              <w:top w:w="120" w:type="dxa"/>
              <w:left w:w="160" w:type="dxa"/>
              <w:bottom w:w="120" w:type="dxa"/>
              <w:right w:w="160" w:type="dxa"/>
            </w:tcMar>
            <w:vAlign w:val="center"/>
          </w:tcPr>
          <w:p w14:paraId="09B0DDA7" w14:textId="77777777" w:rsidR="00143815" w:rsidRPr="00C926F8" w:rsidRDefault="00000000">
            <w:pPr>
              <w:jc w:val="center"/>
              <w:rPr>
                <w:color w:val="000000" w:themeColor="text1"/>
              </w:rPr>
            </w:pPr>
            <w:r w:rsidRPr="00C926F8">
              <w:rPr>
                <w:b/>
                <w:bCs/>
                <w:color w:val="000000" w:themeColor="text1"/>
              </w:rPr>
              <w:t>Varying (Per LULC class)</w:t>
            </w:r>
          </w:p>
        </w:tc>
        <w:tc>
          <w:tcPr>
            <w:tcW w:w="7160" w:type="dxa"/>
            <w:tcBorders>
              <w:top w:val="single" w:sz="1" w:space="0" w:color="CBD5E0"/>
              <w:left w:val="single" w:sz="1" w:space="0" w:color="CBD5E0"/>
              <w:bottom w:val="single" w:sz="1" w:space="0" w:color="CBD5E0"/>
              <w:right w:val="single" w:sz="1" w:space="0" w:color="CBD5E0"/>
            </w:tcBorders>
            <w:tcMar>
              <w:top w:w="120" w:type="dxa"/>
              <w:left w:w="160" w:type="dxa"/>
              <w:bottom w:w="120" w:type="dxa"/>
              <w:right w:w="160" w:type="dxa"/>
            </w:tcMar>
          </w:tcPr>
          <w:p w14:paraId="260A15DA" w14:textId="49893BA5" w:rsidR="00143815" w:rsidRPr="00C926F8" w:rsidRDefault="00000000" w:rsidP="00C926F8">
            <w:pPr>
              <w:spacing w:after="40"/>
              <w:rPr>
                <w:color w:val="000000" w:themeColor="text1"/>
              </w:rPr>
            </w:pPr>
            <w:r w:rsidRPr="00C926F8">
              <w:rPr>
                <w:color w:val="000000" w:themeColor="text1"/>
              </w:rPr>
              <w:t>LULC data is downloaded and each land cover class is assigned its own Manning’s n value.</w:t>
            </w:r>
          </w:p>
        </w:tc>
      </w:tr>
    </w:tbl>
    <w:p w14:paraId="35E682C5" w14:textId="77777777" w:rsidR="00143815" w:rsidRDefault="00143815">
      <w:pPr>
        <w:spacing w:after="80"/>
      </w:pPr>
    </w:p>
    <w:p w14:paraId="67339F3F" w14:textId="77777777" w:rsidR="00143815" w:rsidRPr="00C926F8" w:rsidRDefault="00000000">
      <w:pPr>
        <w:pStyle w:val="Heading2"/>
        <w:rPr>
          <w:color w:val="000000" w:themeColor="text1"/>
        </w:rPr>
      </w:pPr>
      <w:r w:rsidRPr="00C926F8">
        <w:rPr>
          <w:color w:val="000000" w:themeColor="text1"/>
        </w:rPr>
        <w:t>LULC Data Sources (Varying mode)</w:t>
      </w:r>
    </w:p>
    <w:p w14:paraId="4271325E" w14:textId="77777777" w:rsidR="00143815" w:rsidRDefault="00000000" w:rsidP="00C926F8">
      <w:pPr>
        <w:pStyle w:val="ListParagraph"/>
        <w:numPr>
          <w:ilvl w:val="0"/>
          <w:numId w:val="2"/>
        </w:numPr>
        <w:spacing w:before="40" w:after="40" w:line="276" w:lineRule="auto"/>
      </w:pPr>
      <w:r>
        <w:rPr>
          <w:b/>
          <w:bCs/>
        </w:rPr>
        <w:t xml:space="preserve">NLCD (USA only, 30 m): </w:t>
      </w:r>
      <w:r>
        <w:t>NLCD</w:t>
      </w:r>
    </w:p>
    <w:p w14:paraId="0BA60B01" w14:textId="30C2064E" w:rsidR="00143815" w:rsidRDefault="00000000" w:rsidP="00C926F8">
      <w:pPr>
        <w:pStyle w:val="ListParagraph"/>
        <w:numPr>
          <w:ilvl w:val="0"/>
          <w:numId w:val="2"/>
        </w:numPr>
        <w:spacing w:after="40" w:line="276" w:lineRule="auto"/>
        <w:ind w:left="1080"/>
      </w:pPr>
      <w:r>
        <w:t xml:space="preserve">National Land Cover Database from USGS. Best for USA-based studies. </w:t>
      </w:r>
    </w:p>
    <w:p w14:paraId="7C00EA72" w14:textId="77777777" w:rsidR="00143815" w:rsidRDefault="00000000" w:rsidP="00C926F8">
      <w:pPr>
        <w:pStyle w:val="ListParagraph"/>
        <w:numPr>
          <w:ilvl w:val="0"/>
          <w:numId w:val="2"/>
        </w:numPr>
        <w:spacing w:before="40" w:after="40" w:line="276" w:lineRule="auto"/>
      </w:pPr>
      <w:r>
        <w:rPr>
          <w:b/>
          <w:bCs/>
        </w:rPr>
        <w:t xml:space="preserve">ESRI Sentinel-2 (Global, 10 m): </w:t>
      </w:r>
      <w:r>
        <w:t>Sentinel-2 Global LULC</w:t>
      </w:r>
    </w:p>
    <w:p w14:paraId="4A2F0363" w14:textId="77777777" w:rsidR="00143815" w:rsidRDefault="00000000" w:rsidP="00C926F8">
      <w:pPr>
        <w:pStyle w:val="ListParagraph"/>
        <w:numPr>
          <w:ilvl w:val="0"/>
          <w:numId w:val="2"/>
        </w:numPr>
        <w:spacing w:after="40" w:line="276" w:lineRule="auto"/>
        <w:ind w:left="1080"/>
      </w:pPr>
      <w:r>
        <w:t>Global land cover from ESRI. Use for study areas outside the USA or when 10 m resolution is needed.</w:t>
      </w:r>
    </w:p>
    <w:p w14:paraId="08A1BD11" w14:textId="77777777" w:rsidR="00143815" w:rsidRPr="00C926F8" w:rsidRDefault="00000000">
      <w:pPr>
        <w:pStyle w:val="Heading2"/>
        <w:rPr>
          <w:color w:val="000000" w:themeColor="text1"/>
        </w:rPr>
      </w:pPr>
      <w:r w:rsidRPr="00C926F8">
        <w:rPr>
          <w:color w:val="000000" w:themeColor="text1"/>
        </w:rPr>
        <w:t>Editing the Manning’s n Table</w:t>
      </w:r>
    </w:p>
    <w:p w14:paraId="3FDEEF52" w14:textId="77777777" w:rsidR="00143815" w:rsidRDefault="00000000" w:rsidP="00C926F8">
      <w:pPr>
        <w:spacing w:before="60" w:after="80" w:line="276" w:lineRule="auto"/>
      </w:pPr>
      <w:r>
        <w:t>In Varying mode, a table lists all LULC classes with default Manning’s n values. You can edit any value directly in the table before running:</w:t>
      </w:r>
    </w:p>
    <w:p w14:paraId="668FF4D4" w14:textId="77777777" w:rsidR="00143815" w:rsidRDefault="00000000" w:rsidP="00C926F8">
      <w:pPr>
        <w:pStyle w:val="ListParagraph"/>
        <w:numPr>
          <w:ilvl w:val="0"/>
          <w:numId w:val="2"/>
        </w:numPr>
        <w:spacing w:before="40" w:after="40" w:line="276" w:lineRule="auto"/>
      </w:pPr>
      <w:r>
        <w:t xml:space="preserve"> Click any value in the Manning’s n column to edit it.</w:t>
      </w:r>
    </w:p>
    <w:p w14:paraId="3BB05344" w14:textId="77777777" w:rsidR="00143815" w:rsidRDefault="00000000" w:rsidP="00C926F8">
      <w:pPr>
        <w:pStyle w:val="ListParagraph"/>
        <w:numPr>
          <w:ilvl w:val="0"/>
          <w:numId w:val="2"/>
        </w:numPr>
        <w:spacing w:before="40" w:after="40" w:line="276" w:lineRule="auto"/>
      </w:pPr>
      <w:r>
        <w:t xml:space="preserve"> Default values are based on published hydraulic literature (Chow, 1959).</w:t>
      </w:r>
    </w:p>
    <w:p w14:paraId="767720E8" w14:textId="16CD45D0" w:rsidR="00143815" w:rsidRDefault="00000000" w:rsidP="00C926F8">
      <w:pPr>
        <w:pStyle w:val="ListParagraph"/>
        <w:numPr>
          <w:ilvl w:val="0"/>
          <w:numId w:val="2"/>
        </w:numPr>
        <w:spacing w:before="40" w:after="40" w:line="276" w:lineRule="auto"/>
      </w:pPr>
      <w:r>
        <w:t xml:space="preserve"> Changes apply only to the current session</w:t>
      </w:r>
      <w:r w:rsidR="006049C0">
        <w:t>.</w:t>
      </w:r>
    </w:p>
    <w:p w14:paraId="53364FE1" w14:textId="77777777" w:rsidR="00143815" w:rsidRPr="006049C0" w:rsidRDefault="00000000">
      <w:pPr>
        <w:pStyle w:val="Heading2"/>
        <w:rPr>
          <w:color w:val="000000" w:themeColor="text1"/>
        </w:rPr>
      </w:pPr>
      <w:r w:rsidRPr="006049C0">
        <w:rPr>
          <w:color w:val="000000"/>
        </w:rPr>
        <w:t>Step 4 — Run</w:t>
      </w:r>
    </w:p>
    <w:p w14:paraId="65A33E48" w14:textId="556ADC4E" w:rsidR="00143815" w:rsidRDefault="00000000">
      <w:pPr>
        <w:pStyle w:val="ListParagraph"/>
        <w:numPr>
          <w:ilvl w:val="0"/>
          <w:numId w:val="2"/>
        </w:numPr>
        <w:spacing w:before="40" w:after="40"/>
      </w:pPr>
      <w:r>
        <w:t xml:space="preserve"> Click </w:t>
      </w:r>
      <w:r w:rsidR="006049C0">
        <w:t>“</w:t>
      </w:r>
      <w:r w:rsidR="006049C0" w:rsidRPr="006049C0">
        <w:rPr>
          <w:b/>
          <w:bCs/>
        </w:rPr>
        <w:t>Ru</w:t>
      </w:r>
      <w:r w:rsidRPr="006049C0">
        <w:rPr>
          <w:b/>
          <w:bCs/>
        </w:rPr>
        <w:t>n</w:t>
      </w:r>
      <w:r w:rsidR="006049C0">
        <w:t>”</w:t>
      </w:r>
      <w:r>
        <w:t>.</w:t>
      </w:r>
    </w:p>
    <w:p w14:paraId="694AF2A3" w14:textId="77777777" w:rsidR="006049C0" w:rsidRDefault="00000000" w:rsidP="006049C0">
      <w:pPr>
        <w:pStyle w:val="ListParagraph"/>
        <w:numPr>
          <w:ilvl w:val="0"/>
          <w:numId w:val="2"/>
        </w:numPr>
        <w:spacing w:before="40" w:after="40"/>
      </w:pPr>
      <w:r>
        <w:t xml:space="preserve"> </w:t>
      </w:r>
      <w:r w:rsidR="006049C0">
        <w:t xml:space="preserve">Progress is shown in the log panel at the bottom. </w:t>
      </w:r>
    </w:p>
    <w:p w14:paraId="7CDF5655" w14:textId="62AA93F0" w:rsidR="006049C0" w:rsidRDefault="006049C0" w:rsidP="006049C0">
      <w:pPr>
        <w:pStyle w:val="ListParagraph"/>
        <w:numPr>
          <w:ilvl w:val="0"/>
          <w:numId w:val="2"/>
        </w:numPr>
        <w:spacing w:before="40" w:after="40"/>
      </w:pPr>
      <w:r>
        <w:t xml:space="preserve"> When processing is complete, a results list will appear. Click any AOI name to view previews of the LULC raster and the Manning raster, along with a land cover breakdown table showing each class, its area in km², and its percentage of the total AOI area.</w:t>
      </w:r>
    </w:p>
    <w:p w14:paraId="240A96C3" w14:textId="23447677" w:rsidR="00A2740A" w:rsidRDefault="006049C0" w:rsidP="006049C0">
      <w:pPr>
        <w:pStyle w:val="ListParagraph"/>
        <w:numPr>
          <w:ilvl w:val="0"/>
          <w:numId w:val="2"/>
        </w:numPr>
        <w:spacing w:before="40" w:after="40"/>
      </w:pPr>
      <w:r w:rsidRPr="006049C0">
        <w:t>Output files are saved at: &lt;project&gt;/&lt;AOI name&gt;/</w:t>
      </w:r>
      <w:proofErr w:type="spellStart"/>
      <w:r w:rsidRPr="006049C0">
        <w:t>lulc.tif</w:t>
      </w:r>
      <w:proofErr w:type="spellEnd"/>
      <w:r w:rsidRPr="006049C0">
        <w:t xml:space="preserve"> (raster) and &lt;AOI name&gt;/</w:t>
      </w:r>
      <w:proofErr w:type="spellStart"/>
      <w:proofErr w:type="gramStart"/>
      <w:r w:rsidRPr="006049C0">
        <w:t>lulc.ascii</w:t>
      </w:r>
      <w:proofErr w:type="spellEnd"/>
      <w:proofErr w:type="gramEnd"/>
      <w:r w:rsidRPr="006049C0">
        <w:t xml:space="preserve"> (ASCII grid if requested).</w:t>
      </w:r>
    </w:p>
    <w:p>
      <w:r>
        <w:br w:type="page"/>
      </w:r>
    </w:p>
    <w:p>
      <w:pPr>
        <w:pStyle w:val="Heading1"/>
      </w:pPr>
      <w:r>
        <w:rPr>
          <w:color w:val="4C94D8"/>
        </w:rPr>
        <w:t>Flowline Mode</w:t>
      </w:r>
    </w:p>
    <w:p>
      <w:r>
        <w:t>Flowline Mode downloads and processes river network data for one or more Areas of Interest using NHD flowlines. It can save the main river, all flowlines clipped to the AOI, nearby USGS gages, and NWM feature IDs that can be used later for streamflow downloads.</w:t>
      </w:r>
    </w:p>
    <w:p>
      <w:pPr>
        <w:pStyle w:val="Heading2"/>
      </w:pPr>
      <w:r>
        <w:rPr>
          <w:color w:val="000000"/>
        </w:rPr>
        <w:t>Steps 1–2 — Project and AOI</w:t>
      </w:r>
    </w:p>
    <w:p>
      <w:r>
        <w:t>Follow the same project and AOI setup steps as DEM Mode. After AOIs are confirmed, each AOI gets its own flowline settings card.</w:t>
      </w:r>
    </w:p>
    <w:p>
      <w:pPr>
        <w:pStyle w:val="Heading2"/>
      </w:pPr>
      <w:r>
        <w:rPr>
          <w:color w:val="000000"/>
        </w:rPr>
        <w:t>Step 3 — Configure Flowline Settings</w:t>
      </w:r>
    </w:p>
    <w:p>
      <w:r>
        <w:t>For each AOI, choose which flowline products to save and which format to use: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vAlign w:val="center"/>
            <w:tcMar>
              <w:left w:w="10" w:type="dxa"/>
              <w:right w:w="10" w:type="dxa"/>
              <w:top w:w="35" w:type="dxa"/>
              <w:bottom w:w="35" w:type="dxa"/>
            </w:tcMar>
          </w:tcPr>
          <w:p>
            <w:pPr>
              <w:spacing w:after="20" w:line="252" w:lineRule="auto"/>
            </w:pPr>
            <w:r>
              <w:rPr>
                <w:b/>
                <w:color w:val="000000"/>
                <w:sz w:val="20"/>
              </w:rPr>
              <w:t>Option</w:t>
            </w:r>
          </w:p>
        </w:tc>
        <w:tc>
          <w:tcPr>
            <w:tcW w:type="dxa" w:w="3360"/>
            <w:vAlign w:val="center"/>
            <w:tcMar>
              <w:left w:w="10" w:type="dxa"/>
              <w:right w:w="10" w:type="dxa"/>
              <w:top w:w="35" w:type="dxa"/>
              <w:bottom w:w="35" w:type="dxa"/>
            </w:tcMar>
          </w:tcPr>
          <w:p>
            <w:pPr>
              <w:spacing w:after="20" w:line="252" w:lineRule="auto"/>
            </w:pPr>
            <w:r>
              <w:rPr>
                <w:b/>
                <w:color w:val="000000"/>
                <w:sz w:val="20"/>
              </w:rPr>
              <w:t>Description</w:t>
            </w:r>
          </w:p>
        </w:tc>
        <w:tc>
          <w:tcPr>
            <w:tcW w:type="dxa" w:w="3360"/>
            <w:vAlign w:val="center"/>
            <w:tcMar>
              <w:left w:w="10" w:type="dxa"/>
              <w:right w:w="10" w:type="dxa"/>
              <w:top w:w="35" w:type="dxa"/>
              <w:bottom w:w="35" w:type="dxa"/>
            </w:tcMar>
          </w:tcPr>
          <w:p>
            <w:pPr>
              <w:spacing w:after="20" w:line="252" w:lineRule="auto"/>
            </w:pPr>
            <w:r>
              <w:rPr>
                <w:b/>
                <w:color w:val="000000"/>
                <w:sz w:val="20"/>
              </w:rPr>
              <w:t>Available formats / notes</w:t>
            </w:r>
          </w:p>
        </w:tc>
      </w:tr>
      <w:tr>
        <w:tc>
          <w:tcPr>
            <w:tcW w:type="dxa" w:w="3360"/>
            <w:vAlign w:val="center"/>
            <w:tcMar>
              <w:left w:w="10" w:type="dxa"/>
              <w:right w:w="10" w:type="dxa"/>
              <w:top w:w="35" w:type="dxa"/>
              <w:bottom w:w="35" w:type="dxa"/>
            </w:tcMar>
          </w:tcPr>
          <w:p>
            <w:pPr>
              <w:spacing w:after="20" w:line="252" w:lineRule="auto"/>
            </w:pPr>
            <w:r>
              <w:rPr>
                <w:color w:val="000000"/>
                <w:sz w:val="20"/>
              </w:rPr>
              <w:t>Main river</w:t>
            </w:r>
          </w:p>
        </w:tc>
        <w:tc>
          <w:tcPr>
            <w:tcW w:type="dxa" w:w="3360"/>
            <w:vAlign w:val="center"/>
            <w:tcMar>
              <w:left w:w="10" w:type="dxa"/>
              <w:right w:w="10" w:type="dxa"/>
              <w:top w:w="35" w:type="dxa"/>
              <w:bottom w:w="35" w:type="dxa"/>
            </w:tcMar>
          </w:tcPr>
          <w:p>
            <w:pPr>
              <w:spacing w:after="20" w:line="252" w:lineRule="auto"/>
            </w:pPr>
            <w:r>
              <w:rPr>
                <w:color w:val="000000"/>
                <w:sz w:val="20"/>
              </w:rPr>
              <w:t>Saves the highest-stream-order NHD river reach identified inside the AOI.</w:t>
            </w:r>
          </w:p>
        </w:tc>
        <w:tc>
          <w:tcPr>
            <w:tcW w:type="dxa" w:w="3360"/>
            <w:vAlign w:val="center"/>
            <w:tcMar>
              <w:left w:w="10" w:type="dxa"/>
              <w:right w:w="10" w:type="dxa"/>
              <w:top w:w="35" w:type="dxa"/>
              <w:bottom w:w="35" w:type="dxa"/>
            </w:tcMar>
          </w:tcPr>
          <w:p>
            <w:pPr>
              <w:spacing w:after="20" w:line="252" w:lineRule="auto"/>
            </w:pPr>
            <w:r>
              <w:rPr>
                <w:color w:val="000000"/>
                <w:sz w:val="20"/>
              </w:rPr>
              <w:t>Shapefile (.shp), GeoPackage (.gpkg), TIF raster (.tif), or CSV (.csv). This option is selected by default.</w:t>
            </w:r>
          </w:p>
        </w:tc>
      </w:tr>
      <w:tr>
        <w:tc>
          <w:tcPr>
            <w:tcW w:type="dxa" w:w="3360"/>
            <w:vAlign w:val="center"/>
            <w:tcMar>
              <w:left w:w="10" w:type="dxa"/>
              <w:right w:w="10" w:type="dxa"/>
              <w:top w:w="35" w:type="dxa"/>
              <w:bottom w:w="35" w:type="dxa"/>
            </w:tcMar>
          </w:tcPr>
          <w:p>
            <w:pPr>
              <w:spacing w:after="20" w:line="252" w:lineRule="auto"/>
            </w:pPr>
            <w:r>
              <w:rPr>
                <w:color w:val="000000"/>
                <w:sz w:val="20"/>
              </w:rPr>
              <w:t>All flowlines</w:t>
            </w:r>
          </w:p>
        </w:tc>
        <w:tc>
          <w:tcPr>
            <w:tcW w:type="dxa" w:w="3360"/>
            <w:vAlign w:val="center"/>
            <w:tcMar>
              <w:left w:w="10" w:type="dxa"/>
              <w:right w:w="10" w:type="dxa"/>
              <w:top w:w="35" w:type="dxa"/>
              <w:bottom w:w="35" w:type="dxa"/>
            </w:tcMar>
          </w:tcPr>
          <w:p>
            <w:pPr>
              <w:spacing w:after="20" w:line="252" w:lineRule="auto"/>
            </w:pPr>
            <w:r>
              <w:rPr>
                <w:color w:val="000000"/>
                <w:sz w:val="20"/>
              </w:rPr>
              <w:t>Saves the full NHD reach set clipped to the AOI.</w:t>
            </w:r>
          </w:p>
        </w:tc>
        <w:tc>
          <w:tcPr>
            <w:tcW w:type="dxa" w:w="3360"/>
            <w:vAlign w:val="center"/>
            <w:tcMar>
              <w:left w:w="10" w:type="dxa"/>
              <w:right w:w="10" w:type="dxa"/>
              <w:top w:w="35" w:type="dxa"/>
              <w:bottom w:w="35" w:type="dxa"/>
            </w:tcMar>
          </w:tcPr>
          <w:p>
            <w:pPr>
              <w:spacing w:after="20" w:line="252" w:lineRule="auto"/>
            </w:pPr>
            <w:r>
              <w:rPr>
                <w:color w:val="000000"/>
                <w:sz w:val="20"/>
              </w:rPr>
              <w:t>Shapefile, GeoPackage, TIF raster, or CSV. This option is optional.</w:t>
            </w:r>
          </w:p>
        </w:tc>
      </w:tr>
      <w:tr>
        <w:tc>
          <w:tcPr>
            <w:tcW w:type="dxa" w:w="3360"/>
            <w:vAlign w:val="center"/>
            <w:tcMar>
              <w:left w:w="10" w:type="dxa"/>
              <w:right w:w="10" w:type="dxa"/>
              <w:top w:w="35" w:type="dxa"/>
              <w:bottom w:w="35" w:type="dxa"/>
            </w:tcMar>
          </w:tcPr>
          <w:p>
            <w:pPr>
              <w:spacing w:after="20" w:line="252" w:lineRule="auto"/>
            </w:pPr>
            <w:r>
              <w:rPr>
                <w:color w:val="000000"/>
                <w:sz w:val="20"/>
              </w:rPr>
              <w:t>Cell size for TIF</w:t>
            </w:r>
          </w:p>
        </w:tc>
        <w:tc>
          <w:tcPr>
            <w:tcW w:type="dxa" w:w="3360"/>
            <w:vAlign w:val="center"/>
            <w:tcMar>
              <w:left w:w="10" w:type="dxa"/>
              <w:right w:w="10" w:type="dxa"/>
              <w:top w:w="35" w:type="dxa"/>
              <w:bottom w:w="35" w:type="dxa"/>
            </w:tcMar>
          </w:tcPr>
          <w:p>
            <w:pPr>
              <w:spacing w:after="20" w:line="252" w:lineRule="auto"/>
            </w:pPr>
            <w:r>
              <w:rPr>
                <w:color w:val="000000"/>
                <w:sz w:val="20"/>
              </w:rPr>
              <w:t>Controls the raster cell size when either Main river or All flowlines is saved as a TIF.</w:t>
            </w:r>
          </w:p>
        </w:tc>
        <w:tc>
          <w:tcPr>
            <w:tcW w:type="dxa" w:w="3360"/>
            <w:vAlign w:val="center"/>
            <w:tcMar>
              <w:left w:w="10" w:type="dxa"/>
              <w:right w:w="10" w:type="dxa"/>
              <w:top w:w="35" w:type="dxa"/>
              <w:bottom w:w="35" w:type="dxa"/>
            </w:tcMar>
          </w:tcPr>
          <w:p>
            <w:pPr>
              <w:spacing w:after="20" w:line="252" w:lineRule="auto"/>
            </w:pPr>
            <w:r>
              <w:rPr>
                <w:color w:val="000000"/>
                <w:sz w:val="20"/>
              </w:rPr>
              <w:t>Default is 30 m. Use the same or similar resolution as the hydraulic model grid when possible.</w:t>
            </w:r>
          </w:p>
        </w:tc>
      </w:tr>
      <w:tr>
        <w:tc>
          <w:tcPr>
            <w:tcW w:type="dxa" w:w="3360"/>
            <w:vAlign w:val="center"/>
            <w:tcMar>
              <w:left w:w="10" w:type="dxa"/>
              <w:right w:w="10" w:type="dxa"/>
              <w:top w:w="35" w:type="dxa"/>
              <w:bottom w:w="35" w:type="dxa"/>
            </w:tcMar>
          </w:tcPr>
          <w:p>
            <w:pPr>
              <w:spacing w:after="20" w:line="252" w:lineRule="auto"/>
            </w:pPr>
            <w:r>
              <w:rPr>
                <w:color w:val="000000"/>
                <w:sz w:val="20"/>
              </w:rPr>
              <w:t>USGS gages CSV</w:t>
            </w:r>
          </w:p>
        </w:tc>
        <w:tc>
          <w:tcPr>
            <w:tcW w:type="dxa" w:w="3360"/>
            <w:vAlign w:val="center"/>
            <w:tcMar>
              <w:left w:w="10" w:type="dxa"/>
              <w:right w:w="10" w:type="dxa"/>
              <w:top w:w="35" w:type="dxa"/>
              <w:bottom w:w="35" w:type="dxa"/>
            </w:tcMar>
          </w:tcPr>
          <w:p>
            <w:pPr>
              <w:spacing w:after="20" w:line="252" w:lineRule="auto"/>
            </w:pPr>
            <w:r>
              <w:rPr>
                <w:color w:val="000000"/>
                <w:sz w:val="20"/>
              </w:rPr>
              <w:t>Saves a CSV of USGS stream gages found for the AOI.</w:t>
            </w:r>
          </w:p>
        </w:tc>
        <w:tc>
          <w:tcPr>
            <w:tcW w:type="dxa" w:w="3360"/>
            <w:vAlign w:val="center"/>
            <w:tcMar>
              <w:left w:w="10" w:type="dxa"/>
              <w:right w:w="10" w:type="dxa"/>
              <w:top w:w="35" w:type="dxa"/>
              <w:bottom w:w="35" w:type="dxa"/>
            </w:tcMar>
          </w:tcPr>
          <w:p>
            <w:pPr>
              <w:spacing w:after="20" w:line="252" w:lineRule="auto"/>
            </w:pPr>
            <w:r>
              <w:rPr>
                <w:color w:val="000000"/>
                <w:sz w:val="20"/>
              </w:rPr>
              <w:t>Selected by default. The gage IDs can be used later in Streamflow Data Mode.</w:t>
            </w:r>
          </w:p>
        </w:tc>
      </w:tr>
      <w:tr>
        <w:tc>
          <w:tcPr>
            <w:tcW w:type="dxa" w:w="3360"/>
            <w:vAlign w:val="center"/>
            <w:tcMar>
              <w:left w:w="10" w:type="dxa"/>
              <w:right w:w="10" w:type="dxa"/>
              <w:top w:w="35" w:type="dxa"/>
              <w:bottom w:w="35" w:type="dxa"/>
            </w:tcMar>
          </w:tcPr>
          <w:p>
            <w:pPr>
              <w:spacing w:after="20" w:line="252" w:lineRule="auto"/>
            </w:pPr>
            <w:r>
              <w:rPr>
                <w:color w:val="000000"/>
                <w:sz w:val="20"/>
              </w:rPr>
              <w:t>Feature IDs CSV</w:t>
            </w:r>
          </w:p>
        </w:tc>
        <w:tc>
          <w:tcPr>
            <w:tcW w:type="dxa" w:w="3360"/>
            <w:vAlign w:val="center"/>
            <w:tcMar>
              <w:left w:w="10" w:type="dxa"/>
              <w:right w:w="10" w:type="dxa"/>
              <w:top w:w="35" w:type="dxa"/>
              <w:bottom w:w="35" w:type="dxa"/>
            </w:tcMar>
          </w:tcPr>
          <w:p>
            <w:pPr>
              <w:spacing w:after="20" w:line="252" w:lineRule="auto"/>
            </w:pPr>
            <w:r>
              <w:rPr>
                <w:color w:val="000000"/>
                <w:sz w:val="20"/>
              </w:rPr>
              <w:t>Saves NWM feature IDs from the downloaded NHD flowlines.</w:t>
            </w:r>
          </w:p>
        </w:tc>
        <w:tc>
          <w:tcPr>
            <w:tcW w:type="dxa" w:w="3360"/>
            <w:vAlign w:val="center"/>
            <w:tcMar>
              <w:left w:w="10" w:type="dxa"/>
              <w:right w:w="10" w:type="dxa"/>
              <w:top w:w="35" w:type="dxa"/>
              <w:bottom w:w="35" w:type="dxa"/>
            </w:tcMar>
          </w:tcPr>
          <w:p>
            <w:pPr>
              <w:spacing w:after="20" w:line="252" w:lineRule="auto"/>
            </w:pPr>
            <w:r>
              <w:rPr>
                <w:color w:val="000000"/>
                <w:sz w:val="20"/>
              </w:rPr>
              <w:t>Saved automatically. These IDs can be used for NWM retrospective or forecast streamflow downloads.</w:t>
            </w:r>
          </w:p>
        </w:tc>
      </w:tr>
    </w:tbl>
    <w:p>
      <w:r>
        <w:t>For multiple AOIs, use Apply current AOI’s settings to all to copy settings across all AOIs at once.</w:t>
      </w:r>
    </w:p>
    <w:p>
      <w:pPr>
        <w:pStyle w:val="Heading2"/>
      </w:pPr>
      <w:r>
        <w:rPr>
          <w:color w:val="000000"/>
        </w:rPr>
        <w:t>Step 4 — Run</w:t>
      </w:r>
    </w:p>
    <w:p>
      <w:pPr>
        <w:pStyle w:val="ListParagraph"/>
        <w:numPr>
          <w:ilvl w:val="0"/>
          <w:numId w:val="2"/>
        </w:numPr>
        <w:spacing w:after="40"/>
      </w:pPr>
      <w:r>
        <w:t>Click “Download Flowlines for all AOIs”.</w:t>
      </w:r>
    </w:p>
    <w:p>
      <w:pPr>
        <w:pStyle w:val="ListParagraph"/>
        <w:numPr>
          <w:ilvl w:val="0"/>
          <w:numId w:val="2"/>
        </w:numPr>
        <w:spacing w:after="40"/>
      </w:pPr>
      <w:r>
        <w:t>Progress is shown in the log panel and progress bar.</w:t>
      </w:r>
    </w:p>
    <w:p>
      <w:pPr>
        <w:pStyle w:val="ListParagraph"/>
        <w:numPr>
          <w:ilvl w:val="0"/>
          <w:numId w:val="2"/>
        </w:numPr>
        <w:spacing w:after="40"/>
      </w:pPr>
      <w:r>
        <w:t>When complete, a results list appears. Click any AOI name to view the AOI polygon, downloaded flowlines, USGS gages, and upstream/downstream markers on the map.</w:t>
      </w:r>
    </w:p>
    <w:p>
      <w:pPr>
        <w:pStyle w:val="ListParagraph"/>
        <w:numPr>
          <w:ilvl w:val="0"/>
          <w:numId w:val="2"/>
        </w:numPr>
        <w:spacing w:after="40"/>
      </w:pPr>
      <w:r>
        <w:t>Output files are saved inside each AOI folder: &lt;project&gt;/&lt;AOI name&gt;/.</w:t>
      </w:r>
      <w:r>
        <w:br w:type="page"/>
      </w:r>
    </w:p>
    <w:p>
      <w:pPr>
        <w:pStyle w:val="Heading2"/>
      </w:pPr>
      <w:r>
        <w:rPr>
          <w:color w:val="000000"/>
        </w:rPr>
        <w:t>Flowline Output Files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vAlign w:val="center"/>
            <w:tcMar>
              <w:left w:w="10" w:type="dxa"/>
              <w:right w:w="10" w:type="dxa"/>
              <w:top w:w="35" w:type="dxa"/>
              <w:bottom w:w="35" w:type="dxa"/>
            </w:tcMar>
          </w:tcPr>
          <w:p>
            <w:pPr>
              <w:spacing w:after="20" w:line="252" w:lineRule="auto"/>
            </w:pPr>
            <w:r>
              <w:rPr>
                <w:b/>
                <w:color w:val="000000"/>
                <w:sz w:val="20"/>
              </w:rPr>
              <w:t>Output</w:t>
            </w:r>
          </w:p>
        </w:tc>
        <w:tc>
          <w:tcPr>
            <w:tcW w:type="dxa" w:w="3360"/>
            <w:vAlign w:val="center"/>
            <w:tcMar>
              <w:left w:w="10" w:type="dxa"/>
              <w:right w:w="10" w:type="dxa"/>
              <w:top w:w="35" w:type="dxa"/>
              <w:bottom w:w="35" w:type="dxa"/>
            </w:tcMar>
          </w:tcPr>
          <w:p>
            <w:pPr>
              <w:spacing w:after="20" w:line="252" w:lineRule="auto"/>
            </w:pPr>
            <w:r>
              <w:rPr>
                <w:b/>
                <w:color w:val="000000"/>
                <w:sz w:val="20"/>
              </w:rPr>
              <w:t>Typical filename</w:t>
            </w:r>
          </w:p>
        </w:tc>
        <w:tc>
          <w:tcPr>
            <w:tcW w:type="dxa" w:w="3360"/>
            <w:vAlign w:val="center"/>
            <w:tcMar>
              <w:left w:w="10" w:type="dxa"/>
              <w:right w:w="10" w:type="dxa"/>
              <w:top w:w="35" w:type="dxa"/>
              <w:bottom w:w="35" w:type="dxa"/>
            </w:tcMar>
          </w:tcPr>
          <w:p>
            <w:pPr>
              <w:spacing w:after="20" w:line="252" w:lineRule="auto"/>
            </w:pPr>
            <w:r>
              <w:rPr>
                <w:b/>
                <w:color w:val="000000"/>
                <w:sz w:val="20"/>
              </w:rPr>
              <w:t>Purpose</w:t>
            </w:r>
          </w:p>
        </w:tc>
      </w:tr>
      <w:tr>
        <w:tc>
          <w:tcPr>
            <w:tcW w:type="dxa" w:w="3360"/>
            <w:vAlign w:val="center"/>
            <w:tcMar>
              <w:left w:w="10" w:type="dxa"/>
              <w:right w:w="10" w:type="dxa"/>
              <w:top w:w="35" w:type="dxa"/>
              <w:bottom w:w="35" w:type="dxa"/>
            </w:tcMar>
          </w:tcPr>
          <w:p>
            <w:pPr>
              <w:spacing w:after="20" w:line="252" w:lineRule="auto"/>
            </w:pPr>
            <w:r>
              <w:rPr>
                <w:color w:val="000000"/>
                <w:sz w:val="20"/>
              </w:rPr>
              <w:t>Main river</w:t>
            </w:r>
          </w:p>
        </w:tc>
        <w:tc>
          <w:tcPr>
            <w:tcW w:type="dxa" w:w="3360"/>
            <w:vAlign w:val="center"/>
            <w:tcMar>
              <w:left w:w="10" w:type="dxa"/>
              <w:right w:w="10" w:type="dxa"/>
              <w:top w:w="35" w:type="dxa"/>
              <w:bottom w:w="35" w:type="dxa"/>
            </w:tcMar>
          </w:tcPr>
          <w:p>
            <w:pPr>
              <w:spacing w:after="20" w:line="252" w:lineRule="auto"/>
            </w:pPr>
            <w:r>
              <w:rPr>
                <w:color w:val="000000"/>
                <w:sz w:val="20"/>
              </w:rPr>
              <w:t>main_river_&lt;AOI name&gt;.*</w:t>
            </w:r>
          </w:p>
        </w:tc>
        <w:tc>
          <w:tcPr>
            <w:tcW w:type="dxa" w:w="3360"/>
            <w:vAlign w:val="center"/>
            <w:tcMar>
              <w:left w:w="10" w:type="dxa"/>
              <w:right w:w="10" w:type="dxa"/>
              <w:top w:w="35" w:type="dxa"/>
              <w:bottom w:w="35" w:type="dxa"/>
            </w:tcMar>
          </w:tcPr>
          <w:p>
            <w:pPr>
              <w:spacing w:after="20" w:line="252" w:lineRule="auto"/>
            </w:pPr>
            <w:r>
              <w:rPr>
                <w:color w:val="000000"/>
                <w:sz w:val="20"/>
              </w:rPr>
              <w:t>Main NHD river reach selected for the AOI.</w:t>
            </w:r>
          </w:p>
        </w:tc>
      </w:tr>
      <w:tr>
        <w:tc>
          <w:tcPr>
            <w:tcW w:type="dxa" w:w="3360"/>
            <w:vAlign w:val="center"/>
            <w:tcMar>
              <w:left w:w="10" w:type="dxa"/>
              <w:right w:w="10" w:type="dxa"/>
              <w:top w:w="35" w:type="dxa"/>
              <w:bottom w:w="35" w:type="dxa"/>
            </w:tcMar>
          </w:tcPr>
          <w:p>
            <w:pPr>
              <w:spacing w:after="20" w:line="252" w:lineRule="auto"/>
            </w:pPr>
            <w:r>
              <w:rPr>
                <w:color w:val="000000"/>
                <w:sz w:val="20"/>
              </w:rPr>
              <w:t>All flowlines</w:t>
            </w:r>
          </w:p>
        </w:tc>
        <w:tc>
          <w:tcPr>
            <w:tcW w:type="dxa" w:w="3360"/>
            <w:vAlign w:val="center"/>
            <w:tcMar>
              <w:left w:w="10" w:type="dxa"/>
              <w:right w:w="10" w:type="dxa"/>
              <w:top w:w="35" w:type="dxa"/>
              <w:bottom w:w="35" w:type="dxa"/>
            </w:tcMar>
          </w:tcPr>
          <w:p>
            <w:pPr>
              <w:spacing w:after="20" w:line="252" w:lineRule="auto"/>
            </w:pPr>
            <w:r>
              <w:rPr>
                <w:color w:val="000000"/>
                <w:sz w:val="20"/>
              </w:rPr>
              <w:t>all_flowlines_&lt;AOI name&gt;.*</w:t>
            </w:r>
          </w:p>
        </w:tc>
        <w:tc>
          <w:tcPr>
            <w:tcW w:type="dxa" w:w="3360"/>
            <w:vAlign w:val="center"/>
            <w:tcMar>
              <w:left w:w="10" w:type="dxa"/>
              <w:right w:w="10" w:type="dxa"/>
              <w:top w:w="35" w:type="dxa"/>
              <w:bottom w:w="35" w:type="dxa"/>
            </w:tcMar>
          </w:tcPr>
          <w:p>
            <w:pPr>
              <w:spacing w:after="20" w:line="252" w:lineRule="auto"/>
            </w:pPr>
            <w:r>
              <w:rPr>
                <w:color w:val="000000"/>
                <w:sz w:val="20"/>
              </w:rPr>
              <w:t>All NHD flowlines clipped to the AOI.</w:t>
            </w:r>
          </w:p>
        </w:tc>
      </w:tr>
      <w:tr>
        <w:tc>
          <w:tcPr>
            <w:tcW w:type="dxa" w:w="3360"/>
            <w:vAlign w:val="center"/>
            <w:tcMar>
              <w:left w:w="10" w:type="dxa"/>
              <w:right w:w="10" w:type="dxa"/>
              <w:top w:w="35" w:type="dxa"/>
              <w:bottom w:w="35" w:type="dxa"/>
            </w:tcMar>
          </w:tcPr>
          <w:p>
            <w:pPr>
              <w:spacing w:after="20" w:line="252" w:lineRule="auto"/>
            </w:pPr>
            <w:r>
              <w:rPr>
                <w:color w:val="000000"/>
                <w:sz w:val="20"/>
              </w:rPr>
              <w:t>USGS gages</w:t>
            </w:r>
          </w:p>
        </w:tc>
        <w:tc>
          <w:tcPr>
            <w:tcW w:type="dxa" w:w="3360"/>
            <w:vAlign w:val="center"/>
            <w:tcMar>
              <w:left w:w="10" w:type="dxa"/>
              <w:right w:w="10" w:type="dxa"/>
              <w:top w:w="35" w:type="dxa"/>
              <w:bottom w:w="35" w:type="dxa"/>
            </w:tcMar>
          </w:tcPr>
          <w:p>
            <w:pPr>
              <w:spacing w:after="20" w:line="252" w:lineRule="auto"/>
            </w:pPr>
            <w:r>
              <w:rPr>
                <w:color w:val="000000"/>
                <w:sz w:val="20"/>
              </w:rPr>
              <w:t>usgs_gages_&lt;AOI name&gt;.csv</w:t>
            </w:r>
          </w:p>
        </w:tc>
        <w:tc>
          <w:tcPr>
            <w:tcW w:type="dxa" w:w="3360"/>
            <w:vAlign w:val="center"/>
            <w:tcMar>
              <w:left w:w="10" w:type="dxa"/>
              <w:right w:w="10" w:type="dxa"/>
              <w:top w:w="35" w:type="dxa"/>
              <w:bottom w:w="35" w:type="dxa"/>
            </w:tcMar>
          </w:tcPr>
          <w:p>
            <w:pPr>
              <w:spacing w:after="20" w:line="252" w:lineRule="auto"/>
            </w:pPr>
            <w:r>
              <w:rPr>
                <w:color w:val="000000"/>
                <w:sz w:val="20"/>
              </w:rPr>
              <w:t>Station number, station name, latitude, and longitude for USGS gages.</w:t>
            </w:r>
          </w:p>
        </w:tc>
      </w:tr>
      <w:tr>
        <w:tc>
          <w:tcPr>
            <w:tcW w:type="dxa" w:w="3360"/>
            <w:vAlign w:val="center"/>
            <w:tcMar>
              <w:left w:w="10" w:type="dxa"/>
              <w:right w:w="10" w:type="dxa"/>
              <w:top w:w="35" w:type="dxa"/>
              <w:bottom w:w="35" w:type="dxa"/>
            </w:tcMar>
          </w:tcPr>
          <w:p>
            <w:pPr>
              <w:spacing w:after="20" w:line="252" w:lineRule="auto"/>
            </w:pPr>
            <w:r>
              <w:rPr>
                <w:color w:val="000000"/>
                <w:sz w:val="20"/>
              </w:rPr>
              <w:t>NWM feature IDs</w:t>
            </w:r>
          </w:p>
        </w:tc>
        <w:tc>
          <w:tcPr>
            <w:tcW w:type="dxa" w:w="3360"/>
            <w:vAlign w:val="center"/>
            <w:tcMar>
              <w:left w:w="10" w:type="dxa"/>
              <w:right w:w="10" w:type="dxa"/>
              <w:top w:w="35" w:type="dxa"/>
              <w:bottom w:w="35" w:type="dxa"/>
            </w:tcMar>
          </w:tcPr>
          <w:p>
            <w:pPr>
              <w:spacing w:after="20" w:line="252" w:lineRule="auto"/>
            </w:pPr>
            <w:r>
              <w:rPr>
                <w:color w:val="000000"/>
                <w:sz w:val="20"/>
              </w:rPr>
              <w:t>feature_ids_&lt;AOI name&gt;.csv</w:t>
            </w:r>
          </w:p>
        </w:tc>
        <w:tc>
          <w:tcPr>
            <w:tcW w:type="dxa" w:w="3360"/>
            <w:vAlign w:val="center"/>
            <w:tcMar>
              <w:left w:w="10" w:type="dxa"/>
              <w:right w:w="10" w:type="dxa"/>
              <w:top w:w="35" w:type="dxa"/>
              <w:bottom w:w="35" w:type="dxa"/>
            </w:tcMar>
          </w:tcPr>
          <w:p>
            <w:pPr>
              <w:spacing w:after="20" w:line="252" w:lineRule="auto"/>
            </w:pPr>
            <w:r>
              <w:rPr>
                <w:color w:val="000000"/>
                <w:sz w:val="20"/>
              </w:rPr>
              <w:t>Feature IDs / COMIDs used by NWM streamflow downloads.</w:t>
            </w:r>
          </w:p>
        </w:tc>
      </w:tr>
    </w:tbl>
    <w:p>
      <w:pPr>
        <w:pStyle w:val="Heading1"/>
      </w:pPr>
      <w:r>
        <w:rPr>
          <w:color w:val="4C94D8"/>
        </w:rPr>
        <w:t>Streamflow Data Mode</w:t>
      </w:r>
    </w:p>
    <w:p>
      <w:r>
        <w:t>Streamflow Data Mode downloads discharge time series without requiring an AOI. You can enter NWM feature IDs or USGS gage numbers directly, paste comma-separated values, or browse to a CSV/TXT file with one ID per line.</w:t>
      </w:r>
    </w:p>
    <w:p>
      <w:pPr>
        <w:pStyle w:val="Heading2"/>
      </w:pPr>
      <w:r>
        <w:rPr>
          <w:color w:val="000000"/>
        </w:rPr>
        <w:t>Step 1 — Create or Open a Project</w:t>
      </w:r>
    </w:p>
    <w:p>
      <w:r>
        <w:t>Start by creating or opening a project. Streamflow CSV outputs are saved directly in the project folder.</w:t>
      </w:r>
    </w:p>
    <w:p>
      <w:pPr>
        <w:pStyle w:val="Heading2"/>
      </w:pPr>
      <w:r>
        <w:rPr>
          <w:color w:val="000000"/>
        </w:rPr>
        <w:t>Step 2 — Choose Streamflow Source(s)</w:t>
      </w:r>
    </w:p>
    <w:p>
      <w:r>
        <w:t>Enable one or more streamflow sources. Each enabled source has its own ID field, date range, and interval settings.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vAlign w:val="center"/>
            <w:tcMar>
              <w:left w:w="10" w:type="dxa"/>
              <w:right w:w="10" w:type="dxa"/>
              <w:top w:w="35" w:type="dxa"/>
              <w:bottom w:w="35" w:type="dxa"/>
            </w:tcMar>
          </w:tcPr>
          <w:p>
            <w:pPr>
              <w:spacing w:after="0" w:line="240" w:lineRule="auto"/>
            </w:pPr>
            <w:r>
              <w:rPr>
                <w:b/>
                <w:color w:val="000000"/>
                <w:sz w:val="17"/>
              </w:rPr>
              <w:t>Source</w:t>
            </w:r>
          </w:p>
        </w:tc>
        <w:tc>
          <w:tcPr>
            <w:tcW w:type="dxa" w:w="2520"/>
            <w:vAlign w:val="center"/>
            <w:tcMar>
              <w:left w:w="10" w:type="dxa"/>
              <w:right w:w="10" w:type="dxa"/>
              <w:top w:w="35" w:type="dxa"/>
              <w:bottom w:w="35" w:type="dxa"/>
            </w:tcMar>
          </w:tcPr>
          <w:p>
            <w:pPr>
              <w:spacing w:after="0" w:line="240" w:lineRule="auto"/>
            </w:pPr>
            <w:r>
              <w:rPr>
                <w:b/>
                <w:color w:val="000000"/>
                <w:sz w:val="17"/>
              </w:rPr>
              <w:t>Required ID</w:t>
            </w:r>
          </w:p>
        </w:tc>
        <w:tc>
          <w:tcPr>
            <w:tcW w:type="dxa" w:w="2520"/>
            <w:vAlign w:val="center"/>
            <w:tcMar>
              <w:left w:w="10" w:type="dxa"/>
              <w:right w:w="10" w:type="dxa"/>
              <w:top w:w="35" w:type="dxa"/>
              <w:bottom w:w="35" w:type="dxa"/>
            </w:tcMar>
          </w:tcPr>
          <w:p>
            <w:pPr>
              <w:spacing w:after="0" w:line="240" w:lineRule="auto"/>
            </w:pPr>
            <w:r>
              <w:rPr>
                <w:b/>
                <w:color w:val="000000"/>
                <w:sz w:val="17"/>
              </w:rPr>
              <w:t>Date coverage</w:t>
            </w:r>
          </w:p>
        </w:tc>
        <w:tc>
          <w:tcPr>
            <w:tcW w:type="dxa" w:w="2520"/>
            <w:vAlign w:val="center"/>
            <w:tcMar>
              <w:left w:w="10" w:type="dxa"/>
              <w:right w:w="10" w:type="dxa"/>
              <w:top w:w="35" w:type="dxa"/>
              <w:bottom w:w="35" w:type="dxa"/>
            </w:tcMar>
          </w:tcPr>
          <w:p>
            <w:pPr>
              <w:spacing w:after="0" w:line="240" w:lineRule="auto"/>
            </w:pPr>
            <w:r>
              <w:rPr>
                <w:b/>
                <w:color w:val="000000"/>
                <w:sz w:val="17"/>
              </w:rPr>
              <w:t>Interval</w:t>
            </w:r>
          </w:p>
        </w:tc>
      </w:tr>
      <w:tr>
        <w:tc>
          <w:tcPr>
            <w:tcW w:type="dxa" w:w="2520"/>
            <w:vAlign w:val="center"/>
            <w:tcMar>
              <w:left w:w="10" w:type="dxa"/>
              <w:right w:w="10" w:type="dxa"/>
              <w:top w:w="35" w:type="dxa"/>
              <w:bottom w:w="35" w:type="dxa"/>
            </w:tcMar>
          </w:tcPr>
          <w:p>
            <w:pPr>
              <w:spacing w:after="0" w:line="240" w:lineRule="auto"/>
            </w:pPr>
            <w:r>
              <w:rPr>
                <w:color w:val="000000"/>
                <w:sz w:val="17"/>
              </w:rPr>
              <w:t>NWM Retrospective</w:t>
            </w:r>
          </w:p>
        </w:tc>
        <w:tc>
          <w:tcPr>
            <w:tcW w:type="dxa" w:w="2520"/>
            <w:vAlign w:val="center"/>
            <w:tcMar>
              <w:left w:w="10" w:type="dxa"/>
              <w:right w:w="10" w:type="dxa"/>
              <w:top w:w="35" w:type="dxa"/>
              <w:bottom w:w="35" w:type="dxa"/>
            </w:tcMar>
          </w:tcPr>
          <w:p>
            <w:pPr>
              <w:spacing w:after="0" w:line="240" w:lineRule="auto"/>
            </w:pPr>
            <w:r>
              <w:rPr>
                <w:color w:val="000000"/>
                <w:sz w:val="17"/>
              </w:rPr>
              <w:t>NWM feature ID / COMID</w:t>
            </w:r>
          </w:p>
        </w:tc>
        <w:tc>
          <w:tcPr>
            <w:tcW w:type="dxa" w:w="2520"/>
            <w:vAlign w:val="center"/>
            <w:tcMar>
              <w:left w:w="10" w:type="dxa"/>
              <w:right w:w="10" w:type="dxa"/>
              <w:top w:w="35" w:type="dxa"/>
              <w:bottom w:w="35" w:type="dxa"/>
            </w:tcMar>
          </w:tcPr>
          <w:p>
            <w:pPr>
              <w:spacing w:after="0" w:line="240" w:lineRule="auto"/>
            </w:pPr>
            <w:r>
              <w:rPr>
                <w:color w:val="000000"/>
                <w:sz w:val="17"/>
              </w:rPr>
              <w:t>1979-02-01 to 2020-12-31. USA only.</w:t>
            </w:r>
          </w:p>
        </w:tc>
        <w:tc>
          <w:tcPr>
            <w:tcW w:type="dxa" w:w="2520"/>
            <w:vAlign w:val="center"/>
            <w:tcMar>
              <w:left w:w="10" w:type="dxa"/>
              <w:right w:w="10" w:type="dxa"/>
              <w:top w:w="35" w:type="dxa"/>
              <w:bottom w:w="35" w:type="dxa"/>
            </w:tcMar>
          </w:tcPr>
          <w:p>
            <w:pPr>
              <w:spacing w:after="0" w:line="240" w:lineRule="auto"/>
            </w:pPr>
            <w:r>
              <w:rPr>
                <w:color w:val="000000"/>
                <w:sz w:val="17"/>
              </w:rPr>
              <w:t>0.5h, 1h, 3h, 6h, 12h, or 24h. Default is 1h.</w:t>
            </w:r>
          </w:p>
        </w:tc>
      </w:tr>
      <w:tr>
        <w:tc>
          <w:tcPr>
            <w:tcW w:type="dxa" w:w="2520"/>
            <w:vAlign w:val="center"/>
            <w:tcMar>
              <w:left w:w="10" w:type="dxa"/>
              <w:right w:w="10" w:type="dxa"/>
              <w:top w:w="35" w:type="dxa"/>
              <w:bottom w:w="35" w:type="dxa"/>
            </w:tcMar>
          </w:tcPr>
          <w:p>
            <w:pPr>
              <w:spacing w:after="0" w:line="240" w:lineRule="auto"/>
            </w:pPr>
            <w:r>
              <w:rPr>
                <w:color w:val="000000"/>
                <w:sz w:val="17"/>
              </w:rPr>
              <w:t>NWM Forecast</w:t>
            </w:r>
          </w:p>
        </w:tc>
        <w:tc>
          <w:tcPr>
            <w:tcW w:type="dxa" w:w="2520"/>
            <w:vAlign w:val="center"/>
            <w:tcMar>
              <w:left w:w="10" w:type="dxa"/>
              <w:right w:w="10" w:type="dxa"/>
              <w:top w:w="35" w:type="dxa"/>
              <w:bottom w:w="35" w:type="dxa"/>
            </w:tcMar>
          </w:tcPr>
          <w:p>
            <w:pPr>
              <w:spacing w:after="0" w:line="240" w:lineRule="auto"/>
            </w:pPr>
            <w:r>
              <w:rPr>
                <w:color w:val="000000"/>
                <w:sz w:val="17"/>
              </w:rPr>
              <w:t>NWM feature ID / COMID</w:t>
            </w:r>
          </w:p>
        </w:tc>
        <w:tc>
          <w:tcPr>
            <w:tcW w:type="dxa" w:w="2520"/>
            <w:vAlign w:val="center"/>
            <w:tcMar>
              <w:left w:w="10" w:type="dxa"/>
              <w:right w:w="10" w:type="dxa"/>
              <w:top w:w="35" w:type="dxa"/>
              <w:bottom w:w="35" w:type="dxa"/>
            </w:tcMar>
          </w:tcPr>
          <w:p>
            <w:pPr>
              <w:spacing w:after="0" w:line="240" w:lineRule="auto"/>
            </w:pPr>
            <w:r>
              <w:rPr>
                <w:color w:val="000000"/>
                <w:sz w:val="17"/>
              </w:rPr>
              <w:t>Rolling forecast window, about 10 days from the current date. USA only. No historical archive.</w:t>
            </w:r>
          </w:p>
        </w:tc>
        <w:tc>
          <w:tcPr>
            <w:tcW w:type="dxa" w:w="2520"/>
            <w:vAlign w:val="center"/>
            <w:tcMar>
              <w:left w:w="10" w:type="dxa"/>
              <w:right w:w="10" w:type="dxa"/>
              <w:top w:w="35" w:type="dxa"/>
              <w:bottom w:w="35" w:type="dxa"/>
            </w:tcMar>
          </w:tcPr>
          <w:p>
            <w:pPr>
              <w:spacing w:after="0" w:line="240" w:lineRule="auto"/>
            </w:pPr>
            <w:r>
              <w:rPr>
                <w:color w:val="000000"/>
                <w:sz w:val="17"/>
              </w:rPr>
              <w:t>Forecast output is saved at 1-hour interval.</w:t>
            </w:r>
          </w:p>
        </w:tc>
      </w:tr>
      <w:tr>
        <w:tc>
          <w:tcPr>
            <w:tcW w:type="dxa" w:w="2520"/>
            <w:vAlign w:val="center"/>
            <w:tcMar>
              <w:left w:w="10" w:type="dxa"/>
              <w:right w:w="10" w:type="dxa"/>
              <w:top w:w="35" w:type="dxa"/>
              <w:bottom w:w="35" w:type="dxa"/>
            </w:tcMar>
          </w:tcPr>
          <w:p>
            <w:pPr>
              <w:spacing w:after="0" w:line="240" w:lineRule="auto"/>
            </w:pPr>
            <w:r>
              <w:rPr>
                <w:color w:val="000000"/>
                <w:sz w:val="17"/>
              </w:rPr>
              <w:t>USGS Stream Gage</w:t>
            </w:r>
          </w:p>
        </w:tc>
        <w:tc>
          <w:tcPr>
            <w:tcW w:type="dxa" w:w="2520"/>
            <w:vAlign w:val="center"/>
            <w:tcMar>
              <w:left w:w="10" w:type="dxa"/>
              <w:right w:w="10" w:type="dxa"/>
              <w:top w:w="35" w:type="dxa"/>
              <w:bottom w:w="35" w:type="dxa"/>
            </w:tcMar>
          </w:tcPr>
          <w:p>
            <w:pPr>
              <w:spacing w:after="0" w:line="240" w:lineRule="auto"/>
            </w:pPr>
            <w:r>
              <w:rPr>
                <w:color w:val="000000"/>
                <w:sz w:val="17"/>
              </w:rPr>
              <w:t>USGS gage number</w:t>
            </w:r>
          </w:p>
        </w:tc>
        <w:tc>
          <w:tcPr>
            <w:tcW w:type="dxa" w:w="2520"/>
            <w:vAlign w:val="center"/>
            <w:tcMar>
              <w:left w:w="10" w:type="dxa"/>
              <w:right w:w="10" w:type="dxa"/>
              <w:top w:w="35" w:type="dxa"/>
              <w:bottom w:w="35" w:type="dxa"/>
            </w:tcMar>
          </w:tcPr>
          <w:p>
            <w:pPr>
              <w:spacing w:after="0" w:line="240" w:lineRule="auto"/>
            </w:pPr>
            <w:r>
              <w:rPr>
                <w:color w:val="000000"/>
                <w:sz w:val="17"/>
              </w:rPr>
              <w:t>Depends on gage availability and requested period.</w:t>
            </w:r>
          </w:p>
        </w:tc>
        <w:tc>
          <w:tcPr>
            <w:tcW w:type="dxa" w:w="2520"/>
            <w:vAlign w:val="center"/>
            <w:tcMar>
              <w:left w:w="10" w:type="dxa"/>
              <w:right w:w="10" w:type="dxa"/>
              <w:top w:w="35" w:type="dxa"/>
              <w:bottom w:w="35" w:type="dxa"/>
            </w:tcMar>
          </w:tcPr>
          <w:p>
            <w:pPr>
              <w:spacing w:after="0" w:line="240" w:lineRule="auto"/>
            </w:pPr>
            <w:r>
              <w:rPr>
                <w:color w:val="000000"/>
                <w:sz w:val="17"/>
              </w:rPr>
              <w:t>15min, 30min, 1h, 3h, 6h, 12h, or 24h. Default is 1h.</w:t>
            </w:r>
          </w:p>
        </w:tc>
      </w:tr>
    </w:tbl>
    <w:p>
      <w:pPr>
        <w:pStyle w:val="Heading2"/>
      </w:pPr>
      <w:r>
        <w:rPr>
          <w:color w:val="000000"/>
        </w:rPr>
        <w:t>Entering IDs</w:t>
      </w:r>
    </w:p>
    <w:p>
      <w:pPr>
        <w:pStyle w:val="ListParagraph"/>
        <w:numPr>
          <w:ilvl w:val="0"/>
          <w:numId w:val="2"/>
        </w:numPr>
        <w:spacing w:after="0" w:line="240" w:lineRule="auto"/>
      </w:pPr>
      <w:r>
        <w:t>For NWM sources, enter a single feature ID, a comma-separated list of feature IDs, or browse to a CSV/TXT file. The feature_ids_&lt;AOI name&gt;.csv file created by Flowline Mode can be used here.</w:t>
      </w:r>
    </w:p>
    <w:p>
      <w:pPr>
        <w:pStyle w:val="ListParagraph"/>
        <w:numPr>
          <w:ilvl w:val="0"/>
          <w:numId w:val="2"/>
        </w:numPr>
        <w:spacing w:after="0" w:line="240" w:lineRule="auto"/>
      </w:pPr>
      <w:r>
        <w:t>For USGS Stream Gage, enter a single gage number, a comma-separated list of gage numbers, or browse to a CSV/TXT file. The usgs_gages_&lt;AOI name&gt;.csv file created by Flowline Mode can be used as a reference.</w:t>
      </w:r>
    </w:p>
    <w:p>
      <w:pPr>
        <w:pStyle w:val="ListParagraph"/>
        <w:numPr>
          <w:ilvl w:val="0"/>
          <w:numId w:val="2"/>
        </w:numPr>
        <w:spacing w:after="0" w:line="240" w:lineRule="auto"/>
      </w:pPr>
      <w:r>
        <w:t>CSV/TXT input files should contain one ID per line. A header row is not required.</w:t>
      </w:r>
    </w:p>
    <w:p>
      <w:pPr>
        <w:pStyle w:val="Heading2"/>
      </w:pPr>
      <w:r>
        <w:rPr>
          <w:color w:val="000000"/>
        </w:rPr>
        <w:t>Step 3 — Run</w:t>
      </w:r>
    </w:p>
    <w:p>
      <w:pPr>
        <w:pStyle w:val="ListParagraph"/>
        <w:numPr>
          <w:ilvl w:val="0"/>
          <w:numId w:val="2"/>
        </w:numPr>
        <w:spacing w:after="0" w:line="240" w:lineRule="auto"/>
      </w:pPr>
      <w:r>
        <w:t>Click “Download Streamflow Data”.</w:t>
      </w:r>
    </w:p>
    <w:p>
      <w:pPr>
        <w:pStyle w:val="ListParagraph"/>
        <w:numPr>
          <w:ilvl w:val="0"/>
          <w:numId w:val="2"/>
        </w:numPr>
        <w:spacing w:after="0" w:line="240" w:lineRule="auto"/>
      </w:pPr>
      <w:r>
        <w:t>Progress is shown while the app downloads and processes the selected source(s).</w:t>
      </w:r>
    </w:p>
    <w:p>
      <w:pPr>
        <w:pStyle w:val="ListParagraph"/>
        <w:numPr>
          <w:ilvl w:val="0"/>
          <w:numId w:val="2"/>
        </w:numPr>
        <w:spacing w:after="0" w:line="240" w:lineRule="auto"/>
      </w:pPr>
      <w:r>
        <w:t>When processing is complete, the app reports how many time series were saved. If data are unavailable or only partially cover the requested period, the results panel displays a warning.</w:t>
      </w:r>
    </w:p>
    <w:p>
      <w:pPr>
        <w:pStyle w:val="ListParagraph"/>
        <w:numPr>
          <w:ilvl w:val="0"/>
          <w:numId w:val="2"/>
        </w:numPr>
        <w:spacing w:after="0" w:line="240" w:lineRule="auto"/>
      </w:pPr>
      <w:r>
        <w:t>If one time series is downloaded, the hydrograph appears directly. If multiple time series are downloaded, a results table appears. Click a row to preview its hydrograph.</w:t>
      </w:r>
      <w:r/>
    </w:p>
    <w:p>
      <w:pPr>
        <w:pStyle w:val="Heading2"/>
      </w:pPr>
      <w:r>
        <w:rPr>
          <w:color w:val="000000"/>
        </w:rPr>
        <w:t>Streamflow Output Files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vAlign w:val="center"/>
            <w:tcMar>
              <w:left w:w="10" w:type="dxa"/>
              <w:right w:w="10" w:type="dxa"/>
              <w:top w:w="35" w:type="dxa"/>
              <w:bottom w:w="35" w:type="dxa"/>
            </w:tcMar>
          </w:tcPr>
          <w:p>
            <w:pPr>
              <w:spacing w:after="20" w:line="252" w:lineRule="auto"/>
            </w:pPr>
            <w:r>
              <w:rPr>
                <w:b/>
                <w:color w:val="000000"/>
                <w:sz w:val="20"/>
              </w:rPr>
              <w:t>Source</w:t>
            </w:r>
          </w:p>
        </w:tc>
        <w:tc>
          <w:tcPr>
            <w:tcW w:type="dxa" w:w="3360"/>
            <w:vAlign w:val="center"/>
            <w:tcMar>
              <w:left w:w="10" w:type="dxa"/>
              <w:right w:w="10" w:type="dxa"/>
              <w:top w:w="35" w:type="dxa"/>
              <w:bottom w:w="35" w:type="dxa"/>
            </w:tcMar>
          </w:tcPr>
          <w:p>
            <w:pPr>
              <w:spacing w:after="20" w:line="252" w:lineRule="auto"/>
            </w:pPr>
            <w:r>
              <w:rPr>
                <w:b/>
                <w:color w:val="000000"/>
                <w:sz w:val="20"/>
              </w:rPr>
              <w:t>Filename pattern</w:t>
            </w:r>
          </w:p>
        </w:tc>
        <w:tc>
          <w:tcPr>
            <w:tcW w:type="dxa" w:w="3360"/>
            <w:vAlign w:val="center"/>
            <w:tcMar>
              <w:left w:w="10" w:type="dxa"/>
              <w:right w:w="10" w:type="dxa"/>
              <w:top w:w="35" w:type="dxa"/>
              <w:bottom w:w="35" w:type="dxa"/>
            </w:tcMar>
          </w:tcPr>
          <w:p>
            <w:pPr>
              <w:spacing w:after="20" w:line="252" w:lineRule="auto"/>
            </w:pPr>
            <w:r>
              <w:rPr>
                <w:b/>
                <w:color w:val="000000"/>
                <w:sz w:val="20"/>
              </w:rPr>
              <w:t>CSV columns</w:t>
            </w:r>
          </w:p>
        </w:tc>
      </w:tr>
      <w:tr>
        <w:tc>
          <w:tcPr>
            <w:tcW w:type="dxa" w:w="3360"/>
            <w:vAlign w:val="center"/>
            <w:tcMar>
              <w:left w:w="10" w:type="dxa"/>
              <w:right w:w="10" w:type="dxa"/>
              <w:top w:w="35" w:type="dxa"/>
              <w:bottom w:w="35" w:type="dxa"/>
            </w:tcMar>
          </w:tcPr>
          <w:p>
            <w:pPr>
              <w:spacing w:after="20" w:line="252" w:lineRule="auto"/>
            </w:pPr>
            <w:r>
              <w:rPr>
                <w:color w:val="000000"/>
                <w:sz w:val="20"/>
              </w:rPr>
              <w:t>NWM Retrospective</w:t>
            </w:r>
          </w:p>
        </w:tc>
        <w:tc>
          <w:tcPr>
            <w:tcW w:type="dxa" w:w="3360"/>
            <w:vAlign w:val="center"/>
            <w:tcMar>
              <w:left w:w="10" w:type="dxa"/>
              <w:right w:w="10" w:type="dxa"/>
              <w:top w:w="35" w:type="dxa"/>
              <w:bottom w:w="35" w:type="dxa"/>
            </w:tcMar>
          </w:tcPr>
          <w:p>
            <w:pPr>
              <w:spacing w:after="20" w:line="252" w:lineRule="auto"/>
            </w:pPr>
            <w:r>
              <w:rPr>
                <w:color w:val="000000"/>
                <w:sz w:val="20"/>
              </w:rPr>
              <w:t>nwm_retro_&lt;feature_id&gt;.csv</w:t>
            </w:r>
          </w:p>
        </w:tc>
        <w:tc>
          <w:tcPr>
            <w:tcW w:type="dxa" w:w="3360"/>
            <w:vAlign w:val="center"/>
            <w:tcMar>
              <w:left w:w="10" w:type="dxa"/>
              <w:right w:w="10" w:type="dxa"/>
              <w:top w:w="35" w:type="dxa"/>
              <w:bottom w:w="35" w:type="dxa"/>
            </w:tcMar>
          </w:tcPr>
          <w:p>
            <w:pPr>
              <w:spacing w:after="20" w:line="252" w:lineRule="auto"/>
            </w:pPr>
            <w:r>
              <w:rPr>
                <w:color w:val="000000"/>
                <w:sz w:val="20"/>
              </w:rPr>
              <w:t>time_hours, discharge_cms</w:t>
            </w:r>
          </w:p>
        </w:tc>
      </w:tr>
      <w:tr>
        <w:tc>
          <w:tcPr>
            <w:tcW w:type="dxa" w:w="3360"/>
            <w:vAlign w:val="center"/>
            <w:tcMar>
              <w:left w:w="10" w:type="dxa"/>
              <w:right w:w="10" w:type="dxa"/>
              <w:top w:w="35" w:type="dxa"/>
              <w:bottom w:w="35" w:type="dxa"/>
            </w:tcMar>
          </w:tcPr>
          <w:p>
            <w:pPr>
              <w:spacing w:after="20" w:line="252" w:lineRule="auto"/>
            </w:pPr>
            <w:r>
              <w:rPr>
                <w:color w:val="000000"/>
                <w:sz w:val="20"/>
              </w:rPr>
              <w:t>NWM Forecast</w:t>
            </w:r>
          </w:p>
        </w:tc>
        <w:tc>
          <w:tcPr>
            <w:tcW w:type="dxa" w:w="3360"/>
            <w:vAlign w:val="center"/>
            <w:tcMar>
              <w:left w:w="10" w:type="dxa"/>
              <w:right w:w="10" w:type="dxa"/>
              <w:top w:w="35" w:type="dxa"/>
              <w:bottom w:w="35" w:type="dxa"/>
            </w:tcMar>
          </w:tcPr>
          <w:p>
            <w:pPr>
              <w:spacing w:after="20" w:line="252" w:lineRule="auto"/>
            </w:pPr>
            <w:r>
              <w:rPr>
                <w:color w:val="000000"/>
                <w:sz w:val="20"/>
              </w:rPr>
              <w:t>nwm_forecast_&lt;feature_id&gt;.csv</w:t>
            </w:r>
          </w:p>
        </w:tc>
        <w:tc>
          <w:tcPr>
            <w:tcW w:type="dxa" w:w="3360"/>
            <w:vAlign w:val="center"/>
            <w:tcMar>
              <w:left w:w="10" w:type="dxa"/>
              <w:right w:w="10" w:type="dxa"/>
              <w:top w:w="35" w:type="dxa"/>
              <w:bottom w:w="35" w:type="dxa"/>
            </w:tcMar>
          </w:tcPr>
          <w:p>
            <w:pPr>
              <w:spacing w:after="20" w:line="252" w:lineRule="auto"/>
            </w:pPr>
            <w:r>
              <w:rPr>
                <w:color w:val="000000"/>
                <w:sz w:val="20"/>
              </w:rPr>
              <w:t>time_hours, discharge_cms</w:t>
            </w:r>
          </w:p>
        </w:tc>
      </w:tr>
      <w:tr>
        <w:tc>
          <w:tcPr>
            <w:tcW w:type="dxa" w:w="3360"/>
            <w:vAlign w:val="center"/>
            <w:tcMar>
              <w:left w:w="10" w:type="dxa"/>
              <w:right w:w="10" w:type="dxa"/>
              <w:top w:w="35" w:type="dxa"/>
              <w:bottom w:w="35" w:type="dxa"/>
            </w:tcMar>
          </w:tcPr>
          <w:p>
            <w:pPr>
              <w:spacing w:after="20" w:line="252" w:lineRule="auto"/>
            </w:pPr>
            <w:r>
              <w:rPr>
                <w:color w:val="000000"/>
                <w:sz w:val="20"/>
              </w:rPr>
              <w:t>USGS Stream Gage</w:t>
            </w:r>
          </w:p>
        </w:tc>
        <w:tc>
          <w:tcPr>
            <w:tcW w:type="dxa" w:w="3360"/>
            <w:vAlign w:val="center"/>
            <w:tcMar>
              <w:left w:w="10" w:type="dxa"/>
              <w:right w:w="10" w:type="dxa"/>
              <w:top w:w="35" w:type="dxa"/>
              <w:bottom w:w="35" w:type="dxa"/>
            </w:tcMar>
          </w:tcPr>
          <w:p>
            <w:pPr>
              <w:spacing w:after="20" w:line="252" w:lineRule="auto"/>
            </w:pPr>
            <w:r>
              <w:rPr>
                <w:color w:val="000000"/>
                <w:sz w:val="20"/>
              </w:rPr>
              <w:t>usgs_discharge_&lt;gage_id&gt;.csv</w:t>
            </w:r>
          </w:p>
        </w:tc>
        <w:tc>
          <w:tcPr>
            <w:tcW w:type="dxa" w:w="3360"/>
            <w:vAlign w:val="center"/>
            <w:tcMar>
              <w:left w:w="10" w:type="dxa"/>
              <w:right w:w="10" w:type="dxa"/>
              <w:top w:w="35" w:type="dxa"/>
              <w:bottom w:w="35" w:type="dxa"/>
            </w:tcMar>
          </w:tcPr>
          <w:p>
            <w:pPr>
              <w:spacing w:after="20" w:line="252" w:lineRule="auto"/>
            </w:pPr>
            <w:r>
              <w:rPr>
                <w:color w:val="000000"/>
                <w:sz w:val="20"/>
              </w:rPr>
              <w:t>time_hours, discharge_cms</w:t>
            </w:r>
          </w:p>
        </w:tc>
      </w:tr>
    </w:tbl>
    <w:p>
      <w:r>
        <w:t>The primary model-ready discharge field is discharge_cms, which stores discharge in cubic meters per second. The time_hours column represents elapsed hours from the first timestamp and is useful for hydraulic model boundary inputs.</w:t>
      </w:r>
    </w:p>
    <w:p>
      <w:pPr>
        <w:pStyle w:val="Heading2"/>
      </w:pPr>
      <w:r>
        <w:rPr>
          <w:color w:val="000000"/>
        </w:rPr>
        <w:t>Using Flowline and Streamflow Together</w:t>
      </w:r>
    </w:p>
    <w:p>
      <w:pPr>
        <w:pStyle w:val="ListParagraph"/>
        <w:numPr>
          <w:ilvl w:val="0"/>
          <w:numId w:val="2"/>
        </w:numPr>
        <w:spacing w:after="0" w:line="240" w:lineRule="auto"/>
      </w:pPr>
      <w:r>
        <w:t>Run Flowline Mode first when you need to discover NWM feature IDs or nearby USGS gages for an AOI.</w:t>
      </w:r>
    </w:p>
    <w:p>
      <w:pPr>
        <w:pStyle w:val="ListParagraph"/>
        <w:numPr>
          <w:ilvl w:val="0"/>
          <w:numId w:val="2"/>
        </w:numPr>
        <w:spacing w:after="0" w:line="240" w:lineRule="auto"/>
      </w:pPr>
      <w:r>
        <w:t>Use feature_ids_&lt;AOI name&gt;.csv from Flowline Mode as input for NWM Retrospective or NWM Forecast downloads.</w:t>
      </w:r>
    </w:p>
    <w:p>
      <w:pPr>
        <w:pStyle w:val="ListParagraph"/>
        <w:numPr>
          <w:ilvl w:val="0"/>
          <w:numId w:val="2"/>
        </w:numPr>
        <w:spacing w:after="0" w:line="240" w:lineRule="auto"/>
      </w:pPr>
      <w:r>
        <w:t>Use usgs_gages_&lt;AOI name&gt;.csv from Flowline Mode to identify candidate USGS gage numbers, then enter the selected gage number(s) in Streamflow Data Mode.</w:t>
      </w:r>
    </w:p>
    <w:p>
      <w:pPr>
        <w:pStyle w:val="ListParagraph"/>
        <w:numPr>
          <w:ilvl w:val="0"/>
          <w:numId w:val="2"/>
        </w:numPr>
        <w:spacing w:after="0" w:line="240" w:lineRule="auto"/>
      </w:pPr>
      <w:r>
        <w:t>Check the hydrograph preview and warnings after each download to confirm the selected period has usable discharge data.</w:t>
      </w:r>
    </w:p>
    <w:sectPr w:rsidR="00A2740A">
      <w:headerReference w:type="default" r:id="rId11"/>
      <w:footerReference w:type="default" r:id="rId12"/>
      <w:headerReference w:type="first" r:id="rId15"/>
      <w:headerReference w:type="even" r:id="rId16"/>
      <w:footerReference w:type="first" r:id="rId17"/>
      <w:footerReference w:type="even"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24CF5B" w14:textId="77777777" w:rsidR="00A2740A" w:rsidRDefault="00A2740A">
      <w:r>
        <w:separator/>
      </w:r>
    </w:p>
  </w:endnote>
  <w:endnote w:type="continuationSeparator" w:id="0">
    <w:p w14:paraId="1203FB53" w14:textId="77777777" w:rsidR="00A2740A" w:rsidRDefault="00A27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1E0AA0" w14:textId="7A6B86DF" w:rsidR="00143815" w:rsidRDefault="00000000">
    <w:pPr>
      <w:pBdr>
        <w:top w:val="single" w:sz="4" w:space="2" w:color="CBD5E0"/>
      </w:pBdr>
      <w:jc w:val="center"/>
    </w:pPr>
    <w:r>
      <w:t>FIMsim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FIMsim</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FIMsim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CD15AA" w14:textId="77777777" w:rsidR="00A2740A" w:rsidRDefault="00A2740A">
      <w:r>
        <w:separator/>
      </w:r>
    </w:p>
  </w:footnote>
  <w:footnote w:type="continuationSeparator" w:id="0">
    <w:p w14:paraId="2EB654F5" w14:textId="77777777" w:rsidR="00A2740A" w:rsidRDefault="00A27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143815" w14:paraId="2EC9A177"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vAlign w:val="center"/>
        </w:tcPr>
        <w:p>
          <w:r>
            <w:t>FIMsim</w:t>
          </w:r>
        </w:p>
      </w:tc>
      <w:tc>
        <w:tcPr>
          <w:tcW w:w="3080" w:type="dxa"/>
          <w:tcBorders>
            <w:top w:val="none" w:sz="0" w:space="0" w:color="FFFFFF"/>
            <w:left w:val="none" w:sz="0" w:space="0" w:color="FFFFFF"/>
            <w:bottom w:val="none" w:sz="0" w:space="0" w:color="FFFFFF"/>
            <w:right w:val="none" w:sz="0" w:space="0" w:color="FFFFFF"/>
          </w:tcBorders>
          <w:vAlign w:val="center"/>
        </w:tcPr>
        <w:p>
          <w:r/>
        </w:p>
      </w:tc>
    </w:tr>
  </w:tbl>
  <w:p w14:paraId="0844257B" w14:textId="77777777" w:rsidR="00143815" w:rsidRDefault="00143815">
    <w:pPr>
      <w:pBdr>
        <w:bottom w:val="single" w:sz="4" w:space="2" w:color="2B6CB0"/>
      </w:pBd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617B76"/>
    <w:multiLevelType w:val="hybridMultilevel"/>
    <w:tmpl w:val="640489BE"/>
    <w:lvl w:ilvl="0" w:tplc="A5702828">
      <w:start w:val="1"/>
      <w:numFmt w:val="bullet"/>
      <w:lvlText w:val="●"/>
      <w:lvlJc w:val="left"/>
      <w:pPr>
        <w:ind w:left="720" w:hanging="360"/>
      </w:pPr>
    </w:lvl>
    <w:lvl w:ilvl="1" w:tplc="F53217C8">
      <w:start w:val="1"/>
      <w:numFmt w:val="bullet"/>
      <w:lvlText w:val="○"/>
      <w:lvlJc w:val="left"/>
      <w:pPr>
        <w:ind w:left="1440" w:hanging="360"/>
      </w:pPr>
    </w:lvl>
    <w:lvl w:ilvl="2" w:tplc="C852807A">
      <w:start w:val="1"/>
      <w:numFmt w:val="bullet"/>
      <w:lvlText w:val="■"/>
      <w:lvlJc w:val="left"/>
      <w:pPr>
        <w:ind w:left="2160" w:hanging="360"/>
      </w:pPr>
    </w:lvl>
    <w:lvl w:ilvl="3" w:tplc="52C6D4A4">
      <w:start w:val="1"/>
      <w:numFmt w:val="bullet"/>
      <w:lvlText w:val="●"/>
      <w:lvlJc w:val="left"/>
      <w:pPr>
        <w:ind w:left="2880" w:hanging="360"/>
      </w:pPr>
    </w:lvl>
    <w:lvl w:ilvl="4" w:tplc="2434408C">
      <w:start w:val="1"/>
      <w:numFmt w:val="bullet"/>
      <w:lvlText w:val="○"/>
      <w:lvlJc w:val="left"/>
      <w:pPr>
        <w:ind w:left="3600" w:hanging="360"/>
      </w:pPr>
    </w:lvl>
    <w:lvl w:ilvl="5" w:tplc="BC848C5A">
      <w:start w:val="1"/>
      <w:numFmt w:val="bullet"/>
      <w:lvlText w:val="■"/>
      <w:lvlJc w:val="left"/>
      <w:pPr>
        <w:ind w:left="4320" w:hanging="360"/>
      </w:pPr>
    </w:lvl>
    <w:lvl w:ilvl="6" w:tplc="0376144C">
      <w:start w:val="1"/>
      <w:numFmt w:val="bullet"/>
      <w:lvlText w:val="●"/>
      <w:lvlJc w:val="left"/>
      <w:pPr>
        <w:ind w:left="5040" w:hanging="360"/>
      </w:pPr>
    </w:lvl>
    <w:lvl w:ilvl="7" w:tplc="2C88DD8E">
      <w:start w:val="1"/>
      <w:numFmt w:val="bullet"/>
      <w:lvlText w:val="●"/>
      <w:lvlJc w:val="left"/>
      <w:pPr>
        <w:ind w:left="5760" w:hanging="360"/>
      </w:pPr>
    </w:lvl>
    <w:lvl w:ilvl="8" w:tplc="37787816">
      <w:start w:val="1"/>
      <w:numFmt w:val="bullet"/>
      <w:lvlText w:val="●"/>
      <w:lvlJc w:val="left"/>
      <w:pPr>
        <w:ind w:left="6480" w:hanging="360"/>
      </w:pPr>
    </w:lvl>
  </w:abstractNum>
  <w:abstractNum w:abstractNumId="1" w15:restartNumberingAfterBreak="0">
    <w:nsid w:val="691E6AEC"/>
    <w:multiLevelType w:val="hybridMultilevel"/>
    <w:tmpl w:val="6BA87614"/>
    <w:lvl w:ilvl="0" w:tplc="586A56EE">
      <w:start w:val="1"/>
      <w:numFmt w:val="bullet"/>
      <w:lvlText w:val="•"/>
      <w:lvlJc w:val="left"/>
      <w:pPr>
        <w:ind w:left="720" w:hanging="360"/>
      </w:pPr>
    </w:lvl>
    <w:lvl w:ilvl="1" w:tplc="83003A00">
      <w:numFmt w:val="decimal"/>
      <w:lvlText w:val=""/>
      <w:lvlJc w:val="left"/>
    </w:lvl>
    <w:lvl w:ilvl="2" w:tplc="9FBA4B34">
      <w:numFmt w:val="decimal"/>
      <w:lvlText w:val=""/>
      <w:lvlJc w:val="left"/>
    </w:lvl>
    <w:lvl w:ilvl="3" w:tplc="5E847746">
      <w:numFmt w:val="decimal"/>
      <w:lvlText w:val=""/>
      <w:lvlJc w:val="left"/>
    </w:lvl>
    <w:lvl w:ilvl="4" w:tplc="46EACDD8">
      <w:numFmt w:val="decimal"/>
      <w:lvlText w:val=""/>
      <w:lvlJc w:val="left"/>
    </w:lvl>
    <w:lvl w:ilvl="5" w:tplc="805CE1AA">
      <w:numFmt w:val="decimal"/>
      <w:lvlText w:val=""/>
      <w:lvlJc w:val="left"/>
    </w:lvl>
    <w:lvl w:ilvl="6" w:tplc="F1A4B0A4">
      <w:numFmt w:val="decimal"/>
      <w:lvlText w:val=""/>
      <w:lvlJc w:val="left"/>
    </w:lvl>
    <w:lvl w:ilvl="7" w:tplc="EF321322">
      <w:numFmt w:val="decimal"/>
      <w:lvlText w:val=""/>
      <w:lvlJc w:val="left"/>
    </w:lvl>
    <w:lvl w:ilvl="8" w:tplc="40D83380">
      <w:numFmt w:val="decimal"/>
      <w:lvlText w:val=""/>
      <w:lvlJc w:val="left"/>
    </w:lvl>
  </w:abstractNum>
  <w:num w:numId="1" w16cid:durableId="1650551317">
    <w:abstractNumId w:val="0"/>
    <w:lvlOverride w:ilvl="0">
      <w:startOverride w:val="1"/>
    </w:lvlOverride>
  </w:num>
  <w:num w:numId="2" w16cid:durableId="139443216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815"/>
    <w:rsid w:val="00020336"/>
    <w:rsid w:val="00143815"/>
    <w:rsid w:val="00322C51"/>
    <w:rsid w:val="00332A62"/>
    <w:rsid w:val="006049C0"/>
    <w:rsid w:val="00617491"/>
    <w:rsid w:val="006428DC"/>
    <w:rsid w:val="00836A5B"/>
    <w:rsid w:val="00863927"/>
    <w:rsid w:val="009408CE"/>
    <w:rsid w:val="00A2740A"/>
    <w:rsid w:val="00AE5BFB"/>
    <w:rsid w:val="00C926F8"/>
    <w:rsid w:val="00EB20C0"/>
    <w:rsid w:val="00F2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81E869"/>
  <w15:docId w15:val="{E3CCE9D1-DE1E-9D41-99C4-709C557AD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3C5E"/>
      <w:sz w:val="28"/>
      <w:szCs w:val="28"/>
    </w:rPr>
  </w:style>
  <w:style w:type="paragraph" w:styleId="Heading2">
    <w:name w:val="heading 2"/>
    <w:uiPriority w:val="9"/>
    <w:unhideWhenUsed/>
    <w:qFormat/>
    <w:pPr>
      <w:spacing w:before="240" w:after="80"/>
      <w:outlineLvl w:val="1"/>
    </w:pPr>
    <w:rPr>
      <w:b/>
      <w:bCs/>
      <w:color w:val="2B6CB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6A5B"/>
    <w:pPr>
      <w:tabs>
        <w:tab w:val="center" w:pos="4680"/>
        <w:tab w:val="right" w:pos="9360"/>
      </w:tabs>
    </w:pPr>
  </w:style>
  <w:style w:type="character" w:customStyle="1" w:styleId="HeaderChar">
    <w:name w:val="Header Char"/>
    <w:basedOn w:val="DefaultParagraphFont"/>
    <w:link w:val="Header"/>
    <w:uiPriority w:val="99"/>
    <w:rsid w:val="00836A5B"/>
  </w:style>
  <w:style w:type="paragraph" w:styleId="Footer">
    <w:name w:val="footer"/>
    <w:basedOn w:val="Normal"/>
    <w:link w:val="FooterChar"/>
    <w:uiPriority w:val="99"/>
    <w:unhideWhenUsed/>
    <w:rsid w:val="00836A5B"/>
    <w:pPr>
      <w:tabs>
        <w:tab w:val="center" w:pos="4680"/>
        <w:tab w:val="right" w:pos="9360"/>
      </w:tabs>
    </w:pPr>
  </w:style>
  <w:style w:type="character" w:customStyle="1" w:styleId="FooterChar">
    <w:name w:val="Footer Char"/>
    <w:basedOn w:val="DefaultParagraphFont"/>
    <w:link w:val="Footer"/>
    <w:uiPriority w:val="99"/>
    <w:rsid w:val="00836A5B"/>
  </w:style>
  <w:style w:type="character" w:styleId="Strong">
    <w:name w:val="Strong"/>
    <w:basedOn w:val="DefaultParagraphFont"/>
    <w:uiPriority w:val="22"/>
    <w:qFormat/>
    <w:rsid w:val="00332A62"/>
    <w:rPr>
      <w:b/>
      <w:bCs/>
    </w:rPr>
  </w:style>
  <w:style w:type="paragraph" w:customStyle="1" w:styleId="isselectedend">
    <w:name w:val="isselectedend"/>
    <w:basedOn w:val="Normal"/>
    <w:rsid w:val="006049C0"/>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0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49C0"/>
    <w:rPr>
      <w:rFonts w:ascii="Courier New" w:eastAsia="Times New Roman" w:hAnsi="Courier New" w:cs="Courier New"/>
      <w:sz w:val="20"/>
      <w:szCs w:val="20"/>
    </w:rPr>
  </w:style>
  <w:style w:type="character" w:styleId="HTMLCode">
    <w:name w:val="HTML Code"/>
    <w:basedOn w:val="DefaultParagraphFont"/>
    <w:uiPriority w:val="99"/>
    <w:semiHidden/>
    <w:unhideWhenUsed/>
    <w:rsid w:val="006049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8F8A9-94DF-D547-9C10-DBA600F9A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parvaneh nikrou</cp:lastModifiedBy>
  <cp:revision>3</cp:revision>
  <cp:lastPrinted>2026-06-25T15:19:00Z</cp:lastPrinted>
  <dcterms:created xsi:type="dcterms:W3CDTF">2026-06-25T15:19:00Z</dcterms:created>
  <dcterms:modified xsi:type="dcterms:W3CDTF">2026-06-25T15:21:00Z</dcterms:modified>
</cp:coreProperties>
</file>