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40"/>
        <w:jc w:val="center"/>
      </w:pPr>
      <w:r>
        <w:rPr>
          <w:rFonts w:ascii="Calibri" w:hAnsi="Calibri" w:eastAsia="Calibri"/>
          <w:b/>
          <w:color w:val="1F4D78"/>
          <w:sz w:val="56"/>
        </w:rPr>
        <w:t>FIMsim</w:t>
      </w:r>
    </w:p>
    <w:p>
      <w:pPr>
        <w:spacing w:after="160"/>
        <w:jc w:val="center"/>
      </w:pPr>
      <w:r>
        <w:rPr>
          <w:rFonts w:ascii="Calibri" w:hAnsi="Calibri" w:eastAsia="Calibri"/>
          <w:b w:val="0"/>
          <w:color w:val="2D3748"/>
          <w:sz w:val="32"/>
        </w:rPr>
        <w:t>Flood Inundation Model Simulation Tool</w:t>
      </w:r>
    </w:p>
    <w:p>
      <w:pPr>
        <w:spacing w:after="440"/>
        <w:jc w:val="center"/>
      </w:pPr>
      <w:r>
        <w:rPr>
          <w:rFonts w:ascii="Calibri" w:hAnsi="Calibri" w:eastAsia="Calibri"/>
          <w:b/>
          <w:color w:val="2E74B5"/>
          <w:sz w:val="30"/>
        </w:rPr>
        <w:t>User Manual — Flowline &amp; Streamflow Data Modes</w:t>
      </w:r>
    </w:p>
    <w:p/>
    <w:p>
      <w:pPr>
        <w:spacing w:after="60"/>
        <w:jc w:val="center"/>
      </w:pPr>
      <w:r>
        <w:rPr>
          <w:rFonts w:ascii="Calibri" w:hAnsi="Calibri" w:eastAsia="Calibri"/>
          <w:b w:val="0"/>
          <w:color w:val="2D3748"/>
          <w:sz w:val="24"/>
        </w:rPr>
        <w:t>Department of Geography and the Environment</w:t>
      </w:r>
    </w:p>
    <w:p>
      <w:pPr>
        <w:spacing w:after="240"/>
        <w:jc w:val="center"/>
      </w:pPr>
      <w:r>
        <w:rPr>
          <w:rFonts w:ascii="Calibri" w:hAnsi="Calibri" w:eastAsia="Calibri"/>
          <w:b w:val="0"/>
          <w:color w:val="2D3748"/>
          <w:sz w:val="24"/>
        </w:rPr>
        <w:t>The University of Alabama</w:t>
      </w:r>
    </w:p>
    <w:p>
      <w:pPr>
        <w:spacing w:after="440"/>
        <w:jc w:val="center"/>
      </w:pPr>
      <w:r>
        <w:rPr>
          <w:rFonts w:ascii="Calibri" w:hAnsi="Calibri" w:eastAsia="Calibri"/>
          <w:b w:val="0"/>
          <w:color w:val="2D3748"/>
          <w:sz w:val="24"/>
        </w:rPr>
        <w:t>Surface Dynamics Modeling Lab</w:t>
      </w:r>
    </w:p>
    <w:p>
      <w:pPr>
        <w:spacing w:after="60"/>
        <w:jc w:val="center"/>
      </w:pPr>
      <w:r>
        <w:rPr>
          <w:rFonts w:ascii="Calibri" w:hAnsi="Calibri" w:eastAsia="Calibri"/>
          <w:b w:val="0"/>
          <w:color w:val="2D3748"/>
          <w:sz w:val="24"/>
        </w:rPr>
        <w:t>Parvaneh Nikrou</w:t>
      </w:r>
    </w:p>
    <w:p>
      <w:r>
        <w:br w:type="page"/>
      </w:r>
    </w:p>
    <w:p>
      <w:pPr>
        <w:pStyle w:val="Heading1"/>
      </w:pPr>
      <w:r>
        <w:t>Overview</w:t>
      </w:r>
    </w:p>
    <w:p>
      <w:r>
        <w:t>FIMsim provides two standalone preprocessing modes for river network and discharge inputs: Flowline and Streamflow Data.</w:t>
      </w:r>
    </w:p>
    <w:tbl>
      <w:tblPr>
        <w:tblW w:type="dxa" w:w="9360"/>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4680"/>
        <w:gridCol w:w="4680"/>
      </w:tblGrid>
      <w:tr>
        <w:trPr>
          <w:cantSplit/>
        </w:trPr>
        <w:tc>
          <w:tcPr>
            <w:tcW w:type="dxa" w:w="4680"/>
            <w:tcMar>
              <w:top w:w="80" w:type="dxa"/>
              <w:start w:w="120" w:type="dxa"/>
              <w:bottom w:w="80" w:type="dxa"/>
              <w:end w:w="120" w:type="dxa"/>
            </w:tcMar>
            <w:vAlign w:val="center"/>
          </w:tcPr>
          <w:p>
            <w:pPr>
              <w:spacing w:after="40" w:line="276" w:lineRule="auto"/>
            </w:pPr>
            <w:r>
              <w:rPr>
                <w:rFonts w:ascii="Calibri" w:hAnsi="Calibri" w:eastAsia="Calibri"/>
                <w:sz w:val="21"/>
              </w:rPr>
              <w:t>Flowline Mode</w:t>
              <w:br/>
              <w:t>Download NHD river flowlines, identify the main river, save USGS gage locations, and export NWM feature IDs for each AOI.</w:t>
              <w:br/>
              <w:t>Outputs: .shp / .gpkg / .tif / .csv, gages CSV, feature IDs CSV.</w:t>
            </w:r>
          </w:p>
        </w:tc>
        <w:tc>
          <w:tcPr>
            <w:tcW w:type="dxa" w:w="4680"/>
            <w:tcMar>
              <w:top w:w="80" w:type="dxa"/>
              <w:start w:w="120" w:type="dxa"/>
              <w:bottom w:w="80" w:type="dxa"/>
              <w:end w:w="120" w:type="dxa"/>
            </w:tcMar>
            <w:vAlign w:val="center"/>
          </w:tcPr>
          <w:p>
            <w:pPr>
              <w:spacing w:after="40" w:line="276" w:lineRule="auto"/>
            </w:pPr>
            <w:r>
              <w:rPr>
                <w:rFonts w:ascii="Calibri" w:hAnsi="Calibri" w:eastAsia="Calibri"/>
                <w:sz w:val="21"/>
              </w:rPr>
              <w:t>Streamflow Data Mode</w:t>
              <w:br/>
              <w:t>Download discharge time series directly from NOAA NWM retrospective, NOAA NWM forecast, or USGS stream gages.</w:t>
              <w:br/>
              <w:t>Outputs: CSV files with time_hours and discharge_cms.</w:t>
            </w:r>
          </w:p>
        </w:tc>
      </w:tr>
    </w:tbl>
    <w:p>
      <w:r>
        <w:t>Both modes can be used independently. Flowline Mode requires one or more AOIs. Streamflow Data Mode does not require an AOI; it uses NWM feature IDs or USGS gage numbers entered by the user or loaded from a CSV file.</w:t>
      </w:r>
    </w:p>
    <w:p>
      <w:pPr>
        <w:pStyle w:val="Heading1"/>
      </w:pPr>
      <w:r>
        <w:t>Installation</w:t>
      </w:r>
    </w:p>
    <w:p>
      <w:r>
        <w:t>The installation is straightforward. You only need to install Anaconda first. Then, open Terminal on Mac or Anaconda Prompt on Windows and run these commands one by one:</w:t>
      </w:r>
    </w:p>
    <w:p>
      <w:pPr>
        <w:ind w:left="360"/>
      </w:pPr>
      <w:r>
        <w:rPr>
          <w:rFonts w:ascii="Courier New" w:hAnsi="Courier New" w:eastAsia="Courier New"/>
          <w:sz w:val="20"/>
        </w:rPr>
        <w:t>git clone https://github.com/pnikrou/FIMsim.git</w:t>
      </w:r>
    </w:p>
    <w:p>
      <w:pPr>
        <w:ind w:left="360"/>
      </w:pPr>
      <w:r>
        <w:rPr>
          <w:rFonts w:ascii="Courier New" w:hAnsi="Courier New" w:eastAsia="Courier New"/>
          <w:sz w:val="20"/>
        </w:rPr>
        <w:t>cd FIMsim</w:t>
      </w:r>
    </w:p>
    <w:p>
      <w:pPr>
        <w:ind w:left="360"/>
      </w:pPr>
      <w:r>
        <w:rPr>
          <w:rFonts w:ascii="Courier New" w:hAnsi="Courier New" w:eastAsia="Courier New"/>
          <w:sz w:val="20"/>
        </w:rPr>
        <w:t>conda env create -f environment.yml</w:t>
      </w:r>
    </w:p>
    <w:p>
      <w:pPr>
        <w:ind w:left="360"/>
      </w:pPr>
      <w:r>
        <w:rPr>
          <w:rFonts w:ascii="Courier New" w:hAnsi="Courier New" w:eastAsia="Courier New"/>
          <w:sz w:val="20"/>
        </w:rPr>
        <w:t>conda activate FIMsim</w:t>
      </w:r>
    </w:p>
    <w:p>
      <w:pPr>
        <w:ind w:left="360"/>
      </w:pPr>
      <w:r>
        <w:rPr>
          <w:rFonts w:ascii="Courier New" w:hAnsi="Courier New" w:eastAsia="Courier New"/>
          <w:sz w:val="20"/>
        </w:rPr>
        <w:t>python main.py</w:t>
      </w:r>
    </w:p>
    <w:p>
      <w:r>
        <w:t>The first-time setup usually takes around 10 minutes because it needs to download the required packages. After that, whenever you want to open the app again, you can simply run:</w:t>
      </w:r>
    </w:p>
    <w:p>
      <w:pPr>
        <w:ind w:left="360"/>
      </w:pPr>
      <w:r>
        <w:rPr>
          <w:rFonts w:ascii="Courier New" w:hAnsi="Courier New" w:eastAsia="Courier New"/>
          <w:sz w:val="20"/>
        </w:rPr>
        <w:t>cd FIMsim</w:t>
      </w:r>
    </w:p>
    <w:p>
      <w:pPr>
        <w:ind w:left="360"/>
      </w:pPr>
      <w:r>
        <w:rPr>
          <w:rFonts w:ascii="Courier New" w:hAnsi="Courier New" w:eastAsia="Courier New"/>
          <w:sz w:val="20"/>
        </w:rPr>
        <w:t>conda activate FIMsim</w:t>
      </w:r>
    </w:p>
    <w:p>
      <w:pPr>
        <w:ind w:left="360"/>
      </w:pPr>
      <w:r>
        <w:rPr>
          <w:rFonts w:ascii="Courier New" w:hAnsi="Courier New" w:eastAsia="Courier New"/>
          <w:sz w:val="20"/>
        </w:rPr>
        <w:t>python main.py</w:t>
      </w:r>
    </w:p>
    <w:p>
      <w:pPr>
        <w:pStyle w:val="Heading1"/>
      </w:pPr>
      <w:r>
        <w:t>Flowline Mode</w:t>
      </w:r>
    </w:p>
    <w:p>
      <w:r>
        <w:t>Flowline Mode downloads and processes river network data for one or more Areas of Interest using NHD flowlines. It can save the main river, all flowlines clipped to the AOI, nearby USGS gages, and NWM feature IDs that can be used later for streamflow downloads.</w:t>
      </w:r>
    </w:p>
    <w:p>
      <w:pPr>
        <w:pStyle w:val="Heading2"/>
      </w:pPr>
      <w:r>
        <w:t>Step 1 — Create or Open a Project</w:t>
      </w:r>
    </w:p>
    <w:p>
      <w:r>
        <w:t>Every session starts with a project. The project folder stores all downloaded files and settings.</w:t>
      </w:r>
    </w:p>
    <w:p>
      <w:pPr>
        <w:pStyle w:val="ListBullet"/>
      </w:pPr>
      <w:r>
        <w:t>Enter a Project Name.</w:t>
      </w:r>
    </w:p>
    <w:p>
      <w:pPr>
        <w:pStyle w:val="ListBullet"/>
      </w:pPr>
      <w:r>
        <w:t>Click Browse to choose where the project folder will be created.</w:t>
      </w:r>
    </w:p>
    <w:p>
      <w:pPr>
        <w:pStyle w:val="ListBullet"/>
      </w:pPr>
      <w:r>
        <w:t>Click Create Project.</w:t>
      </w:r>
    </w:p>
    <w:p>
      <w:pPr>
        <w:pStyle w:val="Heading2"/>
      </w:pPr>
      <w:r>
        <w:t>Step 2 — Define Area(s) of Interest (AOI)</w:t>
      </w:r>
    </w:p>
    <w:p>
      <w:r>
        <w:t>An AOI is a polygon shapefile (.shp) or GeoPackage (.gpkg) that defines the study boundary.</w:t>
      </w:r>
    </w:p>
    <w:p>
      <w:pPr>
        <w:pStyle w:val="ListBullet"/>
      </w:pPr>
      <w:r>
        <w:t>Click Browse and select your AOI file. The AOI file may contain one polygon feature or multiple polygon features.</w:t>
      </w:r>
    </w:p>
    <w:p>
      <w:pPr>
        <w:pStyle w:val="ListBullet"/>
      </w:pPr>
      <w:r>
        <w:t>After the file is loaded, the table will display all features included in the file. In the Use column, check the box for each feature you want to process. To process every feature in the file, click Select all features. Otherwise, select features individually.</w:t>
      </w:r>
    </w:p>
    <w:p>
      <w:pPr>
        <w:pStyle w:val="ListBullet"/>
      </w:pPr>
      <w:r>
        <w:t>If you want to add AOIs from another file, click Add more AOIs, then click Browse again and select the additional AOI file.</w:t>
      </w:r>
    </w:p>
    <w:p>
      <w:pPr>
        <w:pStyle w:val="ListBullet"/>
      </w:pPr>
      <w:r>
        <w:t>Once you have selected the desired AOI feature(s), click Add to confirmed AOIs. After an AOI is confirmed, a folder with the AOI name is automatically created inside the main project folder.</w:t>
      </w:r>
    </w:p>
    <w:p>
      <w:pPr>
        <w:pStyle w:val="ListBullet"/>
      </w:pPr>
      <w:r>
        <w:t>After confirmation, the selected AOIs appear in the Confirmed AOIs list. By clicking on each AOI, you can view a map preview of the selected area along with general information about it.</w:t>
      </w:r>
    </w:p>
    <w:p>
      <w:pPr>
        <w:pStyle w:val="ListBullet"/>
      </w:pPr>
      <w:r>
        <w:t>Click Next step at the bottom to continue.</w:t>
      </w:r>
      <w:r>
        <w:br w:type="page"/>
      </w:r>
    </w:p>
    <w:p>
      <w:pPr>
        <w:pStyle w:val="Heading2"/>
      </w:pPr>
      <w:r>
        <w:t>Step 3 — Configure Flowline Settings</w:t>
      </w:r>
    </w:p>
    <w:p>
      <w:r>
        <w:t>For each AOI, choose which flowline products to save and which format to use:</w:t>
      </w:r>
    </w:p>
    <w:tbl>
      <w:tblPr>
        <w:tblW w:type="dxa" w:w="9360"/>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088"/>
        <w:gridCol w:w="3672"/>
        <w:gridCol w:w="3600"/>
      </w:tblGrid>
      <w:tr>
        <w:trPr>
          <w:cantSplit/>
        </w:trPr>
        <w:tc>
          <w:tcPr>
            <w:tcW w:type="dxa" w:w="2088"/>
            <w:tcMar>
              <w:top w:w="80" w:type="dxa"/>
              <w:start w:w="120" w:type="dxa"/>
              <w:bottom w:w="80" w:type="dxa"/>
              <w:end w:w="120" w:type="dxa"/>
            </w:tcMar>
            <w:vAlign w:val="center"/>
            <w:shd w:fill="E8EEF5"/>
          </w:tcPr>
          <w:p>
            <w:pPr>
              <w:spacing w:after="40" w:line="276" w:lineRule="auto"/>
            </w:pPr>
            <w:r>
              <w:rPr>
                <w:rFonts w:ascii="Calibri" w:hAnsi="Calibri" w:eastAsia="Calibri"/>
                <w:b/>
                <w:sz w:val="21"/>
              </w:rPr>
              <w:t>Option</w:t>
            </w:r>
          </w:p>
        </w:tc>
        <w:tc>
          <w:tcPr>
            <w:tcW w:type="dxa" w:w="3672"/>
            <w:tcMar>
              <w:top w:w="80" w:type="dxa"/>
              <w:start w:w="120" w:type="dxa"/>
              <w:bottom w:w="80" w:type="dxa"/>
              <w:end w:w="120" w:type="dxa"/>
            </w:tcMar>
            <w:vAlign w:val="center"/>
            <w:shd w:fill="E8EEF5"/>
          </w:tcPr>
          <w:p>
            <w:pPr>
              <w:spacing w:after="40" w:line="276" w:lineRule="auto"/>
            </w:pPr>
            <w:r>
              <w:rPr>
                <w:rFonts w:ascii="Calibri" w:hAnsi="Calibri" w:eastAsia="Calibri"/>
                <w:b/>
                <w:sz w:val="21"/>
              </w:rPr>
              <w:t>Description</w:t>
            </w:r>
          </w:p>
        </w:tc>
        <w:tc>
          <w:tcPr>
            <w:tcW w:type="dxa" w:w="3600"/>
            <w:tcMar>
              <w:top w:w="80" w:type="dxa"/>
              <w:start w:w="120" w:type="dxa"/>
              <w:bottom w:w="80" w:type="dxa"/>
              <w:end w:w="120" w:type="dxa"/>
            </w:tcMar>
            <w:vAlign w:val="center"/>
            <w:shd w:fill="E8EEF5"/>
          </w:tcPr>
          <w:p>
            <w:pPr>
              <w:spacing w:after="40" w:line="276" w:lineRule="auto"/>
            </w:pPr>
            <w:r>
              <w:rPr>
                <w:rFonts w:ascii="Calibri" w:hAnsi="Calibri" w:eastAsia="Calibri"/>
                <w:b/>
                <w:sz w:val="21"/>
              </w:rPr>
              <w:t>Available formats / notes</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Main river</w:t>
            </w:r>
          </w:p>
        </w:tc>
        <w:tc>
          <w:tcPr>
            <w:tcW w:type="dxa" w:w="3672"/>
            <w:tcMar>
              <w:top w:w="80" w:type="dxa"/>
              <w:start w:w="120" w:type="dxa"/>
              <w:bottom w:w="80" w:type="dxa"/>
              <w:end w:w="120" w:type="dxa"/>
            </w:tcMar>
            <w:vAlign w:val="center"/>
          </w:tcPr>
          <w:p>
            <w:pPr>
              <w:spacing w:after="40" w:line="276" w:lineRule="auto"/>
            </w:pPr>
            <w:r>
              <w:rPr>
                <w:rFonts w:ascii="Calibri" w:hAnsi="Calibri" w:eastAsia="Calibri"/>
                <w:sz w:val="21"/>
              </w:rPr>
              <w:t>Saves the highest-stream-order NHD river reach identified inside the AOI.</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Shapefile (.shp), GeoPackage (.gpkg), TIF raster (.tif), or CSV (.csv). This option is selected by default.</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All flowlines</w:t>
            </w:r>
          </w:p>
        </w:tc>
        <w:tc>
          <w:tcPr>
            <w:tcW w:type="dxa" w:w="3672"/>
            <w:tcMar>
              <w:top w:w="80" w:type="dxa"/>
              <w:start w:w="120" w:type="dxa"/>
              <w:bottom w:w="80" w:type="dxa"/>
              <w:end w:w="120" w:type="dxa"/>
            </w:tcMar>
            <w:vAlign w:val="center"/>
          </w:tcPr>
          <w:p>
            <w:pPr>
              <w:spacing w:after="40" w:line="276" w:lineRule="auto"/>
            </w:pPr>
            <w:r>
              <w:rPr>
                <w:rFonts w:ascii="Calibri" w:hAnsi="Calibri" w:eastAsia="Calibri"/>
                <w:sz w:val="21"/>
              </w:rPr>
              <w:t>Saves the full NHD reach set clipped to the AOI.</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Shapefile, GeoPackage, TIF raster, or CSV. This option is optional.</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Cell size for TIF</w:t>
            </w:r>
          </w:p>
        </w:tc>
        <w:tc>
          <w:tcPr>
            <w:tcW w:type="dxa" w:w="3672"/>
            <w:tcMar>
              <w:top w:w="80" w:type="dxa"/>
              <w:start w:w="120" w:type="dxa"/>
              <w:bottom w:w="80" w:type="dxa"/>
              <w:end w:w="120" w:type="dxa"/>
            </w:tcMar>
            <w:vAlign w:val="center"/>
          </w:tcPr>
          <w:p>
            <w:pPr>
              <w:spacing w:after="40" w:line="276" w:lineRule="auto"/>
            </w:pPr>
            <w:r>
              <w:rPr>
                <w:rFonts w:ascii="Calibri" w:hAnsi="Calibri" w:eastAsia="Calibri"/>
                <w:sz w:val="21"/>
              </w:rPr>
              <w:t>Controls the raster cell size when either Main river or All flowlines is saved as a TIF.</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Default is 30 m. Use the same or similar resolution as the hydraulic model grid when possible.</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USGS gages CSV</w:t>
            </w:r>
          </w:p>
        </w:tc>
        <w:tc>
          <w:tcPr>
            <w:tcW w:type="dxa" w:w="3672"/>
            <w:tcMar>
              <w:top w:w="80" w:type="dxa"/>
              <w:start w:w="120" w:type="dxa"/>
              <w:bottom w:w="80" w:type="dxa"/>
              <w:end w:w="120" w:type="dxa"/>
            </w:tcMar>
            <w:vAlign w:val="center"/>
          </w:tcPr>
          <w:p>
            <w:pPr>
              <w:spacing w:after="40" w:line="276" w:lineRule="auto"/>
            </w:pPr>
            <w:r>
              <w:rPr>
                <w:rFonts w:ascii="Calibri" w:hAnsi="Calibri" w:eastAsia="Calibri"/>
                <w:sz w:val="21"/>
              </w:rPr>
              <w:t>Saves a CSV of USGS stream gages found for the AOI.</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Selected by default. The gage IDs can be used later in Streamflow Data Mode.</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Feature IDs CSV</w:t>
            </w:r>
          </w:p>
        </w:tc>
        <w:tc>
          <w:tcPr>
            <w:tcW w:type="dxa" w:w="3672"/>
            <w:tcMar>
              <w:top w:w="80" w:type="dxa"/>
              <w:start w:w="120" w:type="dxa"/>
              <w:bottom w:w="80" w:type="dxa"/>
              <w:end w:w="120" w:type="dxa"/>
            </w:tcMar>
            <w:vAlign w:val="center"/>
          </w:tcPr>
          <w:p>
            <w:pPr>
              <w:spacing w:after="40" w:line="276" w:lineRule="auto"/>
            </w:pPr>
            <w:r>
              <w:rPr>
                <w:rFonts w:ascii="Calibri" w:hAnsi="Calibri" w:eastAsia="Calibri"/>
                <w:sz w:val="21"/>
              </w:rPr>
              <w:t>Saves NWM feature IDs from the downloaded NHD flowlines.</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Saved automatically. These IDs can be used for NWM retrospective or forecast streamflow downloads.</w:t>
            </w:r>
          </w:p>
        </w:tc>
      </w:tr>
    </w:tbl>
    <w:p>
      <w:r>
        <w:t>For multiple AOIs, each AOI gets its own settings card. Use Apply current AOI’s settings to all to copy settings across all AOIs at once.</w:t>
      </w:r>
    </w:p>
    <w:p>
      <w:pPr>
        <w:pStyle w:val="Heading2"/>
      </w:pPr>
      <w:r>
        <w:t>Step 4 — Run</w:t>
      </w:r>
    </w:p>
    <w:p>
      <w:pPr>
        <w:pStyle w:val="ListBullet"/>
      </w:pPr>
      <w:r>
        <w:t>Click Download Flowlines for all AOIs.</w:t>
      </w:r>
    </w:p>
    <w:p>
      <w:pPr>
        <w:pStyle w:val="ListBullet"/>
      </w:pPr>
      <w:r>
        <w:t>Progress is shown in the log panel and progress bar.</w:t>
      </w:r>
    </w:p>
    <w:p>
      <w:pPr>
        <w:pStyle w:val="ListBullet"/>
      </w:pPr>
      <w:r>
        <w:t>When complete, a results list appears. Click any AOI name to view the AOI polygon, downloaded flowlines, USGS gages, and upstream/downstream markers on the map.</w:t>
      </w:r>
    </w:p>
    <w:p>
      <w:pPr>
        <w:pStyle w:val="ListBullet"/>
      </w:pPr>
      <w:r>
        <w:t>Output files are saved inside each AOI folder: &lt;project&gt;/&lt;AOI name&gt;/.</w:t>
      </w:r>
      <w:r>
        <w:br w:type="page"/>
      </w:r>
    </w:p>
    <w:p>
      <w:pPr>
        <w:pStyle w:val="Heading2"/>
      </w:pPr>
      <w:r>
        <w:t>Flowline Output Files</w:t>
      </w:r>
    </w:p>
    <w:tbl>
      <w:tblPr>
        <w:tblW w:type="dxa" w:w="9360"/>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232"/>
        <w:gridCol w:w="3240"/>
        <w:gridCol w:w="3888"/>
      </w:tblGrid>
      <w:tr>
        <w:trPr>
          <w:cantSplit/>
        </w:trPr>
        <w:tc>
          <w:tcPr>
            <w:tcW w:type="dxa" w:w="2232"/>
            <w:tcMar>
              <w:top w:w="80" w:type="dxa"/>
              <w:start w:w="120" w:type="dxa"/>
              <w:bottom w:w="80" w:type="dxa"/>
              <w:end w:w="120" w:type="dxa"/>
            </w:tcMar>
            <w:vAlign w:val="center"/>
            <w:shd w:fill="E8EEF5"/>
          </w:tcPr>
          <w:p>
            <w:pPr>
              <w:spacing w:after="40" w:line="276" w:lineRule="auto"/>
            </w:pPr>
            <w:r>
              <w:rPr>
                <w:rFonts w:ascii="Calibri" w:hAnsi="Calibri" w:eastAsia="Calibri"/>
                <w:b/>
                <w:sz w:val="21"/>
              </w:rPr>
              <w:t>Output</w:t>
            </w:r>
          </w:p>
        </w:tc>
        <w:tc>
          <w:tcPr>
            <w:tcW w:type="dxa" w:w="3240"/>
            <w:tcMar>
              <w:top w:w="80" w:type="dxa"/>
              <w:start w:w="120" w:type="dxa"/>
              <w:bottom w:w="80" w:type="dxa"/>
              <w:end w:w="120" w:type="dxa"/>
            </w:tcMar>
            <w:vAlign w:val="center"/>
            <w:shd w:fill="E8EEF5"/>
          </w:tcPr>
          <w:p>
            <w:pPr>
              <w:spacing w:after="40" w:line="276" w:lineRule="auto"/>
            </w:pPr>
            <w:r>
              <w:rPr>
                <w:rFonts w:ascii="Calibri" w:hAnsi="Calibri" w:eastAsia="Calibri"/>
                <w:b/>
                <w:sz w:val="21"/>
              </w:rPr>
              <w:t>Typical filename</w:t>
            </w:r>
          </w:p>
        </w:tc>
        <w:tc>
          <w:tcPr>
            <w:tcW w:type="dxa" w:w="3888"/>
            <w:tcMar>
              <w:top w:w="80" w:type="dxa"/>
              <w:start w:w="120" w:type="dxa"/>
              <w:bottom w:w="80" w:type="dxa"/>
              <w:end w:w="120" w:type="dxa"/>
            </w:tcMar>
            <w:vAlign w:val="center"/>
            <w:shd w:fill="E8EEF5"/>
          </w:tcPr>
          <w:p>
            <w:pPr>
              <w:spacing w:after="40" w:line="276" w:lineRule="auto"/>
            </w:pPr>
            <w:r>
              <w:rPr>
                <w:rFonts w:ascii="Calibri" w:hAnsi="Calibri" w:eastAsia="Calibri"/>
                <w:b/>
                <w:sz w:val="21"/>
              </w:rPr>
              <w:t>Purpose</w:t>
            </w:r>
          </w:p>
        </w:tc>
      </w:tr>
      <w:tr>
        <w:trPr>
          <w:cantSplit/>
        </w:trPr>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Main river</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main_river_&lt;AOI name&gt;.*</w:t>
            </w:r>
          </w:p>
        </w:tc>
        <w:tc>
          <w:tcPr>
            <w:tcW w:type="dxa" w:w="3888"/>
            <w:tcMar>
              <w:top w:w="80" w:type="dxa"/>
              <w:start w:w="120" w:type="dxa"/>
              <w:bottom w:w="80" w:type="dxa"/>
              <w:end w:w="120" w:type="dxa"/>
            </w:tcMar>
            <w:vAlign w:val="center"/>
          </w:tcPr>
          <w:p>
            <w:pPr>
              <w:spacing w:after="40" w:line="276" w:lineRule="auto"/>
            </w:pPr>
            <w:r>
              <w:rPr>
                <w:rFonts w:ascii="Calibri" w:hAnsi="Calibri" w:eastAsia="Calibri"/>
                <w:sz w:val="21"/>
              </w:rPr>
              <w:t>Main NHD river reach selected for the AOI.</w:t>
            </w:r>
          </w:p>
        </w:tc>
      </w:tr>
      <w:tr>
        <w:trPr>
          <w:cantSplit/>
        </w:trPr>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All flowlines</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all_flowlines_&lt;AOI name&gt;.*</w:t>
            </w:r>
          </w:p>
        </w:tc>
        <w:tc>
          <w:tcPr>
            <w:tcW w:type="dxa" w:w="3888"/>
            <w:tcMar>
              <w:top w:w="80" w:type="dxa"/>
              <w:start w:w="120" w:type="dxa"/>
              <w:bottom w:w="80" w:type="dxa"/>
              <w:end w:w="120" w:type="dxa"/>
            </w:tcMar>
            <w:vAlign w:val="center"/>
          </w:tcPr>
          <w:p>
            <w:pPr>
              <w:spacing w:after="40" w:line="276" w:lineRule="auto"/>
            </w:pPr>
            <w:r>
              <w:rPr>
                <w:rFonts w:ascii="Calibri" w:hAnsi="Calibri" w:eastAsia="Calibri"/>
                <w:sz w:val="21"/>
              </w:rPr>
              <w:t>All NHD flowlines clipped to the AOI.</w:t>
            </w:r>
          </w:p>
        </w:tc>
      </w:tr>
      <w:tr>
        <w:trPr>
          <w:cantSplit/>
        </w:trPr>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USGS gages</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usgs_gages_&lt;AOI name&gt;.csv</w:t>
            </w:r>
          </w:p>
        </w:tc>
        <w:tc>
          <w:tcPr>
            <w:tcW w:type="dxa" w:w="3888"/>
            <w:tcMar>
              <w:top w:w="80" w:type="dxa"/>
              <w:start w:w="120" w:type="dxa"/>
              <w:bottom w:w="80" w:type="dxa"/>
              <w:end w:w="120" w:type="dxa"/>
            </w:tcMar>
            <w:vAlign w:val="center"/>
          </w:tcPr>
          <w:p>
            <w:pPr>
              <w:spacing w:after="40" w:line="276" w:lineRule="auto"/>
            </w:pPr>
            <w:r>
              <w:rPr>
                <w:rFonts w:ascii="Calibri" w:hAnsi="Calibri" w:eastAsia="Calibri"/>
                <w:sz w:val="21"/>
              </w:rPr>
              <w:t>Station number, station name, latitude, and longitude for USGS gages.</w:t>
            </w:r>
          </w:p>
        </w:tc>
      </w:tr>
      <w:tr>
        <w:trPr>
          <w:cantSplit/>
        </w:trPr>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NWM feature IDs</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feature_ids_&lt;AOI name&gt;.csv</w:t>
            </w:r>
          </w:p>
        </w:tc>
        <w:tc>
          <w:tcPr>
            <w:tcW w:type="dxa" w:w="3888"/>
            <w:tcMar>
              <w:top w:w="80" w:type="dxa"/>
              <w:start w:w="120" w:type="dxa"/>
              <w:bottom w:w="80" w:type="dxa"/>
              <w:end w:w="120" w:type="dxa"/>
            </w:tcMar>
            <w:vAlign w:val="center"/>
          </w:tcPr>
          <w:p>
            <w:pPr>
              <w:spacing w:after="40" w:line="276" w:lineRule="auto"/>
            </w:pPr>
            <w:r>
              <w:rPr>
                <w:rFonts w:ascii="Calibri" w:hAnsi="Calibri" w:eastAsia="Calibri"/>
                <w:sz w:val="21"/>
              </w:rPr>
              <w:t>Feature IDs / COMIDs used by NWM streamflow downloads.</w:t>
            </w:r>
          </w:p>
        </w:tc>
      </w:tr>
    </w:tbl>
    <w:p>
      <w:pPr>
        <w:pStyle w:val="Heading1"/>
      </w:pPr>
      <w:r>
        <w:t>Streamflow Data Mode</w:t>
      </w:r>
    </w:p>
    <w:p>
      <w:r>
        <w:t>Streamflow Data Mode downloads discharge time series without requiring an AOI. You can enter NWM feature IDs or USGS gage numbers directly, paste comma-separated values, or browse to a CSV/TXT file with one ID per line.</w:t>
      </w:r>
    </w:p>
    <w:p>
      <w:pPr>
        <w:pStyle w:val="Heading2"/>
      </w:pPr>
      <w:r>
        <w:t>Step 1 — Create or Open a Project</w:t>
      </w:r>
    </w:p>
    <w:p>
      <w:r>
        <w:t>Start by creating or opening a project. Streamflow CSV outputs are saved directly in the project folder.</w:t>
      </w:r>
    </w:p>
    <w:p>
      <w:pPr>
        <w:pStyle w:val="Heading2"/>
      </w:pPr>
      <w:r>
        <w:t>Step 2 — Choose Streamflow Source(s)</w:t>
      </w:r>
    </w:p>
    <w:p>
      <w:r>
        <w:t>Enable one or more streamflow sources. Each enabled source has its own ID field, date range, and interval settings.</w:t>
      </w:r>
    </w:p>
    <w:tbl>
      <w:tblPr>
        <w:tblW w:type="dxa" w:w="9360"/>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088"/>
        <w:gridCol w:w="2232"/>
        <w:gridCol w:w="3240"/>
        <w:gridCol w:w="1800"/>
      </w:tblGrid>
      <w:tr>
        <w:trPr>
          <w:cantSplit/>
        </w:trPr>
        <w:tc>
          <w:tcPr>
            <w:tcW w:type="dxa" w:w="2088"/>
            <w:tcMar>
              <w:top w:w="80" w:type="dxa"/>
              <w:start w:w="120" w:type="dxa"/>
              <w:bottom w:w="80" w:type="dxa"/>
              <w:end w:w="120" w:type="dxa"/>
            </w:tcMar>
            <w:vAlign w:val="center"/>
            <w:shd w:fill="E8EEF5"/>
          </w:tcPr>
          <w:p>
            <w:pPr>
              <w:spacing w:after="40" w:line="276" w:lineRule="auto"/>
            </w:pPr>
            <w:r>
              <w:rPr>
                <w:rFonts w:ascii="Calibri" w:hAnsi="Calibri" w:eastAsia="Calibri"/>
                <w:b/>
                <w:sz w:val="21"/>
              </w:rPr>
              <w:t>Source</w:t>
            </w:r>
          </w:p>
        </w:tc>
        <w:tc>
          <w:tcPr>
            <w:tcW w:type="dxa" w:w="2232"/>
            <w:tcMar>
              <w:top w:w="80" w:type="dxa"/>
              <w:start w:w="120" w:type="dxa"/>
              <w:bottom w:w="80" w:type="dxa"/>
              <w:end w:w="120" w:type="dxa"/>
            </w:tcMar>
            <w:vAlign w:val="center"/>
            <w:shd w:fill="E8EEF5"/>
          </w:tcPr>
          <w:p>
            <w:pPr>
              <w:spacing w:after="40" w:line="276" w:lineRule="auto"/>
            </w:pPr>
            <w:r>
              <w:rPr>
                <w:rFonts w:ascii="Calibri" w:hAnsi="Calibri" w:eastAsia="Calibri"/>
                <w:b/>
                <w:sz w:val="21"/>
              </w:rPr>
              <w:t>Required ID</w:t>
            </w:r>
          </w:p>
        </w:tc>
        <w:tc>
          <w:tcPr>
            <w:tcW w:type="dxa" w:w="3240"/>
            <w:tcMar>
              <w:top w:w="80" w:type="dxa"/>
              <w:start w:w="120" w:type="dxa"/>
              <w:bottom w:w="80" w:type="dxa"/>
              <w:end w:w="120" w:type="dxa"/>
            </w:tcMar>
            <w:vAlign w:val="center"/>
            <w:shd w:fill="E8EEF5"/>
          </w:tcPr>
          <w:p>
            <w:pPr>
              <w:spacing w:after="40" w:line="276" w:lineRule="auto"/>
            </w:pPr>
            <w:r>
              <w:rPr>
                <w:rFonts w:ascii="Calibri" w:hAnsi="Calibri" w:eastAsia="Calibri"/>
                <w:b/>
                <w:sz w:val="21"/>
              </w:rPr>
              <w:t>Date coverage</w:t>
            </w:r>
          </w:p>
        </w:tc>
        <w:tc>
          <w:tcPr>
            <w:tcW w:type="dxa" w:w="1800"/>
            <w:tcMar>
              <w:top w:w="80" w:type="dxa"/>
              <w:start w:w="120" w:type="dxa"/>
              <w:bottom w:w="80" w:type="dxa"/>
              <w:end w:w="120" w:type="dxa"/>
            </w:tcMar>
            <w:vAlign w:val="center"/>
            <w:shd w:fill="E8EEF5"/>
          </w:tcPr>
          <w:p>
            <w:pPr>
              <w:spacing w:after="40" w:line="276" w:lineRule="auto"/>
            </w:pPr>
            <w:r>
              <w:rPr>
                <w:rFonts w:ascii="Calibri" w:hAnsi="Calibri" w:eastAsia="Calibri"/>
                <w:b/>
                <w:sz w:val="21"/>
              </w:rPr>
              <w:t>Interval</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NWM Retrospective</w:t>
            </w:r>
          </w:p>
        </w:tc>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NWM feature ID / COMID</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1979-02-01 to 2020-12-31. USA only.</w:t>
            </w:r>
          </w:p>
        </w:tc>
        <w:tc>
          <w:tcPr>
            <w:tcW w:type="dxa" w:w="1800"/>
            <w:tcMar>
              <w:top w:w="80" w:type="dxa"/>
              <w:start w:w="120" w:type="dxa"/>
              <w:bottom w:w="80" w:type="dxa"/>
              <w:end w:w="120" w:type="dxa"/>
            </w:tcMar>
            <w:vAlign w:val="center"/>
          </w:tcPr>
          <w:p>
            <w:pPr>
              <w:spacing w:after="40" w:line="276" w:lineRule="auto"/>
            </w:pPr>
            <w:r>
              <w:rPr>
                <w:rFonts w:ascii="Calibri" w:hAnsi="Calibri" w:eastAsia="Calibri"/>
                <w:sz w:val="21"/>
              </w:rPr>
              <w:t>0.5h, 1h, 3h, 6h, 12h, or 24h. Default is 1h.</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NWM Forecast</w:t>
            </w:r>
          </w:p>
        </w:tc>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NWM feature ID / COMID</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Rolling forecast window, about 10 days from the current date. USA only. No historical archive.</w:t>
            </w:r>
          </w:p>
        </w:tc>
        <w:tc>
          <w:tcPr>
            <w:tcW w:type="dxa" w:w="1800"/>
            <w:tcMar>
              <w:top w:w="80" w:type="dxa"/>
              <w:start w:w="120" w:type="dxa"/>
              <w:bottom w:w="80" w:type="dxa"/>
              <w:end w:w="120" w:type="dxa"/>
            </w:tcMar>
            <w:vAlign w:val="center"/>
          </w:tcPr>
          <w:p>
            <w:pPr>
              <w:spacing w:after="40" w:line="276" w:lineRule="auto"/>
            </w:pPr>
            <w:r>
              <w:rPr>
                <w:rFonts w:ascii="Calibri" w:hAnsi="Calibri" w:eastAsia="Calibri"/>
                <w:sz w:val="21"/>
              </w:rPr>
              <w:t>Forecast output is saved at 1-hour interval.</w:t>
            </w:r>
          </w:p>
        </w:tc>
      </w:tr>
      <w:tr>
        <w:trPr>
          <w:cantSplit/>
        </w:trPr>
        <w:tc>
          <w:tcPr>
            <w:tcW w:type="dxa" w:w="2088"/>
            <w:tcMar>
              <w:top w:w="80" w:type="dxa"/>
              <w:start w:w="120" w:type="dxa"/>
              <w:bottom w:w="80" w:type="dxa"/>
              <w:end w:w="120" w:type="dxa"/>
            </w:tcMar>
            <w:vAlign w:val="center"/>
          </w:tcPr>
          <w:p>
            <w:pPr>
              <w:spacing w:after="40" w:line="276" w:lineRule="auto"/>
            </w:pPr>
            <w:r>
              <w:rPr>
                <w:rFonts w:ascii="Calibri" w:hAnsi="Calibri" w:eastAsia="Calibri"/>
                <w:sz w:val="21"/>
              </w:rPr>
              <w:t>USGS Stream Gage</w:t>
            </w:r>
          </w:p>
        </w:tc>
        <w:tc>
          <w:tcPr>
            <w:tcW w:type="dxa" w:w="2232"/>
            <w:tcMar>
              <w:top w:w="80" w:type="dxa"/>
              <w:start w:w="120" w:type="dxa"/>
              <w:bottom w:w="80" w:type="dxa"/>
              <w:end w:w="120" w:type="dxa"/>
            </w:tcMar>
            <w:vAlign w:val="center"/>
          </w:tcPr>
          <w:p>
            <w:pPr>
              <w:spacing w:after="40" w:line="276" w:lineRule="auto"/>
            </w:pPr>
            <w:r>
              <w:rPr>
                <w:rFonts w:ascii="Calibri" w:hAnsi="Calibri" w:eastAsia="Calibri"/>
                <w:sz w:val="21"/>
              </w:rPr>
              <w:t>USGS gage number</w:t>
            </w:r>
          </w:p>
        </w:tc>
        <w:tc>
          <w:tcPr>
            <w:tcW w:type="dxa" w:w="3240"/>
            <w:tcMar>
              <w:top w:w="80" w:type="dxa"/>
              <w:start w:w="120" w:type="dxa"/>
              <w:bottom w:w="80" w:type="dxa"/>
              <w:end w:w="120" w:type="dxa"/>
            </w:tcMar>
            <w:vAlign w:val="center"/>
          </w:tcPr>
          <w:p>
            <w:pPr>
              <w:spacing w:after="40" w:line="276" w:lineRule="auto"/>
            </w:pPr>
            <w:r>
              <w:rPr>
                <w:rFonts w:ascii="Calibri" w:hAnsi="Calibri" w:eastAsia="Calibri"/>
                <w:sz w:val="21"/>
              </w:rPr>
              <w:t>Depends on gage availability and requested period.</w:t>
            </w:r>
          </w:p>
        </w:tc>
        <w:tc>
          <w:tcPr>
            <w:tcW w:type="dxa" w:w="1800"/>
            <w:tcMar>
              <w:top w:w="80" w:type="dxa"/>
              <w:start w:w="120" w:type="dxa"/>
              <w:bottom w:w="80" w:type="dxa"/>
              <w:end w:w="120" w:type="dxa"/>
            </w:tcMar>
            <w:vAlign w:val="center"/>
          </w:tcPr>
          <w:p>
            <w:pPr>
              <w:spacing w:after="40" w:line="276" w:lineRule="auto"/>
            </w:pPr>
            <w:r>
              <w:rPr>
                <w:rFonts w:ascii="Calibri" w:hAnsi="Calibri" w:eastAsia="Calibri"/>
                <w:sz w:val="21"/>
              </w:rPr>
              <w:t>15min, 30min, 1h, 3h, 6h, 12h, or 24h. Default is 1h.</w:t>
            </w:r>
          </w:p>
        </w:tc>
      </w:tr>
    </w:tbl>
    <w:p>
      <w:pPr>
        <w:pStyle w:val="Heading2"/>
      </w:pPr>
      <w:r>
        <w:t>Entering IDs</w:t>
      </w:r>
    </w:p>
    <w:p>
      <w:pPr>
        <w:pStyle w:val="ListBullet"/>
      </w:pPr>
      <w:r>
        <w:t>For NWM sources, enter a single feature ID, a comma-separated list of feature IDs, or browse to a CSV/TXT file. The feature_ids_&lt;AOI name&gt;.csv file created by Flowline Mode can be used here.</w:t>
      </w:r>
    </w:p>
    <w:p>
      <w:pPr>
        <w:pStyle w:val="ListBullet"/>
      </w:pPr>
      <w:r>
        <w:t>For USGS Stream Gage, enter a single gage number, a comma-separated list of gage numbers, or browse to a CSV/TXT file. The usgs_gages_&lt;AOI name&gt;.csv file created by Flowline Mode can be used as a reference.</w:t>
      </w:r>
    </w:p>
    <w:p>
      <w:pPr>
        <w:pStyle w:val="ListBullet"/>
      </w:pPr>
      <w:r>
        <w:t>CSV/TXT input files should contain one ID per line. A header row is not required.</w:t>
      </w:r>
    </w:p>
    <w:p>
      <w:pPr>
        <w:pStyle w:val="Heading2"/>
      </w:pPr>
      <w:r>
        <w:t>Step 3 — Run</w:t>
      </w:r>
    </w:p>
    <w:p>
      <w:pPr>
        <w:pStyle w:val="ListBullet"/>
      </w:pPr>
      <w:r>
        <w:t>Click Download Streamflow Data.</w:t>
      </w:r>
    </w:p>
    <w:p>
      <w:pPr>
        <w:pStyle w:val="ListBullet"/>
      </w:pPr>
      <w:r>
        <w:t>Progress is shown while the app downloads and processes the selected source(s).</w:t>
      </w:r>
    </w:p>
    <w:p>
      <w:pPr>
        <w:pStyle w:val="ListBullet"/>
      </w:pPr>
      <w:r>
        <w:t>When processing is complete, the app reports how many time series were saved. If data are unavailable or only partially cover the requested period, the results panel displays a warning.</w:t>
      </w:r>
    </w:p>
    <w:p>
      <w:pPr>
        <w:pStyle w:val="ListBullet"/>
      </w:pPr>
      <w:r>
        <w:t>If one time series is downloaded, the hydrograph appears directly. If multiple time series are downloaded, a results table appears. Click a row to preview its hydrograph.</w:t>
      </w:r>
      <w:r>
        <w:br w:type="page"/>
      </w:r>
    </w:p>
    <w:p>
      <w:pPr>
        <w:pStyle w:val="Heading2"/>
      </w:pPr>
      <w:r>
        <w:t>Streamflow Output Files</w:t>
      </w:r>
    </w:p>
    <w:tbl>
      <w:tblPr>
        <w:tblW w:type="dxa" w:w="9360"/>
        <w:jc w:val="left"/>
        <w:tblLayout w:type="fixed"/>
        <w:tblLook w:firstColumn="1" w:firstRow="1" w:lastColumn="0" w:lastRow="0" w:noHBand="0" w:noVBand="1" w:val="04A0"/>
        <w:tblInd w:w="120" w:type="dxa"/>
        <w:tblBorders>
          <w:top w:val="single" w:sz="6" w:space="0" w:color="AAB7C4"/>
          <w:left w:val="single" w:sz="6" w:space="0" w:color="AAB7C4"/>
          <w:bottom w:val="single" w:sz="6" w:space="0" w:color="AAB7C4"/>
          <w:right w:val="single" w:sz="6" w:space="0" w:color="AAB7C4"/>
          <w:insideH w:val="single" w:sz="6" w:space="0" w:color="AAB7C4"/>
          <w:insideV w:val="single" w:sz="6" w:space="0" w:color="AAB7C4"/>
        </w:tblBorders>
      </w:tblPr>
      <w:tblGrid>
        <w:gridCol w:w="2376"/>
        <w:gridCol w:w="3384"/>
        <w:gridCol w:w="3600"/>
      </w:tblGrid>
      <w:tr>
        <w:trPr>
          <w:cantSplit/>
        </w:trPr>
        <w:tc>
          <w:tcPr>
            <w:tcW w:type="dxa" w:w="2376"/>
            <w:tcMar>
              <w:top w:w="80" w:type="dxa"/>
              <w:start w:w="120" w:type="dxa"/>
              <w:bottom w:w="80" w:type="dxa"/>
              <w:end w:w="120" w:type="dxa"/>
            </w:tcMar>
            <w:vAlign w:val="center"/>
            <w:shd w:fill="E8EEF5"/>
          </w:tcPr>
          <w:p>
            <w:pPr>
              <w:spacing w:after="40" w:line="276" w:lineRule="auto"/>
            </w:pPr>
            <w:r>
              <w:rPr>
                <w:rFonts w:ascii="Calibri" w:hAnsi="Calibri" w:eastAsia="Calibri"/>
                <w:b/>
                <w:sz w:val="21"/>
              </w:rPr>
              <w:t>Source</w:t>
            </w:r>
          </w:p>
        </w:tc>
        <w:tc>
          <w:tcPr>
            <w:tcW w:type="dxa" w:w="3384"/>
            <w:tcMar>
              <w:top w:w="80" w:type="dxa"/>
              <w:start w:w="120" w:type="dxa"/>
              <w:bottom w:w="80" w:type="dxa"/>
              <w:end w:w="120" w:type="dxa"/>
            </w:tcMar>
            <w:vAlign w:val="center"/>
            <w:shd w:fill="E8EEF5"/>
          </w:tcPr>
          <w:p>
            <w:pPr>
              <w:spacing w:after="40" w:line="276" w:lineRule="auto"/>
            </w:pPr>
            <w:r>
              <w:rPr>
                <w:rFonts w:ascii="Calibri" w:hAnsi="Calibri" w:eastAsia="Calibri"/>
                <w:b/>
                <w:sz w:val="21"/>
              </w:rPr>
              <w:t>Filename pattern</w:t>
            </w:r>
          </w:p>
        </w:tc>
        <w:tc>
          <w:tcPr>
            <w:tcW w:type="dxa" w:w="3600"/>
            <w:tcMar>
              <w:top w:w="80" w:type="dxa"/>
              <w:start w:w="120" w:type="dxa"/>
              <w:bottom w:w="80" w:type="dxa"/>
              <w:end w:w="120" w:type="dxa"/>
            </w:tcMar>
            <w:vAlign w:val="center"/>
            <w:shd w:fill="E8EEF5"/>
          </w:tcPr>
          <w:p>
            <w:pPr>
              <w:spacing w:after="40" w:line="276" w:lineRule="auto"/>
            </w:pPr>
            <w:r>
              <w:rPr>
                <w:rFonts w:ascii="Calibri" w:hAnsi="Calibri" w:eastAsia="Calibri"/>
                <w:b/>
                <w:sz w:val="21"/>
              </w:rPr>
              <w:t>CSV columns</w:t>
            </w:r>
          </w:p>
        </w:tc>
      </w:tr>
      <w:tr>
        <w:trPr>
          <w:cantSplit/>
        </w:trPr>
        <w:tc>
          <w:tcPr>
            <w:tcW w:type="dxa" w:w="2376"/>
            <w:tcMar>
              <w:top w:w="80" w:type="dxa"/>
              <w:start w:w="120" w:type="dxa"/>
              <w:bottom w:w="80" w:type="dxa"/>
              <w:end w:w="120" w:type="dxa"/>
            </w:tcMar>
            <w:vAlign w:val="center"/>
          </w:tcPr>
          <w:p>
            <w:pPr>
              <w:spacing w:after="40" w:line="276" w:lineRule="auto"/>
            </w:pPr>
            <w:r>
              <w:rPr>
                <w:rFonts w:ascii="Calibri" w:hAnsi="Calibri" w:eastAsia="Calibri"/>
                <w:sz w:val="21"/>
              </w:rPr>
              <w:t>NWM Retrospective</w:t>
            </w:r>
          </w:p>
        </w:tc>
        <w:tc>
          <w:tcPr>
            <w:tcW w:type="dxa" w:w="3384"/>
            <w:tcMar>
              <w:top w:w="80" w:type="dxa"/>
              <w:start w:w="120" w:type="dxa"/>
              <w:bottom w:w="80" w:type="dxa"/>
              <w:end w:w="120" w:type="dxa"/>
            </w:tcMar>
            <w:vAlign w:val="center"/>
          </w:tcPr>
          <w:p>
            <w:pPr>
              <w:spacing w:after="40" w:line="276" w:lineRule="auto"/>
            </w:pPr>
            <w:r>
              <w:rPr>
                <w:rFonts w:ascii="Calibri" w:hAnsi="Calibri" w:eastAsia="Calibri"/>
                <w:sz w:val="21"/>
              </w:rPr>
              <w:t>nwm_retro_&lt;feature_id&gt;.csv</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time_hours, discharge_cms</w:t>
            </w:r>
          </w:p>
        </w:tc>
      </w:tr>
      <w:tr>
        <w:trPr>
          <w:cantSplit/>
        </w:trPr>
        <w:tc>
          <w:tcPr>
            <w:tcW w:type="dxa" w:w="2376"/>
            <w:tcMar>
              <w:top w:w="80" w:type="dxa"/>
              <w:start w:w="120" w:type="dxa"/>
              <w:bottom w:w="80" w:type="dxa"/>
              <w:end w:w="120" w:type="dxa"/>
            </w:tcMar>
            <w:vAlign w:val="center"/>
          </w:tcPr>
          <w:p>
            <w:pPr>
              <w:spacing w:after="40" w:line="276" w:lineRule="auto"/>
            </w:pPr>
            <w:r>
              <w:rPr>
                <w:rFonts w:ascii="Calibri" w:hAnsi="Calibri" w:eastAsia="Calibri"/>
                <w:sz w:val="21"/>
              </w:rPr>
              <w:t>NWM Forecast</w:t>
            </w:r>
          </w:p>
        </w:tc>
        <w:tc>
          <w:tcPr>
            <w:tcW w:type="dxa" w:w="3384"/>
            <w:tcMar>
              <w:top w:w="80" w:type="dxa"/>
              <w:start w:w="120" w:type="dxa"/>
              <w:bottom w:w="80" w:type="dxa"/>
              <w:end w:w="120" w:type="dxa"/>
            </w:tcMar>
            <w:vAlign w:val="center"/>
          </w:tcPr>
          <w:p>
            <w:pPr>
              <w:spacing w:after="40" w:line="276" w:lineRule="auto"/>
            </w:pPr>
            <w:r>
              <w:rPr>
                <w:rFonts w:ascii="Calibri" w:hAnsi="Calibri" w:eastAsia="Calibri"/>
                <w:sz w:val="21"/>
              </w:rPr>
              <w:t>nwm_forecast_&lt;feature_id&gt;.csv</w:t>
            </w:r>
          </w:p>
        </w:tc>
        <w:tc>
          <w:tcPr>
            <w:tcW w:type="dxa" w:w="3600"/>
            <w:tcMar>
              <w:top w:w="80" w:type="dxa"/>
              <w:start w:w="120" w:type="dxa"/>
              <w:bottom w:w="80" w:type="dxa"/>
              <w:end w:w="120" w:type="dxa"/>
            </w:tcMar>
            <w:vAlign w:val="center"/>
          </w:tcPr>
          <w:p>
            <w:pPr>
              <w:spacing w:after="40" w:line="276" w:lineRule="auto"/>
            </w:pPr>
            <w:r>
              <w:rPr>
                <w:rFonts w:ascii="Calibri" w:hAnsi="Calibri" w:eastAsia="Calibri"/>
                <w:sz w:val="21"/>
              </w:rPr>
              <w:t>time_hours, discharge_cms</w:t>
            </w:r>
          </w:p>
        </w:tc>
      </w:tr>
      <w:tr>
        <w:trPr>
          <w:cantSplit/>
        </w:trPr>
        <w:tc>
          <w:tcPr>
            <w:tcW w:type="dxa" w:w="2376"/>
            <w:tcMar>
              <w:top w:w="80" w:type="dxa"/>
              <w:start w:w="120" w:type="dxa"/>
              <w:bottom w:w="80" w:type="dxa"/>
              <w:end w:w="120" w:type="dxa"/>
            </w:tcMar>
            <w:vAlign w:val="center"/>
          </w:tcPr>
          <w:p>
            <w:pPr>
              <w:spacing w:after="40" w:line="276" w:lineRule="auto"/>
            </w:pPr>
            <w:r>
              <w:rPr>
                <w:rFonts w:ascii="Calibri" w:hAnsi="Calibri" w:eastAsia="Calibri"/>
                <w:sz w:val="21"/>
              </w:rPr>
              <w:t>USGS Stream Gage</w:t>
            </w:r>
          </w:p>
        </w:tc>
        <w:tc>
          <w:tcPr>
            <w:tcW w:type="dxa" w:w="3384"/>
            <w:tcMar>
              <w:top w:w="80" w:type="dxa"/>
              <w:start w:w="120" w:type="dxa"/>
              <w:bottom w:w="80" w:type="dxa"/>
              <w:end w:w="120" w:type="dxa"/>
            </w:tcMar>
            <w:vAlign w:val="center"/>
          </w:tcPr>
          <w:p>
            <w:pPr>
              <w:spacing w:after="40" w:line="276" w:lineRule="auto"/>
            </w:pPr>
            <w:r>
              <w:rPr>
                <w:rFonts w:ascii="Calibri" w:hAnsi="Calibri" w:eastAsia="Calibri"/>
                <w:sz w:val="21"/>
              </w:rPr>
              <w:t>usgs_discharge_&lt;gage_id&gt;.csv</w:t>
            </w:r>
          </w:p>
        </w:tc>
        <w:tc>
          <w:tcPr>
            <w:tcW w:type="dxa" w:w="3600"/>
            <w:tcMar>
              <w:top w:w="80" w:type="dxa"/>
              <w:start w:w="120" w:type="dxa"/>
              <w:bottom w:w="80" w:type="dxa"/>
              <w:end w:w="120" w:type="dxa"/>
            </w:tcMar>
            <w:vAlign w:val="center"/>
          </w:tcPr>
          <w:p>
            <w:pPr>
              <w:spacing w:after="0"/>
            </w:pPr>
            <w:r>
              <w:rPr>
                <w:rFonts w:ascii="Calibri" w:hAnsi="Calibri"/>
              </w:rPr>
              <w:t>time_hours, discharge_cms</w:t>
            </w:r>
          </w:p>
        </w:tc>
      </w:tr>
    </w:tbl>
    <w:p>
      <w:r>
        <w:t>The primary model-ready discharge field is discharge_cms, which stores discharge in cubic meters per second. The time_hours column represents elapsed hours from the first timestamp and is useful for hydraulic model boundary inputs.</w:t>
      </w:r>
    </w:p>
    <w:p>
      <w:pPr>
        <w:pStyle w:val="Heading1"/>
      </w:pPr>
      <w:r>
        <w:t>Using Flowline and Streamflow Together</w:t>
      </w:r>
    </w:p>
    <w:p>
      <w:pPr>
        <w:pStyle w:val="ListBullet"/>
      </w:pPr>
      <w:r>
        <w:t>Run Flowline Mode first when you need to discover NWM feature IDs or nearby USGS gages for an AOI.</w:t>
      </w:r>
    </w:p>
    <w:p>
      <w:pPr>
        <w:pStyle w:val="ListBullet"/>
      </w:pPr>
      <w:r>
        <w:t>Use feature_ids_&lt;AOI name&gt;.csv from Flowline Mode as input for NWM Retrospective or NWM Forecast downloads.</w:t>
      </w:r>
    </w:p>
    <w:p>
      <w:pPr>
        <w:pStyle w:val="ListBullet"/>
      </w:pPr>
      <w:r>
        <w:t>Use usgs_gages_&lt;AOI name&gt;.csv from Flowline Mode to identify candidate USGS gage numbers, then enter the selected gage number(s) in Streamflow Data Mode.</w:t>
      </w:r>
    </w:p>
    <w:p>
      <w:pPr>
        <w:pStyle w:val="ListBullet"/>
      </w:pPr>
      <w:r>
        <w:t>Check the hydrograph preview and warnings after each download to confirm the selected period has usable discharge data.</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8"/>
      </w:rPr>
      <w:t>FIMsim Manual — Flowline &amp; Streamflow Data Modes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