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CSI Web &amp; IPP — Deep-Dive Reference</w:t>
      </w:r>
    </w:p>
    <w:p>
      <w:r>
        <w:rPr>
          <w:b/>
        </w:rPr>
        <w:t>Version:</w:t>
      </w:r>
      <w:r>
        <w:t xml:space="preserve"> 1.0 · </w:t>
      </w:r>
      <w:r>
        <w:rPr>
          <w:b/>
        </w:rPr>
        <w:t>Date:</w:t>
      </w:r>
      <w:r>
        <w:t xml:space="preserve"> July 20, 2026</w:t>
      </w:r>
    </w:p>
    <w:p>
      <w:r>
        <w:rPr>
          <w:b/>
        </w:rPr>
        <w:t>Compiled by:</w:t>
      </w:r>
      <w:r>
        <w:t xml:space="preserve"> Narendra Kumar (Lead Architect), synthesized from the email corpus (including the full "IPP Intake for Meritain" thread), the RCS Solution Architecture, the preference-architecture email threads, and the July 2026 meeting-transcript record.</w:t>
      </w:r>
    </w:p>
    <w:p>
      <w:r>
        <w:rPr>
          <w:b/>
        </w:rPr>
        <w:t>Classification:</w:t>
      </w:r>
      <w:r>
        <w:t xml:space="preserve"> CVS Health / Meritain Internal — Confidential.</w:t>
      </w:r>
    </w:p>
    <w:p>
      <w:r>
        <w:rPr>
          <w:b/>
        </w:rPr>
        <w:t>Purpose.</w:t>
      </w:r>
      <w:r>
        <w:t xml:space="preserve"> CSI Web and IPP sit at the intersection of three active workstreams — member communications (RCS/SMS/email), the contact-center AI discovery, and the transaction-cache consumer roadmap. This document consolidates everything known about each: current state, ownership, integration points, decision history, and open questions, with source provenance.</w:t>
      </w:r>
    </w:p>
    <w:p>
      <w:pPr>
        <w:pStyle w:val="Heading1"/>
      </w:pPr>
      <w:r>
        <w:t>PART A — CSI WEB (Customer Service Interface Web)</w:t>
      </w:r>
    </w:p>
    <w:p>
      <w:pPr>
        <w:pStyle w:val="Heading2"/>
      </w:pPr>
      <w:r>
        <w:t>A1. What It Is</w:t>
      </w:r>
    </w:p>
    <w:p>
      <w:r>
        <w:t xml:space="preserve">CSI Web is </w:t>
      </w:r>
      <w:r>
        <w:rPr>
          <w:b/>
        </w:rPr>
        <w:t>Meritain's CSR-facing application</w:t>
      </w:r>
      <w:r>
        <w:t xml:space="preserve"> — the front end customer-service representatives use for member data lookup, call logging, and (on request) preference updates. It is a Meritain-owned application, explicitly distinct from Aetna's GPS CSR platform: when the IPP team asked "which application supports Meritain members from a CSR standpoint — is it Aetna CSR GPS?", the on-record answer was "</w:t>
      </w:r>
      <w:r>
        <w:rPr>
          <w:b/>
        </w:rPr>
        <w:t>CSI Web — Meritain-owned app</w:t>
      </w:r>
      <w:r>
        <w:t>."</w:t>
      </w:r>
    </w:p>
    <w:p>
      <w:r>
        <w:t xml:space="preserve">It exists in </w:t>
      </w:r>
      <w:r>
        <w:rPr>
          <w:b/>
        </w:rPr>
        <w:t>web + desktop</w:t>
      </w:r>
      <w:r>
        <w:t xml:space="preserve"> forms and reaches DG through </w:t>
      </w:r>
      <w:r>
        <w:rPr>
          <w:b/>
        </w:rPr>
        <w:t>WebDE</w:t>
      </w:r>
      <w:r>
        <w:t xml:space="preserve"> (the RedBack service layer on the DG box). It is one of the named Systems of Engagement on the master landscape diagram, alongside MeritainConnect, QuickClicks, MHAT, and the portals.</w:t>
      </w:r>
    </w:p>
    <w:p>
      <w:pPr>
        <w:pStyle w:val="Heading2"/>
      </w:pPr>
      <w:r>
        <w:t>A2. Current State — Technical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spacing w:after="40"/>
            </w:pPr>
            <w:r>
              <w:rPr>
                <w:sz w:val="18"/>
              </w:rPr>
            </w:r>
            <w:r>
              <w:rPr>
                <w:b/>
                <w:sz w:val="18"/>
              </w:rPr>
              <w:t>Aspect</w:t>
            </w:r>
          </w:p>
        </w:tc>
        <w:tc>
          <w:tcPr>
            <w:tcW w:type="dxa" w:w="2880"/>
            <w:shd w:val="clear" w:fill="D9E2F3"/>
          </w:tcPr>
          <w:p>
            <w:pPr>
              <w:spacing w:after="40"/>
            </w:pPr>
            <w:r>
              <w:rPr>
                <w:sz w:val="18"/>
              </w:rPr>
            </w:r>
            <w:r>
              <w:rPr>
                <w:b/>
                <w:sz w:val="18"/>
              </w:rPr>
              <w:t>What is known</w:t>
            </w:r>
          </w:p>
        </w:tc>
        <w:tc>
          <w:tcPr>
            <w:tcW w:type="dxa" w:w="2880"/>
            <w:shd w:val="clear" w:fill="D9E2F3"/>
          </w:tcPr>
          <w:p>
            <w:pPr>
              <w:spacing w:after="40"/>
            </w:pPr>
            <w:r>
              <w:rPr>
                <w:sz w:val="18"/>
              </w:rPr>
            </w:r>
            <w:r>
              <w:rPr>
                <w:b/>
                <w:sz w:val="18"/>
              </w:rPr>
              <w:t>Source</w:t>
            </w:r>
          </w:p>
        </w:tc>
      </w:tr>
      <w:tr>
        <w:tc>
          <w:tcPr>
            <w:tcW w:type="dxa" w:w="2880"/>
          </w:tcPr>
          <w:p>
            <w:pPr>
              <w:spacing w:after="40"/>
            </w:pPr>
            <w:r>
              <w:rPr>
                <w:sz w:val="18"/>
              </w:rPr>
            </w:r>
            <w:r>
              <w:rPr>
                <w:sz w:val="18"/>
              </w:rPr>
              <w:t>Platform role</w:t>
            </w:r>
          </w:p>
        </w:tc>
        <w:tc>
          <w:tcPr>
            <w:tcW w:type="dxa" w:w="2880"/>
          </w:tcPr>
          <w:p>
            <w:pPr>
              <w:spacing w:after="40"/>
            </w:pPr>
            <w:r>
              <w:rPr>
                <w:sz w:val="18"/>
              </w:rPr>
            </w:r>
            <w:r>
              <w:rPr>
                <w:sz w:val="18"/>
              </w:rPr>
              <w:t>CSR data lookup + call logging front end for DG</w:t>
            </w:r>
          </w:p>
        </w:tc>
        <w:tc>
          <w:tcPr>
            <w:tcW w:type="dxa" w:w="2880"/>
          </w:tcPr>
          <w:p>
            <w:pPr>
              <w:spacing w:after="40"/>
            </w:pPr>
            <w:r>
              <w:rPr>
                <w:sz w:val="18"/>
              </w:rPr>
            </w:r>
            <w:r>
              <w:rPr>
                <w:sz w:val="18"/>
              </w:rPr>
              <w:t>Landscape diagram (page 24/13)</w:t>
            </w:r>
          </w:p>
        </w:tc>
      </w:tr>
      <w:tr>
        <w:tc>
          <w:tcPr>
            <w:tcW w:type="dxa" w:w="2880"/>
          </w:tcPr>
          <w:p>
            <w:pPr>
              <w:spacing w:after="40"/>
            </w:pPr>
            <w:r>
              <w:rPr>
                <w:sz w:val="18"/>
              </w:rPr>
            </w:r>
            <w:r>
              <w:rPr>
                <w:sz w:val="18"/>
              </w:rPr>
              <w:t>DG access path</w:t>
            </w:r>
          </w:p>
        </w:tc>
        <w:tc>
          <w:tcPr>
            <w:tcW w:type="dxa" w:w="2880"/>
          </w:tcPr>
          <w:p>
            <w:pPr>
              <w:spacing w:after="40"/>
            </w:pPr>
            <w:r>
              <w:rPr>
                <w:sz w:val="18"/>
              </w:rPr>
            </w:r>
            <w:r>
              <w:rPr>
                <w:sz w:val="18"/>
              </w:rPr>
              <w:t>Via WebDE; the portals' path to DG is the CSC SOAP/WCF service (WEBDE DG XML protocol)</w:t>
            </w:r>
          </w:p>
        </w:tc>
        <w:tc>
          <w:tcPr>
            <w:tcW w:type="dxa" w:w="2880"/>
          </w:tcPr>
          <w:p>
            <w:pPr>
              <w:spacing w:after="40"/>
            </w:pPr>
            <w:r>
              <w:rPr>
                <w:sz w:val="18"/>
              </w:rPr>
            </w:r>
            <w:r>
              <w:rPr>
                <w:sz w:val="18"/>
              </w:rPr>
              <w:t>Landscape + auth diagrams</w:t>
            </w:r>
          </w:p>
        </w:tc>
      </w:tr>
      <w:tr>
        <w:tc>
          <w:tcPr>
            <w:tcW w:type="dxa" w:w="2880"/>
          </w:tcPr>
          <w:p>
            <w:pPr>
              <w:spacing w:after="40"/>
            </w:pPr>
            <w:r>
              <w:rPr>
                <w:sz w:val="18"/>
              </w:rPr>
            </w:r>
            <w:r>
              <w:rPr>
                <w:sz w:val="18"/>
              </w:rPr>
              <w:t>Tech stack</w:t>
            </w:r>
          </w:p>
        </w:tc>
        <w:tc>
          <w:tcPr>
            <w:tcW w:type="dxa" w:w="2880"/>
          </w:tcPr>
          <w:p>
            <w:pPr>
              <w:spacing w:after="40"/>
            </w:pPr>
            <w:r>
              <w:rPr>
                <w:sz w:val="18"/>
              </w:rPr>
            </w:r>
            <w:r>
              <w:rPr>
                <w:b/>
                <w:sz w:val="18"/>
              </w:rPr>
              <w:t>Presumed ASP.NET / SQL Server — never confirmed.</w:t>
            </w:r>
            <w:r>
              <w:rPr>
                <w:sz w:val="18"/>
              </w:rPr>
              <w:t xml:space="preserve"> The RCS SAD logged this as open question Q1 and it remains unanswered in the entire corpus</w:t>
            </w:r>
          </w:p>
        </w:tc>
        <w:tc>
          <w:tcPr>
            <w:tcW w:type="dxa" w:w="2880"/>
          </w:tcPr>
          <w:p>
            <w:pPr>
              <w:spacing w:after="40"/>
            </w:pPr>
            <w:r>
              <w:rPr>
                <w:sz w:val="18"/>
              </w:rPr>
            </w:r>
            <w:r>
              <w:rPr>
                <w:sz w:val="18"/>
              </w:rPr>
              <w:t>RCS SAD §3.1</w:t>
            </w:r>
          </w:p>
        </w:tc>
      </w:tr>
      <w:tr>
        <w:tc>
          <w:tcPr>
            <w:tcW w:type="dxa" w:w="2880"/>
          </w:tcPr>
          <w:p>
            <w:pPr>
              <w:spacing w:after="40"/>
            </w:pPr>
            <w:r>
              <w:rPr>
                <w:sz w:val="18"/>
              </w:rPr>
            </w:r>
            <w:r>
              <w:rPr>
                <w:sz w:val="18"/>
              </w:rPr>
              <w:t>Preference write path</w:t>
            </w:r>
          </w:p>
        </w:tc>
        <w:tc>
          <w:tcPr>
            <w:tcW w:type="dxa" w:w="2880"/>
          </w:tcPr>
          <w:p>
            <w:pPr>
              <w:spacing w:after="40"/>
            </w:pPr>
            <w:r>
              <w:rPr>
                <w:sz w:val="18"/>
              </w:rPr>
            </w:r>
            <w:r>
              <w:rPr>
                <w:sz w:val="18"/>
              </w:rPr>
              <w:t xml:space="preserve">CSRs update member communication preferences in CSI Web → calls the central </w:t>
            </w:r>
            <w:r>
              <w:rPr>
                <w:b/>
                <w:sz w:val="18"/>
              </w:rPr>
              <w:t>MemberCommService</w:t>
            </w:r>
            <w:r>
              <w:rPr>
                <w:sz w:val="18"/>
              </w:rPr>
              <w:t xml:space="preserve"> web service → stores in the </w:t>
            </w:r>
            <w:r>
              <w:rPr>
                <w:b/>
                <w:sz w:val="18"/>
              </w:rPr>
              <w:t>Member_Service SQL Server database</w:t>
            </w:r>
            <w:r>
              <w:rPr>
                <w:sz w:val="18"/>
              </w:rPr>
              <w:t xml:space="preserve"> (port 1433; auth method unconfirmed). The same service is used by MeritainConnect (register page + comm-preferences profile section)</w:t>
            </w:r>
          </w:p>
        </w:tc>
        <w:tc>
          <w:tcPr>
            <w:tcW w:type="dxa" w:w="2880"/>
          </w:tcPr>
          <w:p>
            <w:pPr>
              <w:spacing w:after="40"/>
            </w:pPr>
            <w:r>
              <w:rPr>
                <w:sz w:val="18"/>
              </w:rPr>
            </w:r>
            <w:r>
              <w:rPr>
                <w:sz w:val="18"/>
              </w:rPr>
              <w:t>Chris Lintvedt, DataVision-preferences thread (Mar 2026)</w:t>
            </w:r>
          </w:p>
        </w:tc>
      </w:tr>
      <w:tr>
        <w:tc>
          <w:tcPr>
            <w:tcW w:type="dxa" w:w="2880"/>
          </w:tcPr>
          <w:p>
            <w:pPr>
              <w:spacing w:after="40"/>
            </w:pPr>
            <w:r>
              <w:rPr>
                <w:sz w:val="18"/>
              </w:rPr>
            </w:r>
            <w:r>
              <w:rPr>
                <w:sz w:val="18"/>
              </w:rPr>
              <w:t>Dual-write nuance</w:t>
            </w:r>
          </w:p>
        </w:tc>
        <w:tc>
          <w:tcPr>
            <w:tcW w:type="dxa" w:w="2880"/>
          </w:tcPr>
          <w:p>
            <w:pPr>
              <w:spacing w:after="40"/>
            </w:pPr>
            <w:r>
              <w:rPr>
                <w:sz w:val="18"/>
              </w:rPr>
            </w:r>
            <w:r>
              <w:rPr>
                <w:sz w:val="18"/>
              </w:rPr>
              <w:t xml:space="preserve">MemberCommService stores three preference types in SQL; only the </w:t>
            </w:r>
            <w:r>
              <w:rPr>
                <w:b/>
                <w:sz w:val="18"/>
              </w:rPr>
              <w:t>email/EOB preference</w:t>
            </w:r>
            <w:r>
              <w:rPr>
                <w:sz w:val="18"/>
              </w:rPr>
              <w:t xml:space="preserve"> flows to DG (via a service; web method </w:t>
            </w:r>
            <w:r>
              <w:rPr>
                <w:rFonts w:ascii="Consolas" w:hAnsi="Consolas"/>
                <w:sz w:val="18"/>
              </w:rPr>
              <w:t>SetMemberECOPreferenceRequest</w:t>
            </w:r>
            <w:r>
              <w:rPr>
                <w:sz w:val="18"/>
              </w:rPr>
              <w:t xml:space="preserve"> — MemberID, DepID, IsOptIn). DG's own EOB preference field is </w:t>
            </w:r>
            <w:r>
              <w:rPr>
                <w:rFonts w:ascii="Consolas" w:hAnsi="Consolas"/>
                <w:sz w:val="18"/>
              </w:rPr>
              <w:t>EMAIL.CONSENT</w:t>
            </w:r>
            <w:r>
              <w:rPr>
                <w:sz w:val="18"/>
              </w:rPr>
              <w:t xml:space="preserve"> on DEPENDENTS (read by </w:t>
            </w:r>
            <w:r>
              <w:rPr>
                <w:rFonts w:ascii="Consolas" w:hAnsi="Consolas"/>
                <w:sz w:val="18"/>
              </w:rPr>
              <w:t>GET.DEPENDENT.EMAIL.INFO</w:t>
            </w:r>
            <w:r>
              <w:rPr>
                <w:sz w:val="18"/>
              </w:rPr>
              <w:t>; three fields were added to DB2 in Jan of last year on story 219488)</w:t>
            </w:r>
          </w:p>
        </w:tc>
        <w:tc>
          <w:tcPr>
            <w:tcW w:type="dxa" w:w="2880"/>
          </w:tcPr>
          <w:p>
            <w:pPr>
              <w:spacing w:after="40"/>
            </w:pPr>
            <w:r>
              <w:rPr>
                <w:sz w:val="18"/>
              </w:rPr>
            </w:r>
            <w:r>
              <w:rPr>
                <w:sz w:val="18"/>
              </w:rPr>
              <w:t>Lintvedt / Quinn / Hoye thread</w:t>
            </w:r>
          </w:p>
        </w:tc>
      </w:tr>
      <w:tr>
        <w:tc>
          <w:tcPr>
            <w:tcW w:type="dxa" w:w="2880"/>
          </w:tcPr>
          <w:p>
            <w:pPr>
              <w:spacing w:after="40"/>
            </w:pPr>
            <w:r>
              <w:rPr>
                <w:sz w:val="18"/>
              </w:rPr>
            </w:r>
            <w:r>
              <w:rPr>
                <w:sz w:val="18"/>
              </w:rPr>
              <w:t>No batch sync</w:t>
            </w:r>
          </w:p>
        </w:tc>
        <w:tc>
          <w:tcPr>
            <w:tcW w:type="dxa" w:w="2880"/>
          </w:tcPr>
          <w:p>
            <w:pPr>
              <w:spacing w:after="40"/>
            </w:pPr>
            <w:r>
              <w:rPr>
                <w:sz w:val="18"/>
              </w:rPr>
            </w:r>
            <w:r>
              <w:rPr>
                <w:sz w:val="18"/>
              </w:rPr>
              <w:t>"I'm not aware of any nightly processes moving data out of this SQL db into DG… I'm also not aware of any nightly processes pulling comm-pref/email-consent data OUT of DG" — Chris Lintvedt. Bill Hoye's rule: portal-only preferences stay in the portal store; anything affecting outside processes (e.g., EOB) is passed back to DG via a service</w:t>
            </w:r>
          </w:p>
        </w:tc>
        <w:tc>
          <w:tcPr>
            <w:tcW w:type="dxa" w:w="2880"/>
          </w:tcPr>
          <w:p>
            <w:pPr>
              <w:spacing w:after="40"/>
            </w:pPr>
            <w:r>
              <w:rPr>
                <w:sz w:val="18"/>
              </w:rPr>
            </w:r>
            <w:r>
              <w:rPr>
                <w:sz w:val="18"/>
              </w:rPr>
              <w:t>Same thread</w:t>
            </w:r>
          </w:p>
        </w:tc>
      </w:tr>
      <w:tr>
        <w:tc>
          <w:tcPr>
            <w:tcW w:type="dxa" w:w="2880"/>
          </w:tcPr>
          <w:p>
            <w:pPr>
              <w:spacing w:after="40"/>
            </w:pPr>
            <w:r>
              <w:rPr>
                <w:sz w:val="18"/>
              </w:rPr>
            </w:r>
            <w:r>
              <w:rPr>
                <w:sz w:val="18"/>
              </w:rPr>
              <w:t>DataVision feed</w:t>
            </w:r>
          </w:p>
        </w:tc>
        <w:tc>
          <w:tcPr>
            <w:tcW w:type="dxa" w:w="2880"/>
          </w:tcPr>
          <w:p>
            <w:pPr>
              <w:spacing w:after="40"/>
            </w:pPr>
            <w:r>
              <w:rPr>
                <w:sz w:val="18"/>
              </w:rPr>
            </w:r>
            <w:r>
              <w:rPr>
                <w:sz w:val="18"/>
              </w:rPr>
              <w:t xml:space="preserve">DataVision pulls the portal/CSI preference elections from the MemberCommService SQL DB (added in PI12); it </w:t>
            </w:r>
            <w:r>
              <w:rPr>
                <w:b/>
                <w:sz w:val="18"/>
              </w:rPr>
              <w:t>never brought in the DG EOB preference</w:t>
            </w:r>
            <w:r>
              <w:rPr>
                <w:sz w:val="18"/>
              </w:rPr>
              <w:t xml:space="preserve"> (confirmed by Tricia Wetzel after checking documentation and resources — correcting Bill Cadman's initial "Data Vision has both")</w:t>
            </w:r>
          </w:p>
        </w:tc>
        <w:tc>
          <w:tcPr>
            <w:tcW w:type="dxa" w:w="2880"/>
          </w:tcPr>
          <w:p>
            <w:pPr>
              <w:spacing w:after="40"/>
            </w:pPr>
            <w:r>
              <w:rPr>
                <w:sz w:val="18"/>
              </w:rPr>
            </w:r>
            <w:r>
              <w:rPr>
                <w:sz w:val="18"/>
              </w:rPr>
              <w:t>Same thread</w:t>
            </w:r>
          </w:p>
        </w:tc>
      </w:tr>
      <w:tr>
        <w:tc>
          <w:tcPr>
            <w:tcW w:type="dxa" w:w="2880"/>
          </w:tcPr>
          <w:p>
            <w:pPr>
              <w:spacing w:after="40"/>
            </w:pPr>
            <w:r>
              <w:rPr>
                <w:sz w:val="18"/>
              </w:rPr>
            </w:r>
            <w:r>
              <w:rPr>
                <w:sz w:val="18"/>
              </w:rPr>
              <w:t>Reliability/DR record</w:t>
            </w:r>
          </w:p>
        </w:tc>
        <w:tc>
          <w:tcPr>
            <w:tcW w:type="dxa" w:w="2880"/>
          </w:tcPr>
          <w:p>
            <w:pPr>
              <w:spacing w:after="40"/>
            </w:pPr>
            <w:r>
              <w:rPr>
                <w:sz w:val="18"/>
              </w:rPr>
            </w:r>
            <w:r>
              <w:rPr>
                <w:sz w:val="18"/>
              </w:rPr>
              <w:t xml:space="preserve">The APM inventory records CSI Web at </w:t>
            </w:r>
            <w:r>
              <w:rPr>
                <w:b/>
                <w:sz w:val="18"/>
              </w:rPr>
              <w:t>Tier 3</w:t>
            </w:r>
            <w:r>
              <w:rPr>
                <w:sz w:val="18"/>
              </w:rPr>
              <w:t xml:space="preserve"> on one screen and </w:t>
            </w:r>
            <w:r>
              <w:rPr>
                <w:b/>
                <w:sz w:val="18"/>
              </w:rPr>
              <w:t>"2B"</w:t>
            </w:r>
            <w:r>
              <w:rPr>
                <w:sz w:val="18"/>
              </w:rPr>
              <w:t xml:space="preserve"> on the DR screen — an internal contradiction; architects judge it "should be Tier 1 or 2" (it is one of the three Meritain-specific applications nominated for Tier 1/2 alongside DG and MeritainConnect). Last recorded DR exercise &gt;12 months stale; the listed contact had been off the application for 3 years</w:t>
            </w:r>
          </w:p>
        </w:tc>
        <w:tc>
          <w:tcPr>
            <w:tcW w:type="dxa" w:w="2880"/>
          </w:tcPr>
          <w:p>
            <w:pPr>
              <w:spacing w:after="40"/>
            </w:pPr>
            <w:r>
              <w:rPr>
                <w:sz w:val="18"/>
              </w:rPr>
            </w:r>
            <w:r>
              <w:rPr>
                <w:sz w:val="18"/>
              </w:rPr>
              <w:t>Cache Transformation Journey transcript</w:t>
            </w:r>
          </w:p>
        </w:tc>
      </w:tr>
    </w:tbl>
    <w:p>
      <w:pPr>
        <w:spacing w:after="0"/>
      </w:pPr>
    </w:p>
    <w:p>
      <w:pPr>
        <w:pStyle w:val="Heading2"/>
      </w:pPr>
      <w:r>
        <w:t>A3. Current State — Operational</w:t>
      </w:r>
    </w:p>
    <w:p>
      <w:pPr>
        <w:pStyle w:val="ListBullet"/>
      </w:pPr>
      <w:r>
        <w:rPr>
          <w:b/>
        </w:rPr>
        <w:t>~800 CSRs</w:t>
      </w:r>
      <w:r>
        <w:t xml:space="preserve">, average call ≈ </w:t>
      </w:r>
      <w:r>
        <w:rPr>
          <w:b/>
        </w:rPr>
        <w:t>20 minutes</w:t>
      </w:r>
      <w:r>
        <w:t xml:space="preserve">; the channel is </w:t>
      </w:r>
      <w:r>
        <w:rPr>
          <w:b/>
        </w:rPr>
        <w:t>strictly phone</w:t>
      </w:r>
      <w:r>
        <w:t xml:space="preserve"> — no chat or digital service exists.</w:t>
      </w:r>
    </w:p>
    <w:p>
      <w:pPr>
        <w:pStyle w:val="ListBullet"/>
      </w:pPr>
      <w:r>
        <w:t xml:space="preserve">Agents are </w:t>
      </w:r>
      <w:r>
        <w:rPr>
          <w:b/>
        </w:rPr>
        <w:t>generalists</w:t>
      </w:r>
      <w:r>
        <w:t xml:space="preserve">: the same person takes a member call and then a provider call, and answers plan questions by </w:t>
      </w:r>
      <w:r>
        <w:rPr>
          <w:b/>
        </w:rPr>
        <w:t>reading plan PDFs live</w:t>
      </w:r>
      <w:r>
        <w:t xml:space="preserve"> during the call.</w:t>
      </w:r>
    </w:p>
    <w:p>
      <w:pPr>
        <w:pStyle w:val="ListBullet"/>
      </w:pPr>
      <w:r>
        <w:t xml:space="preserve">The current screen-pop matches inbound calls by </w:t>
      </w:r>
      <w:r>
        <w:rPr>
          <w:b/>
        </w:rPr>
        <w:t>ANI (caller phone number)</w:t>
      </w:r>
      <w:r>
        <w:t xml:space="preserve"> but agents must </w:t>
      </w:r>
      <w:r>
        <w:rPr>
          <w:b/>
        </w:rPr>
        <w:t>copy/paste the identifier into CSI Web</w:t>
      </w:r>
      <w:r>
        <w:t xml:space="preserve"> — described as clunky in the vendor demos. Identity verification script: DOB + zip or phone.</w:t>
      </w:r>
    </w:p>
    <w:p>
      <w:pPr>
        <w:pStyle w:val="ListBullet"/>
      </w:pPr>
      <w:r>
        <w:t xml:space="preserve">The </w:t>
      </w:r>
      <w:r>
        <w:rPr>
          <w:b/>
        </w:rPr>
        <w:t>Edify IVR</w:t>
      </w:r>
      <w:r>
        <w:t xml:space="preserve"> collects member ID and hands context to the agent; Avaya routes (Five9 replacement selected, no confirmed date).</w:t>
      </w:r>
    </w:p>
    <w:p>
      <w:pPr>
        <w:pStyle w:val="ListBullet"/>
      </w:pPr>
      <w:r>
        <w:t xml:space="preserve">A </w:t>
      </w:r>
      <w:r>
        <w:rPr>
          <w:b/>
        </w:rPr>
        <w:t>CSI Web pain-point interview pack</w:t>
      </w:r>
      <w:r>
        <w:t xml:space="preserve"> was compiled in July 2026 from three interview resources and circulated to the contact-center working group (pain points extracted for easy reference, raw interviews attached); a </w:t>
      </w:r>
      <w:r>
        <w:rPr>
          <w:b/>
        </w:rPr>
        <w:t>CSI Web strategy touchpoint</w:t>
      </w:r>
      <w:r>
        <w:t xml:space="preserve"> involving Tracy Fleckenstein is underway. Direction given: when those conversations bleed into data strategy, </w:t>
      </w:r>
      <w:r>
        <w:rPr>
          <w:b/>
        </w:rPr>
        <w:t>Tony Albi joins</w:t>
      </w:r>
      <w:r>
        <w:t>.</w:t>
      </w:r>
    </w:p>
    <w:p>
      <w:pPr>
        <w:pStyle w:val="Heading2"/>
      </w:pPr>
      <w:r>
        <w:t>A4. Ownership &amp; People</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spacing w:after="40"/>
            </w:pPr>
            <w:r>
              <w:rPr>
                <w:sz w:val="18"/>
              </w:rPr>
            </w:r>
            <w:r>
              <w:rPr>
                <w:b/>
                <w:sz w:val="18"/>
              </w:rPr>
              <w:t>Person</w:t>
            </w:r>
          </w:p>
        </w:tc>
        <w:tc>
          <w:tcPr>
            <w:tcW w:type="dxa" w:w="4320"/>
            <w:shd w:val="clear" w:fill="D9E2F3"/>
          </w:tcPr>
          <w:p>
            <w:pPr>
              <w:spacing w:after="40"/>
            </w:pPr>
            <w:r>
              <w:rPr>
                <w:sz w:val="18"/>
              </w:rPr>
            </w:r>
            <w:r>
              <w:rPr>
                <w:b/>
                <w:sz w:val="18"/>
              </w:rPr>
              <w:t>Role relative to CSI Web</w:t>
            </w:r>
          </w:p>
        </w:tc>
      </w:tr>
      <w:tr>
        <w:tc>
          <w:tcPr>
            <w:tcW w:type="dxa" w:w="4320"/>
          </w:tcPr>
          <w:p>
            <w:pPr>
              <w:spacing w:after="40"/>
            </w:pPr>
            <w:r>
              <w:rPr>
                <w:sz w:val="18"/>
              </w:rPr>
            </w:r>
            <w:r>
              <w:rPr>
                <w:b/>
                <w:sz w:val="18"/>
              </w:rPr>
              <w:t>Chris Byrd</w:t>
            </w:r>
          </w:p>
        </w:tc>
        <w:tc>
          <w:tcPr>
            <w:tcW w:type="dxa" w:w="4320"/>
          </w:tcPr>
          <w:p>
            <w:pPr>
              <w:spacing w:after="40"/>
            </w:pPr>
            <w:r>
              <w:rPr>
                <w:sz w:val="18"/>
              </w:rPr>
            </w:r>
            <w:r>
              <w:rPr>
                <w:sz w:val="18"/>
              </w:rPr>
              <w:t>Named owner in the RCS SAD component inventory (existing app + local SQL DB; Day-1 enhancement owner)</w:t>
            </w:r>
          </w:p>
        </w:tc>
      </w:tr>
      <w:tr>
        <w:tc>
          <w:tcPr>
            <w:tcW w:type="dxa" w:w="4320"/>
          </w:tcPr>
          <w:p>
            <w:pPr>
              <w:spacing w:after="40"/>
            </w:pPr>
            <w:r>
              <w:rPr>
                <w:sz w:val="18"/>
              </w:rPr>
            </w:r>
            <w:r>
              <w:rPr>
                <w:b/>
                <w:sz w:val="18"/>
              </w:rPr>
              <w:t>Chris Lintvedt</w:t>
            </w:r>
          </w:p>
        </w:tc>
        <w:tc>
          <w:tcPr>
            <w:tcW w:type="dxa" w:w="4320"/>
          </w:tcPr>
          <w:p>
            <w:pPr>
              <w:spacing w:after="40"/>
            </w:pPr>
            <w:r>
              <w:rPr>
                <w:sz w:val="18"/>
              </w:rPr>
            </w:r>
            <w:r>
              <w:rPr>
                <w:sz w:val="18"/>
              </w:rPr>
              <w:t>Technical Lead, Digital Team (Meritain) — deepest documented knowledge of the MemberCommService/preference flow; also owns the Account Manager auth project</w:t>
            </w:r>
          </w:p>
        </w:tc>
      </w:tr>
      <w:tr>
        <w:tc>
          <w:tcPr>
            <w:tcW w:type="dxa" w:w="4320"/>
          </w:tcPr>
          <w:p>
            <w:pPr>
              <w:spacing w:after="40"/>
            </w:pPr>
            <w:r>
              <w:rPr>
                <w:sz w:val="18"/>
              </w:rPr>
            </w:r>
            <w:r>
              <w:rPr>
                <w:b/>
                <w:sz w:val="18"/>
              </w:rPr>
              <w:t>Frank Alabau / Steve Joiner</w:t>
            </w:r>
          </w:p>
        </w:tc>
        <w:tc>
          <w:tcPr>
            <w:tcW w:type="dxa" w:w="4320"/>
          </w:tcPr>
          <w:p>
            <w:pPr>
              <w:spacing w:after="40"/>
            </w:pPr>
            <w:r>
              <w:rPr>
                <w:sz w:val="18"/>
              </w:rPr>
            </w:r>
            <w:r>
              <w:rPr>
                <w:sz w:val="18"/>
              </w:rPr>
              <w:t>Digital-platform delivery management (the .NET portal estate is built/managed under Frank &amp; Chris)</w:t>
            </w:r>
          </w:p>
        </w:tc>
      </w:tr>
      <w:tr>
        <w:tc>
          <w:tcPr>
            <w:tcW w:type="dxa" w:w="4320"/>
          </w:tcPr>
          <w:p>
            <w:pPr>
              <w:spacing w:after="40"/>
            </w:pPr>
            <w:r>
              <w:rPr>
                <w:sz w:val="18"/>
              </w:rPr>
            </w:r>
            <w:r>
              <w:rPr>
                <w:b/>
                <w:sz w:val="18"/>
              </w:rPr>
              <w:t>Tracy Fleckenstein</w:t>
            </w:r>
          </w:p>
        </w:tc>
        <w:tc>
          <w:tcPr>
            <w:tcW w:type="dxa" w:w="4320"/>
          </w:tcPr>
          <w:p>
            <w:pPr>
              <w:spacing w:after="40"/>
            </w:pPr>
            <w:r>
              <w:rPr>
                <w:sz w:val="18"/>
              </w:rPr>
            </w:r>
            <w:r>
              <w:rPr>
                <w:sz w:val="18"/>
              </w:rPr>
              <w:t>CSI Web strategy touchpoint / contact-center AI sponsor</w:t>
            </w:r>
          </w:p>
        </w:tc>
      </w:tr>
      <w:tr>
        <w:tc>
          <w:tcPr>
            <w:tcW w:type="dxa" w:w="4320"/>
          </w:tcPr>
          <w:p>
            <w:pPr>
              <w:spacing w:after="40"/>
            </w:pPr>
            <w:r>
              <w:rPr>
                <w:sz w:val="18"/>
              </w:rPr>
            </w:r>
            <w:r>
              <w:rPr>
                <w:b/>
                <w:sz w:val="18"/>
              </w:rPr>
              <w:t>Sunil (Susarla)</w:t>
            </w:r>
          </w:p>
        </w:tc>
        <w:tc>
          <w:tcPr>
            <w:tcW w:type="dxa" w:w="4320"/>
          </w:tcPr>
          <w:p>
            <w:pPr>
              <w:spacing w:after="40"/>
            </w:pPr>
            <w:r>
              <w:rPr>
                <w:sz w:val="18"/>
              </w:rPr>
            </w:r>
            <w:r>
              <w:rPr>
                <w:sz w:val="18"/>
              </w:rPr>
              <w:t>Contact-center AI discovery lead — owns the CSR pain-point material and vendor evaluations</w:t>
            </w:r>
          </w:p>
        </w:tc>
      </w:tr>
    </w:tbl>
    <w:p>
      <w:pPr>
        <w:spacing w:after="0"/>
      </w:pPr>
    </w:p>
    <w:p>
      <w:pPr>
        <w:pStyle w:val="Heading2"/>
      </w:pPr>
      <w:r>
        <w:t>A5. Integration Points (Current)</w:t>
      </w:r>
    </w:p>
    <w:p>
      <w:pPr>
        <w:pStyle w:val="ListNumber"/>
      </w:pPr>
      <w:r>
        <w:rPr>
          <w:b/>
        </w:rPr>
        <w:t>CSI Web → WebDE → DG</w:t>
      </w:r>
      <w:r>
        <w:t xml:space="preserve"> — member/claim/eligibility lookup and call logging (the real-time read path).</w:t>
      </w:r>
    </w:p>
    <w:p>
      <w:pPr>
        <w:pStyle w:val="ListNumber"/>
      </w:pPr>
      <w:r>
        <w:rPr>
          <w:b/>
        </w:rPr>
        <w:t>CSI Web → MemberCommService → Member_Service SQL DB</w:t>
      </w:r>
      <w:r>
        <w:t xml:space="preserve"> — preference capture; EOB preference forwarded to DG via CSC (</w:t>
      </w:r>
      <w:r>
        <w:rPr>
          <w:rFonts w:ascii="Consolas" w:hAnsi="Consolas"/>
          <w:sz w:val="19"/>
        </w:rPr>
        <w:t>SetMemberECOPreferenceRequest</w:t>
      </w:r>
      <w:r>
        <w:t>).</w:t>
      </w:r>
    </w:p>
    <w:p>
      <w:pPr>
        <w:pStyle w:val="ListNumber"/>
      </w:pPr>
      <w:r>
        <w:rPr>
          <w:b/>
        </w:rPr>
        <w:t>Member_Service SQL DB → DataVision</w:t>
      </w:r>
      <w:r>
        <w:t xml:space="preserve"> — portal/CSI preference elections extracted for reporting/SmartComm.</w:t>
      </w:r>
    </w:p>
    <w:p>
      <w:pPr>
        <w:pStyle w:val="ListNumber"/>
      </w:pPr>
      <w:r>
        <w:rPr>
          <w:b/>
        </w:rPr>
        <w:t>Edify IVR / Avaya → agent desktop</w:t>
      </w:r>
      <w:r>
        <w:t xml:space="preserve"> — ANI screen-pop (manual copy/paste into CSI Web).</w:t>
      </w:r>
    </w:p>
    <w:p>
      <w:pPr>
        <w:pStyle w:val="ListNumber"/>
      </w:pPr>
      <w:r>
        <w:rPr>
          <w:b/>
        </w:rPr>
        <w:t>A SIS job</w:t>
      </w:r>
      <w:r>
        <w:t xml:space="preserve"> produces a member-service report from the preference store.</w:t>
      </w:r>
    </w:p>
    <w:p>
      <w:pPr>
        <w:pStyle w:val="Heading2"/>
      </w:pPr>
      <w:r>
        <w:t>A6. Change Activity Touching CSI Web</w:t>
      </w:r>
    </w:p>
    <w:p>
      <w:pPr>
        <w:pStyle w:val="ListBullet"/>
      </w:pPr>
      <w:r>
        <w:rPr>
          <w:b/>
        </w:rPr>
        <w:t>Day-1 member communications (RCS/SMS/email):</w:t>
      </w:r>
      <w:r>
        <w:t xml:space="preserve"> CSI Web (with MeritainConnect and the future mobile app) is a named </w:t>
      </w:r>
      <w:r>
        <w:rPr>
          <w:b/>
        </w:rPr>
        <w:t>preference/consent capture surface</w:t>
      </w:r>
      <w:r>
        <w:t xml:space="preserve"> — "we are going to add this capability in MeritainConnect (member services), CSI Web (CSR app) and Mobile App" (intake answer). Day-1 UI changes: capture cell phone, SMS consent, RCS preference, email preference, with consent timestamp/source tracking.</w:t>
      </w:r>
    </w:p>
    <w:p>
      <w:pPr>
        <w:pStyle w:val="ListBullet"/>
      </w:pPr>
      <w:r>
        <w:rPr>
          <w:b/>
        </w:rPr>
        <w:t>Transaction cache consumer:</w:t>
      </w:r>
      <w:r>
        <w:t xml:space="preserve"> in the cache journey phasing, CSI Web is the named </w:t>
      </w:r>
      <w:r>
        <w:rPr>
          <w:b/>
        </w:rPr>
        <w:t>Day-2 pilot read consumer</w:t>
      </w:r>
      <w:r>
        <w:t xml:space="preserve"> — its reads route via the gateway to the MongoDB cache while everything else stays on WebDE.</w:t>
      </w:r>
    </w:p>
    <w:p>
      <w:pPr>
        <w:pStyle w:val="ListBullet"/>
      </w:pPr>
      <w:r>
        <w:rPr>
          <w:b/>
        </w:rPr>
        <w:t>Contact-center AI:</w:t>
      </w:r>
      <w:r>
        <w:t xml:space="preserve"> both vendor demos (Salesforce </w:t>
      </w:r>
      <w:r>
        <w:rPr>
          <w:b/>
        </w:rPr>
        <w:t>Agentforce</w:t>
      </w:r>
      <w:r>
        <w:t xml:space="preserve">, </w:t>
      </w:r>
      <w:r>
        <w:rPr>
          <w:b/>
        </w:rPr>
        <w:t>Sierra</w:t>
      </w:r>
      <w:r>
        <w:t xml:space="preserve">) and the enterprise </w:t>
      </w:r>
      <w:r>
        <w:rPr>
          <w:b/>
        </w:rPr>
        <w:t>IRIS</w:t>
      </w:r>
      <w:r>
        <w:t xml:space="preserve"> platform target the CSR experience CSI Web fronts — real-time transcription, knowledge recommendation, guided flows, autonomous chat with CSR handoff. IRIS integration would put the grounded-Q&amp;A front end </w:t>
      </w:r>
      <w:r>
        <w:rPr>
          <w:b/>
        </w:rPr>
        <w:t>inside the .NET CSI Web</w:t>
      </w:r>
      <w:r>
        <w:t xml:space="preserve">; the IRIS verdict so far is that Meritain would need a </w:t>
      </w:r>
      <w:r>
        <w:rPr>
          <w:b/>
        </w:rPr>
        <w:t>wholly separate IRIS instance</w:t>
      </w:r>
      <w:r>
        <w:t xml:space="preserve"> (separate company; Aetna-competitor customers). AI use-case lists for CSI Web (claims info, eligibility, insurance updates, call escalations) are in circulation from the discovery workstream.</w:t>
      </w:r>
    </w:p>
    <w:p>
      <w:pPr>
        <w:pStyle w:val="ListBullet"/>
      </w:pPr>
      <w:r>
        <w:rPr>
          <w:b/>
        </w:rPr>
        <w:t>DR remediation:</w:t>
      </w:r>
      <w:r>
        <w:t xml:space="preserve"> part of the Grubisic-mandated per-application DR inventory (target Tier 1/2).</w:t>
      </w:r>
    </w:p>
    <w:p>
      <w:pPr>
        <w:pStyle w:val="Heading2"/>
      </w:pPr>
      <w:r>
        <w:t>A7. Open Questions (CSI Web)</w:t>
      </w:r>
    </w:p>
    <w:p>
      <w:r>
        <w:t>All four RCS-SAD stack questions remain unanswered anywhere in the corpus, plus operational ones surfaced later:</w:t>
      </w:r>
    </w:p>
    <w:p>
      <w:pPr>
        <w:pStyle w:val="ListNumber"/>
      </w:pPr>
      <w:r>
        <w:t xml:space="preserve">What is CSI Web's actual tech stack (ASP.NET? version? hosting)? </w:t>
      </w:r>
      <w:r>
        <w:rPr>
          <w:i/>
        </w:rPr>
        <w:t>(RCS Q1)</w:t>
      </w:r>
    </w:p>
    <w:p>
      <w:pPr>
        <w:pStyle w:val="ListNumber"/>
      </w:pPr>
      <w:r>
        <w:t xml:space="preserve">Is the local SQL Server DB co-located or separate? </w:t>
      </w:r>
      <w:r>
        <w:rPr>
          <w:i/>
        </w:rPr>
        <w:t>(RCS Q2)</w:t>
      </w:r>
    </w:p>
    <w:p>
      <w:pPr>
        <w:pStyle w:val="ListNumber"/>
      </w:pPr>
      <w:r>
        <w:t xml:space="preserve">Direct DB calls or an API/service layer between CSI Web and its store? </w:t>
      </w:r>
      <w:r>
        <w:rPr>
          <w:i/>
        </w:rPr>
        <w:t>(RCS Q3 — partially answered: MemberCommService exists for preferences, but the general pattern is unconfirmed)</w:t>
      </w:r>
    </w:p>
    <w:p>
      <w:pPr>
        <w:pStyle w:val="ListNumber"/>
      </w:pPr>
      <w:r>
        <w:t xml:space="preserve">What authentication does CSI Web use (AD? OAuth? SAML)? </w:t>
      </w:r>
      <w:r>
        <w:rPr>
          <w:i/>
        </w:rPr>
        <w:t>(RCS Q4)</w:t>
      </w:r>
    </w:p>
    <w:p>
      <w:pPr>
        <w:pStyle w:val="ListNumber"/>
      </w:pPr>
      <w:r>
        <w:t>Which preference fields does the store hold today; is there an audit trail of CSR changes?</w:t>
      </w:r>
    </w:p>
    <w:p>
      <w:pPr>
        <w:pStyle w:val="ListNumber"/>
      </w:pPr>
      <w:r>
        <w:t>What is CSI Web's true criticality tier (resolve the APM Tier-3 vs "2B" contradiction)?</w:t>
      </w:r>
    </w:p>
    <w:p>
      <w:pPr>
        <w:pStyle w:val="ListNumber"/>
      </w:pPr>
      <w:r>
        <w:t>Which AI use cases integrate first, and how are suggestions surfaced in the UI (pop-up, side panel)?</w:t>
      </w:r>
    </w:p>
    <w:p>
      <w:pPr>
        <w:pStyle w:val="Heading1"/>
      </w:pPr>
      <w:r>
        <w:t>PART B — IPP (Individual Profile and Preferences, Privacy and Consents)</w:t>
      </w:r>
    </w:p>
    <w:p>
      <w:pPr>
        <w:pStyle w:val="Heading2"/>
      </w:pPr>
      <w:r>
        <w:t>B1. What It Is</w:t>
      </w:r>
    </w:p>
    <w:p>
      <w:r>
        <w:t xml:space="preserve">IPP is the </w:t>
      </w:r>
      <w:r>
        <w:rPr>
          <w:b/>
        </w:rPr>
        <w:t>Aetna/CVS enterprise book of record for member profile, preferences, privacy, and consent</w:t>
      </w:r>
      <w:r>
        <w:t xml:space="preserve"> — the platform Meritain is onboarding to so that member communication preferences and consent have one authoritative home. Organizationally it sits under </w:t>
      </w:r>
      <w:r>
        <w:rPr>
          <w:b/>
        </w:rPr>
        <w:t>Ram Narayan, IPP Domain Lead Director — Correspondence, Marketing, Profile &amp; Preferences</w:t>
      </w:r>
      <w:r>
        <w:t>.</w:t>
      </w:r>
    </w:p>
    <w:p>
      <w:r>
        <w:t>Key platform facts:</w:t>
      </w:r>
    </w:p>
    <w:p>
      <w:pPr>
        <w:pStyle w:val="ListBullet"/>
      </w:pPr>
      <w:r>
        <w:rPr>
          <w:b/>
        </w:rPr>
        <w:t>Today IPP's book of record runs on MarkLogic, on-premises, with a planned move to AWS — not GCP</w:t>
      </w:r>
      <w:r>
        <w:t xml:space="preserve"> (Muhammad Ali, correcting an architecture sketch).</w:t>
      </w:r>
    </w:p>
    <w:p>
      <w:pPr>
        <w:pStyle w:val="ListBullet"/>
      </w:pPr>
      <w:r>
        <w:t>In the Meritain Day-2 design narrative, "IPP itself will be in MongoDB" (Ali, April 1) — reconcile these two statements with the IPP team (MarkLogic→AWS is the later, more specific claim).</w:t>
      </w:r>
    </w:p>
    <w:p>
      <w:pPr>
        <w:pStyle w:val="ListBullet"/>
      </w:pPr>
      <w:r>
        <w:t xml:space="preserve">IPP currently </w:t>
      </w:r>
      <w:r>
        <w:rPr>
          <w:b/>
        </w:rPr>
        <w:t>reads EPH events</w:t>
      </w:r>
      <w:r>
        <w:t xml:space="preserve"> for Aetna; for Meritain it must </w:t>
      </w:r>
      <w:r>
        <w:rPr>
          <w:b/>
        </w:rPr>
        <w:t>read IMI instead</w:t>
      </w:r>
      <w:r>
        <w:t xml:space="preserve"> — a new integration build (see B4).</w:t>
      </w:r>
    </w:p>
    <w:p>
      <w:pPr>
        <w:pStyle w:val="ListBullet"/>
      </w:pPr>
      <w:r>
        <w:t xml:space="preserve">IPP capabilities relevant to Meritain: preference storage (channel/format/consent), prior-express-consent audit trail, preference lookup APIs for MaCE, unsubscribe/opt-out disposition, the </w:t>
      </w:r>
      <w:r>
        <w:rPr>
          <w:b/>
        </w:rPr>
        <w:t>RND</w:t>
      </w:r>
      <w:r>
        <w:t xml:space="preserve"> (Reassigned Number Database) process, and </w:t>
      </w:r>
      <w:r>
        <w:rPr>
          <w:b/>
        </w:rPr>
        <w:t>Federal DNC + enterprise DNC</w:t>
      </w:r>
      <w:r>
        <w:t xml:space="preserve"> checks.</w:t>
      </w:r>
    </w:p>
    <w:p>
      <w:pPr>
        <w:pStyle w:val="ListBullet"/>
      </w:pPr>
      <w:r>
        <w:rPr>
          <w:b/>
        </w:rPr>
        <w:t>Two Aetna IPP APIs already exist</w:t>
      </w:r>
      <w:r>
        <w:t>; Bill Cadman has requested their details to size the Meritain integration scope (Ankita Singh to confirm which are in use; draft request reviewed by Narendra). The RCS SAD sketches the expected surface: get/update preferences, record/get consent, unsubscribe, DNC check, RND check — Swagger still outstanding.</w:t>
      </w:r>
    </w:p>
    <w:p>
      <w:pPr>
        <w:pStyle w:val="ListBullet"/>
      </w:pPr>
      <w:r>
        <w:t xml:space="preserve">A </w:t>
      </w:r>
      <w:r>
        <w:rPr>
          <w:b/>
        </w:rPr>
        <w:t>proposal exists to expand IPP into the master for member profile + preferences + consent + privacy data</w:t>
      </w:r>
      <w:r>
        <w:t xml:space="preserve"> — meaning Meritain's own databases would stop storing this data. Sarah Taylor flagged it mid-thread ("IPP has a whole new proposal hanging out there to segregate Meritain data") and asked for "a concise story on what we will achieve in 2026 with IPP." Explicitly a scope-expansion risk: it makes the project "much bigger and longer."</w:t>
      </w:r>
    </w:p>
    <w:p>
      <w:pPr>
        <w:pStyle w:val="Heading2"/>
      </w:pPr>
      <w:r>
        <w:t>B2. Ownership &amp; People (the full IPP-side roster)</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spacing w:after="40"/>
            </w:pPr>
            <w:r>
              <w:rPr>
                <w:sz w:val="18"/>
              </w:rPr>
            </w:r>
            <w:r>
              <w:rPr>
                <w:b/>
                <w:sz w:val="18"/>
              </w:rPr>
              <w:t>Person</w:t>
            </w:r>
          </w:p>
        </w:tc>
        <w:tc>
          <w:tcPr>
            <w:tcW w:type="dxa" w:w="4320"/>
            <w:shd w:val="clear" w:fill="D9E2F3"/>
          </w:tcPr>
          <w:p>
            <w:pPr>
              <w:spacing w:after="40"/>
            </w:pPr>
            <w:r>
              <w:rPr>
                <w:sz w:val="18"/>
              </w:rPr>
            </w:r>
            <w:r>
              <w:rPr>
                <w:b/>
                <w:sz w:val="18"/>
              </w:rPr>
              <w:t>Role</w:t>
            </w:r>
          </w:p>
        </w:tc>
      </w:tr>
      <w:tr>
        <w:tc>
          <w:tcPr>
            <w:tcW w:type="dxa" w:w="4320"/>
          </w:tcPr>
          <w:p>
            <w:pPr>
              <w:spacing w:after="40"/>
            </w:pPr>
            <w:r>
              <w:rPr>
                <w:sz w:val="18"/>
              </w:rPr>
            </w:r>
            <w:r>
              <w:rPr>
                <w:b/>
                <w:sz w:val="18"/>
              </w:rPr>
              <w:t>Ram Narayan</w:t>
            </w:r>
          </w:p>
        </w:tc>
        <w:tc>
          <w:tcPr>
            <w:tcW w:type="dxa" w:w="4320"/>
          </w:tcPr>
          <w:p>
            <w:pPr>
              <w:spacing w:after="40"/>
            </w:pPr>
            <w:r>
              <w:rPr>
                <w:sz w:val="18"/>
              </w:rPr>
            </w:r>
            <w:r>
              <w:rPr>
                <w:sz w:val="18"/>
              </w:rPr>
              <w:t>IPP Domain Lead Director (Correspondence, Marketing, Profile &amp; Preferences)</w:t>
            </w:r>
          </w:p>
        </w:tc>
      </w:tr>
      <w:tr>
        <w:tc>
          <w:tcPr>
            <w:tcW w:type="dxa" w:w="4320"/>
          </w:tcPr>
          <w:p>
            <w:pPr>
              <w:spacing w:after="40"/>
            </w:pPr>
            <w:r>
              <w:rPr>
                <w:sz w:val="18"/>
              </w:rPr>
            </w:r>
            <w:r>
              <w:rPr>
                <w:b/>
                <w:sz w:val="18"/>
              </w:rPr>
              <w:t>Ankita Singh</w:t>
            </w:r>
          </w:p>
        </w:tc>
        <w:tc>
          <w:tcPr>
            <w:tcW w:type="dxa" w:w="4320"/>
          </w:tcPr>
          <w:p>
            <w:pPr>
              <w:spacing w:after="40"/>
            </w:pPr>
            <w:r>
              <w:rPr>
                <w:sz w:val="18"/>
              </w:rPr>
            </w:r>
            <w:r>
              <w:rPr>
                <w:sz w:val="18"/>
              </w:rPr>
              <w:t>IPP Product Manager (Aetna Technology) — primary intake contact</w:t>
            </w:r>
          </w:p>
        </w:tc>
      </w:tr>
      <w:tr>
        <w:tc>
          <w:tcPr>
            <w:tcW w:type="dxa" w:w="4320"/>
          </w:tcPr>
          <w:p>
            <w:pPr>
              <w:spacing w:after="40"/>
            </w:pPr>
            <w:r>
              <w:rPr>
                <w:sz w:val="18"/>
              </w:rPr>
            </w:r>
            <w:r>
              <w:rPr>
                <w:b/>
                <w:sz w:val="18"/>
              </w:rPr>
              <w:t>Ajay Vagumudi</w:t>
            </w:r>
          </w:p>
        </w:tc>
        <w:tc>
          <w:tcPr>
            <w:tcW w:type="dxa" w:w="4320"/>
          </w:tcPr>
          <w:p>
            <w:pPr>
              <w:spacing w:after="40"/>
            </w:pPr>
            <w:r>
              <w:rPr>
                <w:sz w:val="18"/>
              </w:rPr>
            </w:r>
            <w:r>
              <w:rPr>
                <w:sz w:val="18"/>
              </w:rPr>
              <w:t>IPP Tech Lead (looped in Mar 12)</w:t>
            </w:r>
          </w:p>
        </w:tc>
      </w:tr>
      <w:tr>
        <w:tc>
          <w:tcPr>
            <w:tcW w:type="dxa" w:w="4320"/>
          </w:tcPr>
          <w:p>
            <w:pPr>
              <w:spacing w:after="40"/>
            </w:pPr>
            <w:r>
              <w:rPr>
                <w:sz w:val="18"/>
              </w:rPr>
            </w:r>
            <w:r>
              <w:rPr>
                <w:b/>
                <w:sz w:val="18"/>
              </w:rPr>
              <w:t>Yadvinder Brar</w:t>
            </w:r>
          </w:p>
        </w:tc>
        <w:tc>
          <w:tcPr>
            <w:tcW w:type="dxa" w:w="4320"/>
          </w:tcPr>
          <w:p>
            <w:pPr>
              <w:spacing w:after="40"/>
            </w:pPr>
            <w:r>
              <w:rPr>
                <w:sz w:val="18"/>
              </w:rPr>
            </w:r>
            <w:r>
              <w:rPr>
                <w:sz w:val="18"/>
              </w:rPr>
              <w:t>Principal Architect, Aetna Technology Architecture Delivery — routed the intake</w:t>
            </w:r>
          </w:p>
        </w:tc>
      </w:tr>
      <w:tr>
        <w:tc>
          <w:tcPr>
            <w:tcW w:type="dxa" w:w="4320"/>
          </w:tcPr>
          <w:p>
            <w:pPr>
              <w:spacing w:after="40"/>
            </w:pPr>
            <w:r>
              <w:rPr>
                <w:sz w:val="18"/>
              </w:rPr>
            </w:r>
            <w:r>
              <w:rPr>
                <w:b/>
                <w:sz w:val="18"/>
              </w:rPr>
              <w:t>Sarah Taylor</w:t>
            </w:r>
          </w:p>
        </w:tc>
        <w:tc>
          <w:tcPr>
            <w:tcW w:type="dxa" w:w="4320"/>
          </w:tcPr>
          <w:p>
            <w:pPr>
              <w:spacing w:after="40"/>
            </w:pPr>
            <w:r>
              <w:rPr>
                <w:sz w:val="18"/>
              </w:rPr>
            </w:r>
            <w:r>
              <w:rPr>
                <w:sz w:val="18"/>
              </w:rPr>
              <w:t>Product Management (Commercial/Network/Affiliate) — drives the RCS/consent decisions; owns the DG→IPP mapping kickoff</w:t>
            </w:r>
          </w:p>
        </w:tc>
      </w:tr>
      <w:tr>
        <w:tc>
          <w:tcPr>
            <w:tcW w:type="dxa" w:w="4320"/>
          </w:tcPr>
          <w:p>
            <w:pPr>
              <w:spacing w:after="40"/>
            </w:pPr>
            <w:r>
              <w:rPr>
                <w:sz w:val="18"/>
              </w:rPr>
            </w:r>
            <w:r>
              <w:rPr>
                <w:b/>
                <w:sz w:val="18"/>
              </w:rPr>
              <w:t>Joni Alonso, Melissa</w:t>
            </w:r>
          </w:p>
        </w:tc>
        <w:tc>
          <w:tcPr>
            <w:tcW w:type="dxa" w:w="4320"/>
          </w:tcPr>
          <w:p>
            <w:pPr>
              <w:spacing w:after="40"/>
            </w:pPr>
            <w:r>
              <w:rPr>
                <w:sz w:val="18"/>
              </w:rPr>
            </w:r>
            <w:r>
              <w:rPr>
                <w:sz w:val="18"/>
              </w:rPr>
              <w:t>Business-side participants in the consent decision</w:t>
            </w:r>
          </w:p>
        </w:tc>
      </w:tr>
      <w:tr>
        <w:tc>
          <w:tcPr>
            <w:tcW w:type="dxa" w:w="4320"/>
          </w:tcPr>
          <w:p>
            <w:pPr>
              <w:spacing w:after="40"/>
            </w:pPr>
            <w:r>
              <w:rPr>
                <w:sz w:val="18"/>
              </w:rPr>
            </w:r>
            <w:r>
              <w:rPr>
                <w:b/>
                <w:sz w:val="18"/>
              </w:rPr>
              <w:t>Erin Vander Laan, Dheera Pothireddy, Patrick Mungovan, Amalia Siavelis</w:t>
            </w:r>
          </w:p>
        </w:tc>
        <w:tc>
          <w:tcPr>
            <w:tcW w:type="dxa" w:w="4320"/>
          </w:tcPr>
          <w:p>
            <w:pPr>
              <w:spacing w:after="40"/>
            </w:pPr>
            <w:r>
              <w:rPr>
                <w:sz w:val="18"/>
              </w:rPr>
            </w:r>
            <w:r>
              <w:rPr>
                <w:sz w:val="18"/>
              </w:rPr>
              <w:t>Thread participants (Aetna/CVS side)</w:t>
            </w:r>
          </w:p>
        </w:tc>
      </w:tr>
      <w:tr>
        <w:tc>
          <w:tcPr>
            <w:tcW w:type="dxa" w:w="4320"/>
          </w:tcPr>
          <w:p>
            <w:pPr>
              <w:spacing w:after="40"/>
            </w:pPr>
            <w:r>
              <w:rPr>
                <w:sz w:val="18"/>
              </w:rPr>
            </w:r>
            <w:r>
              <w:rPr>
                <w:sz w:val="18"/>
              </w:rPr>
              <w:t>Meritain side</w:t>
            </w:r>
          </w:p>
        </w:tc>
        <w:tc>
          <w:tcPr>
            <w:tcW w:type="dxa" w:w="4320"/>
          </w:tcPr>
          <w:p>
            <w:pPr>
              <w:spacing w:after="40"/>
            </w:pPr>
            <w:r>
              <w:rPr>
                <w:sz w:val="18"/>
              </w:rPr>
            </w:r>
            <w:r>
              <w:rPr>
                <w:b/>
                <w:sz w:val="18"/>
              </w:rPr>
              <w:t>Muhammad Ali</w:t>
            </w:r>
            <w:r>
              <w:rPr>
                <w:sz w:val="18"/>
              </w:rPr>
              <w:t xml:space="preserve"> (architecture lead), </w:t>
            </w:r>
            <w:r>
              <w:rPr>
                <w:b/>
                <w:sz w:val="18"/>
              </w:rPr>
              <w:t>Bill Cadman</w:t>
            </w:r>
            <w:r>
              <w:rPr>
                <w:sz w:val="18"/>
              </w:rPr>
              <w:t xml:space="preserve"> (Technical Advisor, TPA&amp;PS Technology — DG/preference SME), </w:t>
            </w:r>
            <w:r>
              <w:rPr>
                <w:b/>
                <w:sz w:val="18"/>
              </w:rPr>
              <w:t>Chris Lintvedt</w:t>
            </w:r>
            <w:r>
              <w:rPr>
                <w:sz w:val="18"/>
              </w:rPr>
              <w:t xml:space="preserve"> (Digital), </w:t>
            </w:r>
            <w:r>
              <w:rPr>
                <w:b/>
                <w:sz w:val="18"/>
              </w:rPr>
              <w:t>Frank Alabau</w:t>
            </w:r>
            <w:r>
              <w:rPr>
                <w:sz w:val="18"/>
              </w:rPr>
              <w:t xml:space="preserve">, </w:t>
            </w:r>
            <w:r>
              <w:rPr>
                <w:b/>
                <w:sz w:val="18"/>
              </w:rPr>
              <w:t>Narendra Kumar</w:t>
            </w:r>
          </w:p>
        </w:tc>
      </w:tr>
    </w:tbl>
    <w:p>
      <w:pPr>
        <w:spacing w:after="0"/>
      </w:pPr>
    </w:p>
    <w:p>
      <w:pPr>
        <w:pStyle w:val="Heading2"/>
      </w:pPr>
      <w:r>
        <w:t>B3. The Intake Record (March 2026) — Questions and On-Record Answers</w:t>
      </w:r>
    </w:p>
    <w:p>
      <w:r>
        <w:t>The intake was opened March 9 (Ali → Brar → Narayan/Singh). Ankita's assessment questions and the answers given (Ali, with Cadman corrections) are the authoritative current-state Q&amp;A: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spacing w:after="40"/>
            </w:pPr>
            <w:r>
              <w:rPr>
                <w:sz w:val="18"/>
              </w:rPr>
            </w:r>
            <w:r>
              <w:rPr>
                <w:b/>
                <w:sz w:val="18"/>
              </w:rPr>
              <w:t>#</w:t>
            </w:r>
          </w:p>
        </w:tc>
        <w:tc>
          <w:tcPr>
            <w:tcW w:type="dxa" w:w="2880"/>
            <w:shd w:val="clear" w:fill="D9E2F3"/>
          </w:tcPr>
          <w:p>
            <w:pPr>
              <w:spacing w:after="40"/>
            </w:pPr>
            <w:r>
              <w:rPr>
                <w:sz w:val="18"/>
              </w:rPr>
            </w:r>
            <w:r>
              <w:rPr>
                <w:b/>
                <w:sz w:val="18"/>
              </w:rPr>
              <w:t>IPP question</w:t>
            </w:r>
          </w:p>
        </w:tc>
        <w:tc>
          <w:tcPr>
            <w:tcW w:type="dxa" w:w="2880"/>
            <w:shd w:val="clear" w:fill="D9E2F3"/>
          </w:tcPr>
          <w:p>
            <w:pPr>
              <w:spacing w:after="40"/>
            </w:pPr>
            <w:r>
              <w:rPr>
                <w:sz w:val="18"/>
              </w:rPr>
            </w:r>
            <w:r>
              <w:rPr>
                <w:b/>
                <w:sz w:val="18"/>
              </w:rPr>
              <w:t>Meritain answer</w:t>
            </w:r>
          </w:p>
        </w:tc>
      </w:tr>
      <w:tr>
        <w:tc>
          <w:tcPr>
            <w:tcW w:type="dxa" w:w="2880"/>
          </w:tcPr>
          <w:p>
            <w:pPr>
              <w:spacing w:after="40"/>
            </w:pPr>
            <w:r>
              <w:rPr>
                <w:sz w:val="18"/>
              </w:rPr>
            </w:r>
            <w:r>
              <w:rPr>
                <w:sz w:val="18"/>
              </w:rPr>
              <w:t>1</w:t>
            </w:r>
          </w:p>
        </w:tc>
        <w:tc>
          <w:tcPr>
            <w:tcW w:type="dxa" w:w="2880"/>
          </w:tcPr>
          <w:p>
            <w:pPr>
              <w:spacing w:after="40"/>
            </w:pPr>
            <w:r>
              <w:rPr>
                <w:sz w:val="18"/>
              </w:rPr>
            </w:r>
            <w:r>
              <w:rPr>
                <w:sz w:val="18"/>
              </w:rPr>
              <w:t>Which application collects enrollment information (name, DOB, gender, email, phone, address)?</w:t>
            </w:r>
          </w:p>
        </w:tc>
        <w:tc>
          <w:tcPr>
            <w:tcW w:type="dxa" w:w="2880"/>
          </w:tcPr>
          <w:p>
            <w:pPr>
              <w:spacing w:after="40"/>
            </w:pPr>
            <w:r>
              <w:rPr>
                <w:sz w:val="18"/>
              </w:rPr>
            </w:r>
            <w:r>
              <w:rPr>
                <w:b/>
                <w:sz w:val="18"/>
              </w:rPr>
              <w:t>DG</w:t>
            </w:r>
            <w:r>
              <w:rPr>
                <w:sz w:val="18"/>
              </w:rPr>
              <w:t xml:space="preserve"> — the Meritain backbone application</w:t>
            </w:r>
          </w:p>
        </w:tc>
      </w:tr>
      <w:tr>
        <w:tc>
          <w:tcPr>
            <w:tcW w:type="dxa" w:w="2880"/>
          </w:tcPr>
          <w:p>
            <w:pPr>
              <w:spacing w:after="40"/>
            </w:pPr>
            <w:r>
              <w:rPr>
                <w:sz w:val="18"/>
              </w:rPr>
            </w:r>
            <w:r>
              <w:rPr>
                <w:sz w:val="18"/>
              </w:rPr>
              <w:t>2</w:t>
            </w:r>
          </w:p>
        </w:tc>
        <w:tc>
          <w:tcPr>
            <w:tcW w:type="dxa" w:w="2880"/>
          </w:tcPr>
          <w:p>
            <w:pPr>
              <w:spacing w:after="40"/>
            </w:pPr>
            <w:r>
              <w:rPr>
                <w:sz w:val="18"/>
              </w:rPr>
            </w:r>
            <w:r>
              <w:rPr>
                <w:sz w:val="18"/>
              </w:rPr>
              <w:t>Population count?</w:t>
            </w:r>
          </w:p>
        </w:tc>
        <w:tc>
          <w:tcPr>
            <w:tcW w:type="dxa" w:w="2880"/>
          </w:tcPr>
          <w:p>
            <w:pPr>
              <w:spacing w:after="40"/>
            </w:pPr>
            <w:r>
              <w:rPr>
                <w:sz w:val="18"/>
              </w:rPr>
            </w:r>
            <w:r>
              <w:rPr>
                <w:b/>
                <w:sz w:val="18"/>
              </w:rPr>
              <w:t>2 million members, potentially 5 million in the next 3 years</w:t>
            </w:r>
          </w:p>
        </w:tc>
      </w:tr>
      <w:tr>
        <w:tc>
          <w:tcPr>
            <w:tcW w:type="dxa" w:w="2880"/>
          </w:tcPr>
          <w:p>
            <w:pPr>
              <w:spacing w:after="40"/>
            </w:pPr>
            <w:r>
              <w:rPr>
                <w:sz w:val="18"/>
              </w:rPr>
            </w:r>
            <w:r>
              <w:rPr>
                <w:sz w:val="18"/>
              </w:rPr>
              <w:t>3</w:t>
            </w:r>
          </w:p>
        </w:tc>
        <w:tc>
          <w:tcPr>
            <w:tcW w:type="dxa" w:w="2880"/>
          </w:tcPr>
          <w:p>
            <w:pPr>
              <w:spacing w:after="40"/>
            </w:pPr>
            <w:r>
              <w:rPr>
                <w:sz w:val="18"/>
              </w:rPr>
            </w:r>
            <w:r>
              <w:rPr>
                <w:sz w:val="18"/>
              </w:rPr>
              <w:t>What member ID is used (ID-card ID)?</w:t>
            </w:r>
          </w:p>
        </w:tc>
        <w:tc>
          <w:tcPr>
            <w:tcW w:type="dxa" w:w="2880"/>
          </w:tcPr>
          <w:p>
            <w:pPr>
              <w:spacing w:after="40"/>
            </w:pPr>
            <w:r>
              <w:rPr>
                <w:sz w:val="18"/>
              </w:rPr>
            </w:r>
            <w:r>
              <w:rPr>
                <w:sz w:val="18"/>
              </w:rPr>
              <w:t>"You will find in IMI; Bill can share a sample"</w:t>
            </w:r>
          </w:p>
        </w:tc>
      </w:tr>
      <w:tr>
        <w:tc>
          <w:tcPr>
            <w:tcW w:type="dxa" w:w="2880"/>
          </w:tcPr>
          <w:p>
            <w:pPr>
              <w:spacing w:after="40"/>
            </w:pPr>
            <w:r>
              <w:rPr>
                <w:sz w:val="18"/>
              </w:rPr>
            </w:r>
            <w:r>
              <w:rPr>
                <w:sz w:val="18"/>
              </w:rPr>
              <w:t>4</w:t>
            </w:r>
          </w:p>
        </w:tc>
        <w:tc>
          <w:tcPr>
            <w:tcW w:type="dxa" w:w="2880"/>
          </w:tcPr>
          <w:p>
            <w:pPr>
              <w:spacing w:after="40"/>
            </w:pPr>
            <w:r>
              <w:rPr>
                <w:sz w:val="18"/>
              </w:rPr>
            </w:r>
            <w:r>
              <w:rPr>
                <w:sz w:val="18"/>
              </w:rPr>
              <w:t>If they're in IMI, are Meritain members Aetna members?</w:t>
            </w:r>
          </w:p>
        </w:tc>
        <w:tc>
          <w:tcPr>
            <w:tcW w:type="dxa" w:w="2880"/>
          </w:tcPr>
          <w:p>
            <w:pPr>
              <w:spacing w:after="40"/>
            </w:pPr>
            <w:r>
              <w:rPr>
                <w:sz w:val="18"/>
              </w:rPr>
            </w:r>
            <w:r>
              <w:rPr>
                <w:b/>
                <w:sz w:val="18"/>
              </w:rPr>
              <w:t>No — they are not Aetna members</w:t>
            </w:r>
          </w:p>
        </w:tc>
      </w:tr>
      <w:tr>
        <w:tc>
          <w:tcPr>
            <w:tcW w:type="dxa" w:w="2880"/>
          </w:tcPr>
          <w:p>
            <w:pPr>
              <w:spacing w:after="40"/>
            </w:pPr>
            <w:r>
              <w:rPr>
                <w:sz w:val="18"/>
              </w:rPr>
            </w:r>
            <w:r>
              <w:rPr>
                <w:sz w:val="18"/>
              </w:rPr>
              <w:t>5</w:t>
            </w:r>
          </w:p>
        </w:tc>
        <w:tc>
          <w:tcPr>
            <w:tcW w:type="dxa" w:w="2880"/>
          </w:tcPr>
          <w:p>
            <w:pPr>
              <w:spacing w:after="40"/>
            </w:pPr>
            <w:r>
              <w:rPr>
                <w:sz w:val="18"/>
              </w:rPr>
            </w:r>
            <w:r>
              <w:rPr>
                <w:sz w:val="18"/>
              </w:rPr>
              <w:t>Which application collects communication preferences (email/phone/address/language/paperless) across channels?</w:t>
            </w:r>
          </w:p>
        </w:tc>
        <w:tc>
          <w:tcPr>
            <w:tcW w:type="dxa" w:w="2880"/>
          </w:tcPr>
          <w:p>
            <w:pPr>
              <w:spacing w:after="40"/>
            </w:pPr>
            <w:r>
              <w:rPr>
                <w:sz w:val="18"/>
              </w:rPr>
            </w:r>
            <w:r>
              <w:rPr>
                <w:sz w:val="18"/>
              </w:rPr>
              <w:t xml:space="preserve">Capability </w:t>
            </w:r>
            <w:r>
              <w:rPr>
                <w:b/>
                <w:sz w:val="18"/>
              </w:rPr>
              <w:t>to be added</w:t>
            </w:r>
            <w:r>
              <w:rPr>
                <w:sz w:val="18"/>
              </w:rPr>
              <w:t xml:space="preserve"> in MeritainConnect (member), </w:t>
            </w:r>
            <w:r>
              <w:rPr>
                <w:b/>
                <w:sz w:val="18"/>
              </w:rPr>
              <w:t>CSI Web</w:t>
            </w:r>
            <w:r>
              <w:rPr>
                <w:sz w:val="18"/>
              </w:rPr>
              <w:t xml:space="preserve"> (CSR), and the Mobile App</w:t>
            </w:r>
          </w:p>
        </w:tc>
      </w:tr>
      <w:tr>
        <w:tc>
          <w:tcPr>
            <w:tcW w:type="dxa" w:w="2880"/>
          </w:tcPr>
          <w:p>
            <w:pPr>
              <w:spacing w:after="40"/>
            </w:pPr>
            <w:r>
              <w:rPr>
                <w:sz w:val="18"/>
              </w:rPr>
            </w:r>
            <w:r>
              <w:rPr>
                <w:sz w:val="18"/>
              </w:rPr>
              <w:t>6</w:t>
            </w:r>
          </w:p>
        </w:tc>
        <w:tc>
          <w:tcPr>
            <w:tcW w:type="dxa" w:w="2880"/>
          </w:tcPr>
          <w:p>
            <w:pPr>
              <w:spacing w:after="40"/>
            </w:pPr>
            <w:r>
              <w:rPr>
                <w:sz w:val="18"/>
              </w:rPr>
            </w:r>
            <w:r>
              <w:rPr>
                <w:sz w:val="18"/>
              </w:rPr>
              <w:t>Does Meritain send texts? Branding? Vendor? Opt-out collection?</w:t>
            </w:r>
          </w:p>
        </w:tc>
        <w:tc>
          <w:tcPr>
            <w:tcW w:type="dxa" w:w="2880"/>
          </w:tcPr>
          <w:p>
            <w:pPr>
              <w:spacing w:after="40"/>
            </w:pPr>
            <w:r>
              <w:rPr>
                <w:sz w:val="18"/>
              </w:rPr>
            </w:r>
            <w:r>
              <w:rPr>
                <w:b/>
                <w:sz w:val="18"/>
              </w:rPr>
              <w:t>Net-new capability</w:t>
            </w:r>
            <w:r>
              <w:rPr>
                <w:sz w:val="18"/>
              </w:rPr>
              <w:t xml:space="preserve">; enterprise vendors </w:t>
            </w:r>
            <w:r>
              <w:rPr>
                <w:b/>
                <w:sz w:val="18"/>
              </w:rPr>
              <w:t>Infobip and CSG</w:t>
            </w:r>
            <w:r>
              <w:rPr>
                <w:sz w:val="18"/>
              </w:rPr>
              <w:t xml:space="preserve"> will be used</w:t>
            </w:r>
          </w:p>
        </w:tc>
      </w:tr>
      <w:tr>
        <w:tc>
          <w:tcPr>
            <w:tcW w:type="dxa" w:w="2880"/>
          </w:tcPr>
          <w:p>
            <w:pPr>
              <w:spacing w:after="40"/>
            </w:pPr>
            <w:r>
              <w:rPr>
                <w:sz w:val="18"/>
              </w:rPr>
            </w:r>
            <w:r>
              <w:rPr>
                <w:sz w:val="18"/>
              </w:rPr>
              <w:t>7</w:t>
            </w:r>
          </w:p>
        </w:tc>
        <w:tc>
          <w:tcPr>
            <w:tcW w:type="dxa" w:w="2880"/>
          </w:tcPr>
          <w:p>
            <w:pPr>
              <w:spacing w:after="40"/>
            </w:pPr>
            <w:r>
              <w:rPr>
                <w:sz w:val="18"/>
              </w:rPr>
            </w:r>
            <w:r>
              <w:rPr>
                <w:sz w:val="18"/>
              </w:rPr>
              <w:t>Will Meritain members log in via Aetna Health?</w:t>
            </w:r>
          </w:p>
        </w:tc>
        <w:tc>
          <w:tcPr>
            <w:tcW w:type="dxa" w:w="2880"/>
          </w:tcPr>
          <w:p>
            <w:pPr>
              <w:spacing w:after="40"/>
            </w:pPr>
            <w:r>
              <w:rPr>
                <w:sz w:val="18"/>
              </w:rPr>
            </w:r>
            <w:r>
              <w:rPr>
                <w:b/>
                <w:sz w:val="18"/>
              </w:rPr>
              <w:t>No — they have their own portal</w:t>
            </w:r>
          </w:p>
        </w:tc>
      </w:tr>
      <w:tr>
        <w:tc>
          <w:tcPr>
            <w:tcW w:type="dxa" w:w="2880"/>
          </w:tcPr>
          <w:p>
            <w:pPr>
              <w:spacing w:after="40"/>
            </w:pPr>
            <w:r>
              <w:rPr>
                <w:sz w:val="18"/>
              </w:rPr>
            </w:r>
            <w:r>
              <w:rPr>
                <w:sz w:val="18"/>
              </w:rPr>
              <w:t>8</w:t>
            </w:r>
          </w:p>
        </w:tc>
        <w:tc>
          <w:tcPr>
            <w:tcW w:type="dxa" w:w="2880"/>
          </w:tcPr>
          <w:p>
            <w:pPr>
              <w:spacing w:after="40"/>
            </w:pPr>
            <w:r>
              <w:rPr>
                <w:sz w:val="18"/>
              </w:rPr>
            </w:r>
            <w:r>
              <w:rPr>
                <w:sz w:val="18"/>
              </w:rPr>
              <w:t>CSR application — Aetna GPS?</w:t>
            </w:r>
          </w:p>
        </w:tc>
        <w:tc>
          <w:tcPr>
            <w:tcW w:type="dxa" w:w="2880"/>
          </w:tcPr>
          <w:p>
            <w:pPr>
              <w:spacing w:after="40"/>
            </w:pPr>
            <w:r>
              <w:rPr>
                <w:sz w:val="18"/>
              </w:rPr>
            </w:r>
            <w:r>
              <w:rPr>
                <w:b/>
                <w:sz w:val="18"/>
              </w:rPr>
              <w:t>CSI Web, Meritain-owned</w:t>
            </w:r>
          </w:p>
        </w:tc>
      </w:tr>
      <w:tr>
        <w:tc>
          <w:tcPr>
            <w:tcW w:type="dxa" w:w="2880"/>
          </w:tcPr>
          <w:p>
            <w:pPr>
              <w:spacing w:after="40"/>
            </w:pPr>
            <w:r>
              <w:rPr>
                <w:sz w:val="18"/>
              </w:rPr>
            </w:r>
            <w:r>
              <w:rPr>
                <w:sz w:val="18"/>
              </w:rPr>
              <w:t>9</w:t>
            </w:r>
          </w:p>
        </w:tc>
        <w:tc>
          <w:tcPr>
            <w:tcW w:type="dxa" w:w="2880"/>
          </w:tcPr>
          <w:p>
            <w:pPr>
              <w:spacing w:after="40"/>
            </w:pPr>
            <w:r>
              <w:rPr>
                <w:sz w:val="18"/>
              </w:rPr>
            </w:r>
            <w:r>
              <w:rPr>
                <w:sz w:val="18"/>
              </w:rPr>
              <w:t>Can members engage Aetna clinical apps (MedCompass, CEC, OneCM)?</w:t>
            </w:r>
          </w:p>
        </w:tc>
        <w:tc>
          <w:tcPr>
            <w:tcW w:type="dxa" w:w="2880"/>
          </w:tcPr>
          <w:p>
            <w:pPr>
              <w:spacing w:after="40"/>
            </w:pPr>
            <w:r>
              <w:rPr>
                <w:sz w:val="18"/>
              </w:rPr>
            </w:r>
            <w:r>
              <w:rPr>
                <w:b/>
                <w:sz w:val="18"/>
              </w:rPr>
              <w:t>No</w:t>
            </w:r>
          </w:p>
        </w:tc>
      </w:tr>
      <w:tr>
        <w:tc>
          <w:tcPr>
            <w:tcW w:type="dxa" w:w="2880"/>
          </w:tcPr>
          <w:p>
            <w:pPr>
              <w:spacing w:after="40"/>
            </w:pPr>
            <w:r>
              <w:rPr>
                <w:sz w:val="18"/>
              </w:rPr>
            </w:r>
            <w:r>
              <w:rPr>
                <w:sz w:val="18"/>
              </w:rPr>
              <w:t>10</w:t>
            </w:r>
          </w:p>
        </w:tc>
        <w:tc>
          <w:tcPr>
            <w:tcW w:type="dxa" w:w="2880"/>
          </w:tcPr>
          <w:p>
            <w:pPr>
              <w:spacing w:after="40"/>
            </w:pPr>
            <w:r>
              <w:rPr>
                <w:sz w:val="18"/>
              </w:rPr>
            </w:r>
            <w:r>
              <w:rPr>
                <w:sz w:val="18"/>
              </w:rPr>
              <w:t>Which application sends EOBs/letters (paper or paperless)?</w:t>
            </w:r>
          </w:p>
        </w:tc>
        <w:tc>
          <w:tcPr>
            <w:tcW w:type="dxa" w:w="2880"/>
          </w:tcPr>
          <w:p>
            <w:pPr>
              <w:spacing w:after="40"/>
            </w:pPr>
            <w:r>
              <w:rPr>
                <w:sz w:val="18"/>
              </w:rPr>
            </w:r>
            <w:r>
              <w:rPr>
                <w:b/>
                <w:sz w:val="18"/>
              </w:rPr>
              <w:t>Zelis</w:t>
            </w:r>
            <w:r>
              <w:rPr>
                <w:sz w:val="18"/>
              </w:rPr>
              <w:t xml:space="preserve"> (vendor)</w:t>
            </w:r>
          </w:p>
        </w:tc>
      </w:tr>
      <w:tr>
        <w:tc>
          <w:tcPr>
            <w:tcW w:type="dxa" w:w="2880"/>
          </w:tcPr>
          <w:p>
            <w:pPr>
              <w:spacing w:after="40"/>
            </w:pPr>
            <w:r>
              <w:rPr>
                <w:sz w:val="18"/>
              </w:rPr>
            </w:r>
            <w:r>
              <w:rPr>
                <w:sz w:val="18"/>
              </w:rPr>
              <w:t>11</w:t>
            </w:r>
          </w:p>
        </w:tc>
        <w:tc>
          <w:tcPr>
            <w:tcW w:type="dxa" w:w="2880"/>
          </w:tcPr>
          <w:p>
            <w:pPr>
              <w:spacing w:after="40"/>
            </w:pPr>
            <w:r>
              <w:rPr>
                <w:sz w:val="18"/>
              </w:rPr>
            </w:r>
            <w:r>
              <w:rPr>
                <w:sz w:val="18"/>
              </w:rPr>
              <w:t>What value from adding Meritain members to IPP?</w:t>
            </w:r>
          </w:p>
        </w:tc>
        <w:tc>
          <w:tcPr>
            <w:tcW w:type="dxa" w:w="2880"/>
          </w:tcPr>
          <w:p>
            <w:pPr>
              <w:spacing w:after="40"/>
            </w:pPr>
            <w:r>
              <w:rPr>
                <w:sz w:val="18"/>
              </w:rPr>
            </w:r>
            <w:r>
              <w:rPr>
                <w:sz w:val="18"/>
              </w:rPr>
              <w:t xml:space="preserve">Connection to the </w:t>
            </w:r>
            <w:r>
              <w:rPr>
                <w:b/>
                <w:sz w:val="18"/>
              </w:rPr>
              <w:t>enterprise messaging platform (MaCE)</w:t>
            </w:r>
            <w:r>
              <w:rPr>
                <w:sz w:val="18"/>
              </w:rPr>
              <w:t xml:space="preserve"> for member communication</w:t>
            </w:r>
          </w:p>
        </w:tc>
      </w:tr>
      <w:tr>
        <w:tc>
          <w:tcPr>
            <w:tcW w:type="dxa" w:w="2880"/>
          </w:tcPr>
          <w:p>
            <w:pPr>
              <w:spacing w:after="40"/>
            </w:pPr>
            <w:r>
              <w:rPr>
                <w:sz w:val="18"/>
              </w:rPr>
            </w:r>
            <w:r>
              <w:rPr>
                <w:sz w:val="18"/>
              </w:rPr>
              <w:t>12–13</w:t>
            </w:r>
          </w:p>
        </w:tc>
        <w:tc>
          <w:tcPr>
            <w:tcW w:type="dxa" w:w="2880"/>
          </w:tcPr>
          <w:p>
            <w:pPr>
              <w:spacing w:after="40"/>
            </w:pPr>
            <w:r>
              <w:rPr>
                <w:sz w:val="18"/>
              </w:rPr>
            </w:r>
            <w:r>
              <w:rPr>
                <w:sz w:val="18"/>
              </w:rPr>
              <w:t>POA/TPA assignment? RES privacy-type restrictions?</w:t>
            </w:r>
          </w:p>
        </w:tc>
        <w:tc>
          <w:tcPr>
            <w:tcW w:type="dxa" w:w="2880"/>
          </w:tcPr>
          <w:p>
            <w:pPr>
              <w:spacing w:after="40"/>
            </w:pPr>
            <w:r>
              <w:rPr>
                <w:sz w:val="18"/>
              </w:rPr>
            </w:r>
            <w:r>
              <w:rPr>
                <w:b/>
                <w:sz w:val="18"/>
              </w:rPr>
              <w:t>Not happening today</w:t>
            </w:r>
            <w:r>
              <w:rPr>
                <w:sz w:val="18"/>
              </w:rPr>
              <w:t xml:space="preserve"> (Bill to confirm)</w:t>
            </w:r>
          </w:p>
        </w:tc>
      </w:tr>
      <w:tr>
        <w:tc>
          <w:tcPr>
            <w:tcW w:type="dxa" w:w="2880"/>
          </w:tcPr>
          <w:p>
            <w:pPr>
              <w:spacing w:after="40"/>
            </w:pPr>
            <w:r>
              <w:rPr>
                <w:sz w:val="18"/>
              </w:rPr>
            </w:r>
            <w:r>
              <w:rPr>
                <w:sz w:val="18"/>
              </w:rPr>
              <w:t>14</w:t>
            </w:r>
          </w:p>
        </w:tc>
        <w:tc>
          <w:tcPr>
            <w:tcW w:type="dxa" w:w="2880"/>
          </w:tcPr>
          <w:p>
            <w:pPr>
              <w:spacing w:after="40"/>
            </w:pPr>
            <w:r>
              <w:rPr>
                <w:sz w:val="18"/>
              </w:rPr>
            </w:r>
            <w:r>
              <w:rPr>
                <w:sz w:val="18"/>
              </w:rPr>
              <w:t>Is UAF involved in meritain.com member authentication?</w:t>
            </w:r>
          </w:p>
        </w:tc>
        <w:tc>
          <w:tcPr>
            <w:tcW w:type="dxa" w:w="2880"/>
          </w:tcPr>
          <w:p>
            <w:pPr>
              <w:spacing w:after="40"/>
            </w:pPr>
            <w:r>
              <w:rPr>
                <w:sz w:val="18"/>
              </w:rPr>
            </w:r>
            <w:r>
              <w:rPr>
                <w:b/>
                <w:sz w:val="18"/>
              </w:rPr>
              <w:t>No</w:t>
            </w:r>
          </w:p>
        </w:tc>
      </w:tr>
    </w:tbl>
    <w:p>
      <w:pPr>
        <w:spacing w:after="0"/>
      </w:pPr>
    </w:p>
    <w:p>
      <w:r>
        <w:t>Supplementary intake facts:</w:t>
      </w:r>
    </w:p>
    <w:p>
      <w:pPr>
        <w:pStyle w:val="ListBullet"/>
      </w:pPr>
      <w:r>
        <w:rPr>
          <w:b/>
        </w:rPr>
        <w:t>DNC:</w:t>
      </w:r>
      <w:r>
        <w:t xml:space="preserve"> "Meritain does not currently maintain Do Not Call lists. </w:t>
      </w:r>
      <w:r>
        <w:rPr>
          <w:b/>
        </w:rPr>
        <w:t>We would like to use Aetna's.</w:t>
      </w:r>
      <w:r>
        <w:t>" (Bill Cadman, Mar 12) — a one-time enterprise cost to create the Meritain DNC view is in the funding lines.</w:t>
      </w:r>
    </w:p>
    <w:p>
      <w:pPr>
        <w:pStyle w:val="ListBullet"/>
      </w:pPr>
      <w:r>
        <w:rPr>
          <w:b/>
        </w:rPr>
        <w:t>The IMI dispute (unresolved, material):</w:t>
      </w:r>
      <w:r>
        <w:t xml:space="preserve"> Ali's intake note said "Meritain members are already in IMI"; Chris Lintvedt pushed back — "</w:t>
      </w:r>
      <w:r>
        <w:rPr>
          <w:b/>
        </w:rPr>
        <w:t>ARE they really in IMI already?</w:t>
      </w:r>
      <w:r>
        <w:t xml:space="preserve"> Meritain has its own domain ad.meritain.com… MeritainConnect stores users in cust.meritain.com AD… Meritain isn't in IMI nor are we moving there" (his Account Manager project depends on that assumption). Ankita's later chat guidance nonetheless directed </w:t>
      </w:r>
      <w:r>
        <w:rPr>
          <w:b/>
        </w:rPr>
        <w:t>reading IMI (not EPH)</w:t>
      </w:r>
      <w:r>
        <w:t xml:space="preserve"> for Meritain events. Resolve before Day-2 build.</w:t>
      </w:r>
    </w:p>
    <w:p>
      <w:pPr>
        <w:pStyle w:val="ListBullet"/>
      </w:pPr>
      <w:r>
        <w:rPr>
          <w:b/>
        </w:rPr>
        <w:t>Intake submission requirements:</w:t>
      </w:r>
      <w:r>
        <w:t xml:space="preserve"> ITPR number, business objective, IPP scope (preference/profile/privacy integrations), timelines, stakeholder POCs for Clarity allocation.</w:t>
      </w:r>
    </w:p>
    <w:p>
      <w:pPr>
        <w:pStyle w:val="ListBullet"/>
      </w:pPr>
      <w:r>
        <w:rPr>
          <w:b/>
        </w:rPr>
        <w:t>Phone-number storage before IPP:</w:t>
      </w:r>
      <w:r>
        <w:t xml:space="preserve"> "These will be stored in </w:t>
      </w:r>
      <w:r>
        <w:rPr>
          <w:b/>
        </w:rPr>
        <w:t>DG</w:t>
      </w:r>
      <w:r>
        <w:t xml:space="preserve"> until we can get the integrations up and running with IPP" (Sarah Taylor). Her ask: kick off </w:t>
      </w:r>
      <w:r>
        <w:rPr>
          <w:b/>
        </w:rPr>
        <w:t>DG→IPP field-mapping working sessions</w:t>
      </w:r>
      <w:r>
        <w:t xml:space="preserve">; "the Meritain engineering team has the IPP integration prioritized for </w:t>
      </w:r>
      <w:r>
        <w:rPr>
          <w:b/>
        </w:rPr>
        <w:t>Q2, with planning in early April</w:t>
      </w:r>
      <w:r>
        <w:t>."</w:t>
      </w:r>
    </w:p>
    <w:p>
      <w:pPr>
        <w:pStyle w:val="ListBullet"/>
      </w:pPr>
      <w:r>
        <w:rPr>
          <w:b/>
        </w:rPr>
        <w:t>Existing reusable enterprise wiring</w:t>
      </w:r>
      <w:r>
        <w:t xml:space="preserve"> (Chris Lintvedt's inventory — the reuse question he raised for the IPP effort): MFA OTP already flows through </w:t>
      </w:r>
      <w:r>
        <w:rPr>
          <w:b/>
        </w:rPr>
        <w:t>AIM OTP Services → Fabric APIs (program IDs = templates) → SFMC templates</w:t>
      </w:r>
      <w:r>
        <w:t xml:space="preserve">; Aetna's </w:t>
      </w:r>
      <w:r>
        <w:rPr>
          <w:b/>
        </w:rPr>
        <w:t>NGA API</w:t>
      </w:r>
      <w:r>
        <w:t xml:space="preserve"> SMS-OTP update deployed ~Mar 18; SFMC campaigns already provisioned for Meritain: </w:t>
      </w:r>
      <w:r>
        <w:rPr>
          <w:rFonts w:ascii="Consolas" w:hAnsi="Consolas"/>
          <w:sz w:val="19"/>
        </w:rPr>
        <w:t>T-BrokerPS-Meritain-MFA-SMS-QA</w:t>
      </w:r>
      <w:r>
        <w:t xml:space="preserve"> (program 5242 / I90 2793) and </w:t>
      </w:r>
      <w:r>
        <w:rPr>
          <w:rFonts w:ascii="Consolas" w:hAnsi="Consolas"/>
          <w:sz w:val="19"/>
        </w:rPr>
        <w:t>-Prod</w:t>
      </w:r>
      <w:r>
        <w:t xml:space="preserve"> (21215 / 9570); an </w:t>
      </w:r>
      <w:r>
        <w:rPr>
          <w:b/>
        </w:rPr>
        <w:t>"Aetna non-members (broker &amp; plan sponsor)" SFMC business unit</w:t>
      </w:r>
      <w:r>
        <w:t xml:space="preserve"> was already created for Meritain (Maxwell Junge); the business-unit segregation question turns on the business firewall — per Cadman, OTP data is </w:t>
      </w:r>
      <w:r>
        <w:rPr>
          <w:b/>
        </w:rPr>
        <w:t>not</w:t>
      </w:r>
      <w:r>
        <w:t xml:space="preserve"> subject to it, but "claims details and plan sponsor details" would be (Sara Doran's Enterprise Martech call raised whether Meritain needs its own BU due to data co-mingling restrictions).</w:t>
      </w:r>
    </w:p>
    <w:p>
      <w:pPr>
        <w:pStyle w:val="Heading2"/>
      </w:pPr>
      <w:r>
        <w:t>B4. Integration Design for Meritain</w:t>
      </w:r>
    </w:p>
    <w:p>
      <w:r>
        <w:rPr>
          <w:b/>
        </w:rPr>
        <w:t>Day 1 (tactical — target October 2026).</w:t>
      </w:r>
      <w:r>
        <w:t xml:space="preserve"> No IPP. Preferences ride the enrollment pipeline: plan-sponsor enrollment files (captured in DG, flowing to DataVision) drive a </w:t>
      </w:r>
      <w:r>
        <w:rPr>
          <w:b/>
        </w:rPr>
        <w:t>daily payload to MaCE</w:t>
      </w:r>
      <w:r>
        <w:t xml:space="preserve"> — newly enrolled members with predetermined preference + email + phone, sent the </w:t>
      </w:r>
      <w:r>
        <w:rPr>
          <w:b/>
        </w:rPr>
        <w:t>same day as enrollment</w:t>
      </w:r>
      <w:r>
        <w:t xml:space="preserve"> (no lag exposure: nothing precedes enrollment). Scope = </w:t>
      </w:r>
      <w:r>
        <w:rPr>
          <w:b/>
        </w:rPr>
        <w:t>newly-enrolled welcome messages only</w:t>
      </w:r>
      <w:r>
        <w:t xml:space="preserve"> (transactional); no marketing (no DNC/preference-check integrations exist). Channel logic: RCS and SMS are </w:t>
      </w:r>
      <w:r>
        <w:rPr>
          <w:b/>
        </w:rPr>
        <w:t>one preference</w:t>
      </w:r>
      <w:r>
        <w:t xml:space="preserve">; RCS first, </w:t>
      </w:r>
      <w:r>
        <w:rPr>
          <w:b/>
        </w:rPr>
        <w:t>SMS fallback via CSG on Infobip dispositions</w:t>
      </w:r>
      <w:r>
        <w:t xml:space="preserve">, email failover. STOP/unsubscribe: MaCE treats STOP as real-time compliance; the interim loop is either a feedback file or a call to Meritain's existing on-prem </w:t>
      </w:r>
      <w:r>
        <w:rPr>
          <w:b/>
        </w:rPr>
        <w:t>digital-preference API (exposed via APIC)</w:t>
      </w:r>
      <w:r>
        <w:t xml:space="preserve"> — the same API Day 2 swaps for IPP (MaCE's East-coast systems, 30-second API timeout, latency concern noted). </w:t>
      </w:r>
      <w:r>
        <w:rPr>
          <w:b/>
        </w:rPr>
        <w:t>TCPA basis:</w:t>
      </w:r>
      <w:r>
        <w:t xml:space="preserve"> plan sponsors provide </w:t>
      </w:r>
      <w:r>
        <w:rPr>
          <w:b/>
        </w:rPr>
        <w:t>prior express consent</w:t>
      </w:r>
      <w:r>
        <w:t xml:space="preserve"> at enrollment (the leadership decision — Sarah Taylor with Joni &amp; Melissa: sponsor consent suffices for the initial message; members get opt-out); the 834 has no consent placeholder, which is what forced the decision. Compliance contact "Moises" approved Day-1 transactional sends under Ali's four conditions (transactional, free-to-receive, not multiple per quarter, branded sender).</w:t>
      </w:r>
    </w:p>
    <w:p>
      <w:r>
        <w:rPr>
          <w:b/>
        </w:rPr>
        <w:t>Day 2 (strategic — target Q1 2027).</w:t>
      </w:r>
      <w:r>
        <w:t xml:space="preserve"> All pointers repoint to </w:t>
      </w:r>
      <w:r>
        <w:rPr>
          <w:b/>
        </w:rPr>
        <w:t>IPP APIs</w:t>
      </w:r>
      <w:r>
        <w:t xml:space="preserve">, "directly consumed by MaCE." Ali's governing corrections (April 1): "We </w:t>
      </w:r>
      <w:r>
        <w:rPr>
          <w:b/>
        </w:rPr>
        <w:t>cannot use DataVision or the transactional cache</w:t>
      </w:r>
      <w:r>
        <w:t xml:space="preserve"> [for preferences]… </w:t>
      </w:r>
      <w:r>
        <w:rPr>
          <w:b/>
        </w:rPr>
        <w:t>APIs would never ever be accessing DataVision for anything in day 1 or day 2</w:t>
      </w:r>
      <w:r>
        <w:t xml:space="preserve">" — DataVision's only Day-2 role is receiving a </w:t>
      </w:r>
      <w:r>
        <w:rPr>
          <w:b/>
        </w:rPr>
        <w:t>reporting feed *from* IPP</w:t>
      </w:r>
      <w:r>
        <w:t xml:space="preserve">. Meritain will use the </w:t>
      </w:r>
      <w:r>
        <w:rPr>
          <w:b/>
        </w:rPr>
        <w:t>same IPP schema as Aetna</w:t>
      </w:r>
      <w:r>
        <w:t xml:space="preserve"> (separate table behind the scenes — Ankita). Full compliance stack turns on: Federal DNC + enterprise DNC + RND via IPP; unsubscribe via the IPP API. UI field set (TBD): Ali's three fields + the DG EOB-notification field + two legacy MC fields (marketing, survey) if the business keeps them. The Digital team's goal: store preferences in IPP via API calls </w:t>
      </w:r>
      <w:r>
        <w:rPr>
          <w:b/>
        </w:rPr>
        <w:t>by end of year</w:t>
      </w:r>
      <w:r>
        <w:t>.</w:t>
      </w:r>
    </w:p>
    <w:p>
      <w:r>
        <w:rPr>
          <w:b/>
        </w:rPr>
        <w:t>The identity spine (IMI, not EPH).</w:t>
      </w:r>
      <w:r>
        <w:t xml:space="preserve"> IPP reads EPH events for Aetna; for Meritain it must read </w:t>
      </w:r>
      <w:r>
        <w:rPr>
          <w:b/>
        </w:rPr>
        <w:t>IMI</w:t>
      </w:r>
      <w:r>
        <w:t xml:space="preserve"> — a </w:t>
      </w:r>
      <w:r>
        <w:rPr>
          <w:b/>
        </w:rPr>
        <w:t>new integration build, not an EPH enhancement</w:t>
      </w:r>
      <w:r>
        <w:t xml:space="preserve">. Established facts: Meritain members carry IIDs with </w:t>
      </w:r>
      <w:r>
        <w:rPr>
          <w:b/>
        </w:rPr>
        <w:t>mandatory Proxy IDs</w:t>
      </w:r>
      <w:r>
        <w:t xml:space="preserve">; MeritainID assumed present in events (stored in the same generic ID field family — "just like another BU of Aetna"); </w:t>
      </w:r>
      <w:r>
        <w:rPr>
          <w:b/>
        </w:rPr>
        <w:t>members can belong to both Meritain and Aetna</w:t>
      </w:r>
      <w:r>
        <w:t xml:space="preserve">, requiring cross-BU deduplication (one welcome message, not two). Estimate impact: </w:t>
      </w:r>
      <w:r>
        <w:rPr>
          <w:b/>
        </w:rPr>
        <w:t>50–100% more effort than an EPH extension</w:t>
      </w:r>
      <w:r>
        <w:t xml:space="preserve"> — nominal 10–12 weeks vs. a 6-week naive baseline; recommended: separate estimate, 1–2 week IMI discovery, 15–20% buffer; ~40–50% pattern reuse from the EPH integration; preferred architecture = parallel consumers (IMI consumer → Meritain processor → enrichment → proxy-ID resolver → central handler with cross-BU dedup). No Aetna/CVS preference-data retrieval in scope.</w:t>
      </w:r>
    </w:p>
    <w:p>
      <w:pPr>
        <w:pStyle w:val="Heading2"/>
      </w:pPr>
      <w:r>
        <w:t>B5. Decision History (dated)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spacing w:after="40"/>
            </w:pPr>
            <w:r>
              <w:rPr>
                <w:sz w:val="18"/>
              </w:rPr>
            </w:r>
            <w:r>
              <w:rPr>
                <w:b/>
                <w:sz w:val="18"/>
              </w:rPr>
              <w:t>Date (2026)</w:t>
            </w:r>
          </w:p>
        </w:tc>
        <w:tc>
          <w:tcPr>
            <w:tcW w:type="dxa" w:w="2880"/>
            <w:shd w:val="clear" w:fill="D9E2F3"/>
          </w:tcPr>
          <w:p>
            <w:pPr>
              <w:spacing w:after="40"/>
            </w:pPr>
            <w:r>
              <w:rPr>
                <w:sz w:val="18"/>
              </w:rPr>
            </w:r>
            <w:r>
              <w:rPr>
                <w:b/>
                <w:sz w:val="18"/>
              </w:rPr>
              <w:t>Decision / event</w:t>
            </w:r>
          </w:p>
        </w:tc>
        <w:tc>
          <w:tcPr>
            <w:tcW w:type="dxa" w:w="2880"/>
            <w:shd w:val="clear" w:fill="D9E2F3"/>
          </w:tcPr>
          <w:p>
            <w:pPr>
              <w:spacing w:after="40"/>
            </w:pPr>
            <w:r>
              <w:rPr>
                <w:sz w:val="18"/>
              </w:rPr>
            </w:r>
            <w:r>
              <w:rPr>
                <w:b/>
                <w:sz w:val="18"/>
              </w:rPr>
              <w:t>Who</w:t>
            </w:r>
          </w:p>
        </w:tc>
      </w:tr>
      <w:tr>
        <w:tc>
          <w:tcPr>
            <w:tcW w:type="dxa" w:w="2880"/>
          </w:tcPr>
          <w:p>
            <w:pPr>
              <w:spacing w:after="40"/>
            </w:pPr>
            <w:r>
              <w:rPr>
                <w:sz w:val="18"/>
              </w:rPr>
            </w:r>
            <w:r>
              <w:rPr>
                <w:sz w:val="18"/>
              </w:rPr>
              <w:t>Mar 9</w:t>
            </w:r>
          </w:p>
        </w:tc>
        <w:tc>
          <w:tcPr>
            <w:tcW w:type="dxa" w:w="2880"/>
          </w:tcPr>
          <w:p>
            <w:pPr>
              <w:spacing w:after="40"/>
            </w:pPr>
            <w:r>
              <w:rPr>
                <w:sz w:val="18"/>
              </w:rPr>
            </w:r>
            <w:r>
              <w:rPr>
                <w:sz w:val="18"/>
              </w:rPr>
              <w:t>IPP intake opened for Meritain</w:t>
            </w:r>
          </w:p>
        </w:tc>
        <w:tc>
          <w:tcPr>
            <w:tcW w:type="dxa" w:w="2880"/>
          </w:tcPr>
          <w:p>
            <w:pPr>
              <w:spacing w:after="40"/>
            </w:pPr>
            <w:r>
              <w:rPr>
                <w:sz w:val="18"/>
              </w:rPr>
            </w:r>
            <w:r>
              <w:rPr>
                <w:sz w:val="18"/>
              </w:rPr>
              <w:t>Ali → Brar → Narayan/Singh</w:t>
            </w:r>
          </w:p>
        </w:tc>
      </w:tr>
      <w:tr>
        <w:tc>
          <w:tcPr>
            <w:tcW w:type="dxa" w:w="2880"/>
          </w:tcPr>
          <w:p>
            <w:pPr>
              <w:spacing w:after="40"/>
            </w:pPr>
            <w:r>
              <w:rPr>
                <w:sz w:val="18"/>
              </w:rPr>
            </w:r>
            <w:r>
              <w:rPr>
                <w:sz w:val="18"/>
              </w:rPr>
              <w:t>Mar 10</w:t>
            </w:r>
          </w:p>
        </w:tc>
        <w:tc>
          <w:tcPr>
            <w:tcW w:type="dxa" w:w="2880"/>
          </w:tcPr>
          <w:p>
            <w:pPr>
              <w:spacing w:after="40"/>
            </w:pPr>
            <w:r>
              <w:rPr>
                <w:sz w:val="18"/>
              </w:rPr>
            </w:r>
            <w:r>
              <w:rPr>
                <w:sz w:val="18"/>
              </w:rPr>
              <w:t>Intake Q&amp;A answered (the 14 questions above); Lintvedt disputes the "already in IMI" premise</w:t>
            </w:r>
          </w:p>
        </w:tc>
        <w:tc>
          <w:tcPr>
            <w:tcW w:type="dxa" w:w="2880"/>
          </w:tcPr>
          <w:p>
            <w:pPr>
              <w:spacing w:after="40"/>
            </w:pPr>
            <w:r>
              <w:rPr>
                <w:sz w:val="18"/>
              </w:rPr>
            </w:r>
            <w:r>
              <w:rPr>
                <w:sz w:val="18"/>
              </w:rPr>
              <w:t>Ali, Lintvedt</w:t>
            </w:r>
          </w:p>
        </w:tc>
      </w:tr>
      <w:tr>
        <w:tc>
          <w:tcPr>
            <w:tcW w:type="dxa" w:w="2880"/>
          </w:tcPr>
          <w:p>
            <w:pPr>
              <w:spacing w:after="40"/>
            </w:pPr>
            <w:r>
              <w:rPr>
                <w:sz w:val="18"/>
              </w:rPr>
            </w:r>
            <w:r>
              <w:rPr>
                <w:sz w:val="18"/>
              </w:rPr>
              <w:t>Mar 12</w:t>
            </w:r>
          </w:p>
        </w:tc>
        <w:tc>
          <w:tcPr>
            <w:tcW w:type="dxa" w:w="2880"/>
          </w:tcPr>
          <w:p>
            <w:pPr>
              <w:spacing w:after="40"/>
            </w:pPr>
            <w:r>
              <w:rPr>
                <w:sz w:val="18"/>
              </w:rPr>
            </w:r>
            <w:r>
              <w:rPr>
                <w:b/>
                <w:sz w:val="18"/>
              </w:rPr>
              <w:t>DNC: use Aetna's</w:t>
            </w:r>
            <w:r>
              <w:rPr>
                <w:sz w:val="18"/>
              </w:rPr>
              <w:t xml:space="preserve"> (Meritain maintains none); Ajay Vagumudi (IPP Tech Lead) looped in</w:t>
            </w:r>
          </w:p>
        </w:tc>
        <w:tc>
          <w:tcPr>
            <w:tcW w:type="dxa" w:w="2880"/>
          </w:tcPr>
          <w:p>
            <w:pPr>
              <w:spacing w:after="40"/>
            </w:pPr>
            <w:r>
              <w:rPr>
                <w:sz w:val="18"/>
              </w:rPr>
            </w:r>
            <w:r>
              <w:rPr>
                <w:sz w:val="18"/>
              </w:rPr>
              <w:t>Cadman; Narayan</w:t>
            </w:r>
          </w:p>
        </w:tc>
      </w:tr>
      <w:tr>
        <w:tc>
          <w:tcPr>
            <w:tcW w:type="dxa" w:w="2880"/>
          </w:tcPr>
          <w:p>
            <w:pPr>
              <w:spacing w:after="40"/>
            </w:pPr>
            <w:r>
              <w:rPr>
                <w:sz w:val="18"/>
              </w:rPr>
            </w:r>
            <w:r>
              <w:rPr>
                <w:sz w:val="18"/>
              </w:rPr>
              <w:t>Mar 15–16</w:t>
            </w:r>
          </w:p>
        </w:tc>
        <w:tc>
          <w:tcPr>
            <w:tcW w:type="dxa" w:w="2880"/>
          </w:tcPr>
          <w:p>
            <w:pPr>
              <w:spacing w:after="40"/>
            </w:pPr>
            <w:r>
              <w:rPr>
                <w:sz w:val="18"/>
              </w:rPr>
            </w:r>
            <w:r>
              <w:rPr>
                <w:sz w:val="18"/>
              </w:rPr>
              <w:t>Reusable SFMC/Fabric/NGA wiring inventoried (campaign IDs, existing broker/PS business unit); NGA SMS-OTP prod ~Mar 18; MC portal SMS-OTP work planned into the next SAFe PI</w:t>
            </w:r>
          </w:p>
        </w:tc>
        <w:tc>
          <w:tcPr>
            <w:tcW w:type="dxa" w:w="2880"/>
          </w:tcPr>
          <w:p>
            <w:pPr>
              <w:spacing w:after="40"/>
            </w:pPr>
            <w:r>
              <w:rPr>
                <w:sz w:val="18"/>
              </w:rPr>
            </w:r>
            <w:r>
              <w:rPr>
                <w:sz w:val="18"/>
              </w:rPr>
              <w:t>Lintvedt</w:t>
            </w:r>
          </w:p>
        </w:tc>
      </w:tr>
      <w:tr>
        <w:tc>
          <w:tcPr>
            <w:tcW w:type="dxa" w:w="2880"/>
          </w:tcPr>
          <w:p>
            <w:pPr>
              <w:spacing w:after="40"/>
            </w:pPr>
            <w:r>
              <w:rPr>
                <w:sz w:val="18"/>
              </w:rPr>
            </w:r>
            <w:r>
              <w:rPr>
                <w:sz w:val="18"/>
              </w:rPr>
              <w:t>Mid-Mar</w:t>
            </w:r>
          </w:p>
        </w:tc>
        <w:tc>
          <w:tcPr>
            <w:tcW w:type="dxa" w:w="2880"/>
          </w:tcPr>
          <w:p>
            <w:pPr>
              <w:spacing w:after="40"/>
            </w:pPr>
            <w:r>
              <w:rPr>
                <w:sz w:val="18"/>
              </w:rPr>
            </w:r>
            <w:r>
              <w:rPr>
                <w:sz w:val="18"/>
              </w:rPr>
              <w:t xml:space="preserve">Phone numbers stored in </w:t>
            </w:r>
            <w:r>
              <w:rPr>
                <w:b/>
                <w:sz w:val="18"/>
              </w:rPr>
              <w:t>DG until IPP integration is live</w:t>
            </w:r>
            <w:r>
              <w:rPr>
                <w:sz w:val="18"/>
              </w:rPr>
              <w:t xml:space="preserve">; DG→IPP mapping sessions to kick off; engineering prioritized IPP for </w:t>
            </w:r>
            <w:r>
              <w:rPr>
                <w:b/>
                <w:sz w:val="18"/>
              </w:rPr>
              <w:t>Q2</w:t>
            </w:r>
            <w:r>
              <w:rPr>
                <w:sz w:val="18"/>
              </w:rPr>
              <w:t xml:space="preserve"> (planning early April); IPP's Meritain-data-segregation proposal flagged</w:t>
            </w:r>
          </w:p>
        </w:tc>
        <w:tc>
          <w:tcPr>
            <w:tcW w:type="dxa" w:w="2880"/>
          </w:tcPr>
          <w:p>
            <w:pPr>
              <w:spacing w:after="40"/>
            </w:pPr>
            <w:r>
              <w:rPr>
                <w:sz w:val="18"/>
              </w:rPr>
            </w:r>
            <w:r>
              <w:rPr>
                <w:sz w:val="18"/>
              </w:rPr>
              <w:t>Sarah Taylor</w:t>
            </w:r>
          </w:p>
        </w:tc>
      </w:tr>
      <w:tr>
        <w:tc>
          <w:tcPr>
            <w:tcW w:type="dxa" w:w="2880"/>
          </w:tcPr>
          <w:p>
            <w:pPr>
              <w:spacing w:after="40"/>
            </w:pPr>
            <w:r>
              <w:rPr>
                <w:sz w:val="18"/>
              </w:rPr>
            </w:r>
            <w:r>
              <w:rPr>
                <w:sz w:val="18"/>
              </w:rPr>
              <w:t>Mar (chat)</w:t>
            </w:r>
          </w:p>
        </w:tc>
        <w:tc>
          <w:tcPr>
            <w:tcW w:type="dxa" w:w="2880"/>
          </w:tcPr>
          <w:p>
            <w:pPr>
              <w:spacing w:after="40"/>
            </w:pPr>
            <w:r>
              <w:rPr>
                <w:sz w:val="18"/>
              </w:rPr>
            </w:r>
            <w:r>
              <w:rPr>
                <w:b/>
                <w:sz w:val="18"/>
              </w:rPr>
              <w:t>Read IMI, not EPH</w:t>
            </w:r>
            <w:r>
              <w:rPr>
                <w:sz w:val="18"/>
              </w:rPr>
              <w:t xml:space="preserve"> for Meritain events; assume MeritainID in events; estimate as new build</w:t>
            </w:r>
          </w:p>
        </w:tc>
        <w:tc>
          <w:tcPr>
            <w:tcW w:type="dxa" w:w="2880"/>
          </w:tcPr>
          <w:p>
            <w:pPr>
              <w:spacing w:after="40"/>
            </w:pPr>
            <w:r>
              <w:rPr>
                <w:sz w:val="18"/>
              </w:rPr>
            </w:r>
            <w:r>
              <w:rPr>
                <w:sz w:val="18"/>
              </w:rPr>
              <w:t>Ankita Singh / Ali</w:t>
            </w:r>
          </w:p>
        </w:tc>
      </w:tr>
      <w:tr>
        <w:tc>
          <w:tcPr>
            <w:tcW w:type="dxa" w:w="2880"/>
          </w:tcPr>
          <w:p>
            <w:pPr>
              <w:spacing w:after="40"/>
            </w:pPr>
            <w:r>
              <w:rPr>
                <w:sz w:val="18"/>
              </w:rPr>
            </w:r>
            <w:r>
              <w:rPr>
                <w:sz w:val="18"/>
              </w:rPr>
              <w:t>Mar 19</w:t>
            </w:r>
          </w:p>
        </w:tc>
        <w:tc>
          <w:tcPr>
            <w:tcW w:type="dxa" w:w="2880"/>
          </w:tcPr>
          <w:p>
            <w:pPr>
              <w:spacing w:after="40"/>
            </w:pPr>
            <w:r>
              <w:rPr>
                <w:sz w:val="18"/>
              </w:rPr>
            </w:r>
            <w:r>
              <w:rPr>
                <w:sz w:val="18"/>
              </w:rPr>
              <w:t>IMI estimate framing: 50–100% more effort; parallel-consumer architecture recommended</w:t>
            </w:r>
          </w:p>
        </w:tc>
        <w:tc>
          <w:tcPr>
            <w:tcW w:type="dxa" w:w="2880"/>
          </w:tcPr>
          <w:p>
            <w:pPr>
              <w:spacing w:after="40"/>
            </w:pPr>
            <w:r>
              <w:rPr>
                <w:sz w:val="18"/>
              </w:rPr>
            </w:r>
            <w:r>
              <w:rPr>
                <w:sz w:val="18"/>
              </w:rPr>
              <w:t>Ankita's team session</w:t>
            </w:r>
          </w:p>
        </w:tc>
      </w:tr>
      <w:tr>
        <w:tc>
          <w:tcPr>
            <w:tcW w:type="dxa" w:w="2880"/>
          </w:tcPr>
          <w:p>
            <w:pPr>
              <w:spacing w:after="40"/>
            </w:pPr>
            <w:r>
              <w:rPr>
                <w:sz w:val="18"/>
              </w:rPr>
            </w:r>
            <w:r>
              <w:rPr>
                <w:sz w:val="18"/>
              </w:rPr>
              <w:t>Mar (thread)</w:t>
            </w:r>
          </w:p>
        </w:tc>
        <w:tc>
          <w:tcPr>
            <w:tcW w:type="dxa" w:w="2880"/>
          </w:tcPr>
          <w:p>
            <w:pPr>
              <w:spacing w:after="40"/>
            </w:pPr>
            <w:r>
              <w:rPr>
                <w:sz w:val="18"/>
              </w:rPr>
            </w:r>
            <w:r>
              <w:rPr>
                <w:b/>
                <w:sz w:val="18"/>
              </w:rPr>
              <w:t>TCPA resolution: plan sponsor provides initial consent; member gets opt-out</w:t>
            </w:r>
            <w:r>
              <w:rPr>
                <w:sz w:val="18"/>
              </w:rPr>
              <w:t xml:space="preserve"> (after Ali's roadblock analysis: no consent placeholder in the 834, no member consent pre-registration)</w:t>
            </w:r>
          </w:p>
        </w:tc>
        <w:tc>
          <w:tcPr>
            <w:tcW w:type="dxa" w:w="2880"/>
          </w:tcPr>
          <w:p>
            <w:pPr>
              <w:spacing w:after="40"/>
            </w:pPr>
            <w:r>
              <w:rPr>
                <w:sz w:val="18"/>
              </w:rPr>
            </w:r>
            <w:r>
              <w:rPr>
                <w:sz w:val="18"/>
              </w:rPr>
              <w:t>Meritain leadership via Sarah Taylor, Joni, Melissa</w:t>
            </w:r>
          </w:p>
        </w:tc>
      </w:tr>
      <w:tr>
        <w:tc>
          <w:tcPr>
            <w:tcW w:type="dxa" w:w="2880"/>
          </w:tcPr>
          <w:p>
            <w:pPr>
              <w:spacing w:after="40"/>
            </w:pPr>
            <w:r>
              <w:rPr>
                <w:sz w:val="18"/>
              </w:rPr>
            </w:r>
            <w:r>
              <w:rPr>
                <w:sz w:val="18"/>
              </w:rPr>
              <w:t>Mar 18–27</w:t>
            </w:r>
          </w:p>
        </w:tc>
        <w:tc>
          <w:tcPr>
            <w:tcW w:type="dxa" w:w="2880"/>
          </w:tcPr>
          <w:p>
            <w:pPr>
              <w:spacing w:after="40"/>
            </w:pPr>
            <w:r>
              <w:rPr>
                <w:sz w:val="18"/>
              </w:rPr>
            </w:r>
            <w:r>
              <w:rPr>
                <w:sz w:val="18"/>
              </w:rPr>
              <w:t xml:space="preserve">Preference current-state established: DV never ingested the DG EOB preference (Wetzel, correcting Cadman); </w:t>
            </w:r>
            <w:r>
              <w:rPr>
                <w:rFonts w:ascii="Consolas" w:hAnsi="Consolas"/>
                <w:sz w:val="18"/>
              </w:rPr>
              <w:t>EMAIL.CONSENT</w:t>
            </w:r>
            <w:r>
              <w:rPr>
                <w:sz w:val="18"/>
              </w:rPr>
              <w:t xml:space="preserve"> on DEPENDENTS + DB2 fields (story 219488); MemberCommService dual-write mapped</w:t>
            </w:r>
          </w:p>
        </w:tc>
        <w:tc>
          <w:tcPr>
            <w:tcW w:type="dxa" w:w="2880"/>
          </w:tcPr>
          <w:p>
            <w:pPr>
              <w:spacing w:after="40"/>
            </w:pPr>
            <w:r>
              <w:rPr>
                <w:sz w:val="18"/>
              </w:rPr>
            </w:r>
            <w:r>
              <w:rPr>
                <w:sz w:val="18"/>
              </w:rPr>
              <w:t>Wetzel, Quinn, Lintvedt, Hoye</w:t>
            </w:r>
          </w:p>
        </w:tc>
      </w:tr>
      <w:tr>
        <w:tc>
          <w:tcPr>
            <w:tcW w:type="dxa" w:w="2880"/>
          </w:tcPr>
          <w:p>
            <w:pPr>
              <w:spacing w:after="40"/>
            </w:pPr>
            <w:r>
              <w:rPr>
                <w:sz w:val="18"/>
              </w:rPr>
            </w:r>
            <w:r>
              <w:rPr>
                <w:sz w:val="18"/>
              </w:rPr>
              <w:t>Apr 1</w:t>
            </w:r>
          </w:p>
        </w:tc>
        <w:tc>
          <w:tcPr>
            <w:tcW w:type="dxa" w:w="2880"/>
          </w:tcPr>
          <w:p>
            <w:pPr>
              <w:spacing w:after="40"/>
            </w:pPr>
            <w:r>
              <w:rPr>
                <w:sz w:val="18"/>
              </w:rPr>
            </w:r>
            <w:r>
              <w:rPr>
                <w:b/>
                <w:sz w:val="18"/>
              </w:rPr>
              <w:t>Day-1 = DataVision source / Day-2 = IPP APIs only; APIs never read DV; IPP→DV reporting feed</w:t>
            </w:r>
          </w:p>
        </w:tc>
        <w:tc>
          <w:tcPr>
            <w:tcW w:type="dxa" w:w="2880"/>
          </w:tcPr>
          <w:p>
            <w:pPr>
              <w:spacing w:after="40"/>
            </w:pPr>
            <w:r>
              <w:rPr>
                <w:sz w:val="18"/>
              </w:rPr>
            </w:r>
            <w:r>
              <w:rPr>
                <w:sz w:val="18"/>
              </w:rPr>
              <w:t>Muhammad Ali (correcting Fleckenstein's recap)</w:t>
            </w:r>
          </w:p>
        </w:tc>
      </w:tr>
      <w:tr>
        <w:tc>
          <w:tcPr>
            <w:tcW w:type="dxa" w:w="2880"/>
          </w:tcPr>
          <w:p>
            <w:pPr>
              <w:spacing w:after="40"/>
            </w:pPr>
            <w:r>
              <w:rPr>
                <w:sz w:val="18"/>
              </w:rPr>
            </w:r>
            <w:r>
              <w:rPr>
                <w:sz w:val="18"/>
              </w:rPr>
              <w:t>Jul (transcripts)</w:t>
            </w:r>
          </w:p>
        </w:tc>
        <w:tc>
          <w:tcPr>
            <w:tcW w:type="dxa" w:w="2880"/>
          </w:tcPr>
          <w:p>
            <w:pPr>
              <w:spacing w:after="40"/>
            </w:pPr>
            <w:r>
              <w:rPr>
                <w:sz w:val="18"/>
              </w:rPr>
            </w:r>
            <w:r>
              <w:rPr>
                <w:sz w:val="18"/>
              </w:rPr>
              <w:t xml:space="preserve">Day-1 delivery targeted </w:t>
            </w:r>
            <w:r>
              <w:rPr>
                <w:b/>
                <w:sz w:val="18"/>
              </w:rPr>
              <w:t>October 2026</w:t>
            </w:r>
            <w:r>
              <w:rPr>
                <w:sz w:val="18"/>
              </w:rPr>
              <w:t xml:space="preserve"> (December campaign sends for 1/1/2027 members); Day-2 </w:t>
            </w:r>
            <w:r>
              <w:rPr>
                <w:b/>
                <w:sz w:val="18"/>
              </w:rPr>
              <w:t>Q1 2027</w:t>
            </w:r>
            <w:r>
              <w:rPr>
                <w:sz w:val="18"/>
              </w:rPr>
              <w:t xml:space="preserve">; funding asks </w:t>
            </w:r>
            <w:r>
              <w:rPr>
                <w:b/>
                <w:sz w:val="18"/>
              </w:rPr>
              <w:t>$1.9M Meritain infra + $1.47M Aetna marketing</w:t>
            </w:r>
            <w:r>
              <w:rPr>
                <w:sz w:val="18"/>
              </w:rPr>
              <w:t>; RCS build ≈ 1,200 hrs; unit costs Infobip $0.0032–0.0179, CSG $0.00395, SFMC email $0.00025; Braze push = 2027+, mobile-app-dependent; estimates due back "end of next week"</w:t>
            </w:r>
          </w:p>
        </w:tc>
        <w:tc>
          <w:tcPr>
            <w:tcW w:type="dxa" w:w="2880"/>
          </w:tcPr>
          <w:p>
            <w:pPr>
              <w:spacing w:after="40"/>
            </w:pPr>
            <w:r>
              <w:rPr>
                <w:sz w:val="18"/>
              </w:rPr>
            </w:r>
            <w:r>
              <w:rPr>
                <w:sz w:val="18"/>
              </w:rPr>
              <w:t>Day-one preference planning calls (Ali, Venkat, Johnny/Joni, Leila, Moises)</w:t>
            </w:r>
          </w:p>
        </w:tc>
      </w:tr>
      <w:tr>
        <w:tc>
          <w:tcPr>
            <w:tcW w:type="dxa" w:w="2880"/>
          </w:tcPr>
          <w:p>
            <w:pPr>
              <w:spacing w:after="40"/>
            </w:pPr>
            <w:r>
              <w:rPr>
                <w:sz w:val="18"/>
              </w:rPr>
            </w:r>
            <w:r>
              <w:rPr>
                <w:sz w:val="18"/>
              </w:rPr>
              <w:t>Jul</w:t>
            </w:r>
          </w:p>
        </w:tc>
        <w:tc>
          <w:tcPr>
            <w:tcW w:type="dxa" w:w="2880"/>
          </w:tcPr>
          <w:p>
            <w:pPr>
              <w:spacing w:after="40"/>
            </w:pPr>
            <w:r>
              <w:rPr>
                <w:sz w:val="18"/>
              </w:rPr>
            </w:r>
            <w:r>
              <w:rPr>
                <w:sz w:val="18"/>
              </w:rPr>
              <w:t xml:space="preserve">Bill Cadman requests details of the </w:t>
            </w:r>
            <w:r>
              <w:rPr>
                <w:b/>
                <w:sz w:val="18"/>
              </w:rPr>
              <w:t>two existing Aetna IPP APIs</w:t>
            </w:r>
            <w:r>
              <w:rPr>
                <w:sz w:val="18"/>
              </w:rPr>
              <w:t xml:space="preserve"> to size scope; Ankita to confirm</w:t>
            </w:r>
          </w:p>
        </w:tc>
        <w:tc>
          <w:tcPr>
            <w:tcW w:type="dxa" w:w="2880"/>
          </w:tcPr>
          <w:p>
            <w:pPr>
              <w:spacing w:after="40"/>
            </w:pPr>
            <w:r>
              <w:rPr>
                <w:sz w:val="18"/>
              </w:rPr>
            </w:r>
            <w:r>
              <w:rPr>
                <w:sz w:val="18"/>
              </w:rPr>
              <w:t>Lucid/IPP-APIs session</w:t>
            </w:r>
          </w:p>
        </w:tc>
      </w:tr>
    </w:tbl>
    <w:p>
      <w:pPr>
        <w:spacing w:after="0"/>
      </w:pPr>
    </w:p>
    <w:p>
      <w:pPr>
        <w:pStyle w:val="Heading2"/>
      </w:pPr>
      <w:r>
        <w:t>B6. Open Questions (IPP)</w:t>
      </w:r>
    </w:p>
    <w:p>
      <w:pPr>
        <w:pStyle w:val="ListNumber"/>
      </w:pPr>
      <w:r>
        <w:rPr>
          <w:b/>
        </w:rPr>
        <w:t>IMI membership</w:t>
      </w:r>
      <w:r>
        <w:t xml:space="preserve"> — is Meritain actually in IMI (Ali/Ankita direction) or not (Lintvedt)? Blocks Day-2 identity design.</w:t>
      </w:r>
    </w:p>
    <w:p>
      <w:pPr>
        <w:pStyle w:val="ListNumber"/>
      </w:pPr>
      <w:r>
        <w:t>IPP hosting/platform confirmation: MarkLogic→AWS vs. "IPP in MongoDB" — which is right, and does AWS hosting change Meritain's connectivity assumptions (everything else Meritain is building is GCP)?</w:t>
      </w:r>
    </w:p>
    <w:p>
      <w:pPr>
        <w:pStyle w:val="ListNumber"/>
      </w:pPr>
      <w:r>
        <w:t xml:space="preserve">The </w:t>
      </w:r>
      <w:r>
        <w:rPr>
          <w:b/>
        </w:rPr>
        <w:t>two existing Aetna IPP APIs</w:t>
      </w:r>
      <w:r>
        <w:t xml:space="preserve"> — names, contracts, Swagger (Cadman's outstanding request).</w:t>
      </w:r>
    </w:p>
    <w:p>
      <w:pPr>
        <w:pStyle w:val="ListNumber"/>
      </w:pPr>
      <w:r>
        <w:t>IPP API SLA, auth (OAuth2/mTLS assumed), and availability date relative to the Q1 2027 Day-2 target.</w:t>
      </w:r>
    </w:p>
    <w:p>
      <w:pPr>
        <w:pStyle w:val="ListNumber"/>
      </w:pPr>
      <w:r>
        <w:t xml:space="preserve">The </w:t>
      </w:r>
      <w:r>
        <w:rPr>
          <w:b/>
        </w:rPr>
        <w:t>segregation proposal</w:t>
      </w:r>
      <w:r>
        <w:t xml:space="preserve"> (IPP as master of profile+preferences+consent+privacy) — accepted or shelved? It changes Meritain's data architecture materially.</w:t>
      </w:r>
    </w:p>
    <w:p>
      <w:pPr>
        <w:pStyle w:val="ListNumber"/>
      </w:pPr>
      <w:r>
        <w:t xml:space="preserve">The </w:t>
      </w:r>
      <w:r>
        <w:rPr>
          <w:b/>
        </w:rPr>
        <w:t>~7,000-hour</w:t>
      </w:r>
      <w:r>
        <w:t xml:space="preserve"> IPP onboarding estimate — scope behind it, and whether the internal-build counter-offer ("give us half that") gets serious consideration.</w:t>
      </w:r>
    </w:p>
    <w:p>
      <w:pPr>
        <w:pStyle w:val="ListNumber"/>
      </w:pPr>
      <w:r>
        <w:t>Day-1 STOP loop mechanism — feedback file vs. real-time call to the on-prem digital-preference API (latency/timeout constraints from MaCE's East-coast systems).</w:t>
      </w:r>
    </w:p>
    <w:p>
      <w:pPr>
        <w:pStyle w:val="ListNumber"/>
      </w:pPr>
      <w:r>
        <w:t>Whether the marketing/survey legacy MC fields survive into the Day-2 UI.</w:t>
      </w:r>
    </w:p>
    <w:p>
      <w:pPr>
        <w:pStyle w:val="ListNumber"/>
      </w:pPr>
      <w:r>
        <w:t>DG→IPP field mapping (Sarah Taylor's working sessions) — status and owner.</w:t>
      </w:r>
    </w:p>
    <w:p>
      <w:pPr>
        <w:pStyle w:val="Heading1"/>
      </w:pPr>
      <w:r>
        <w:t>PART C — WHERE CSI WEB AND IPP INTERSECT</w:t>
      </w:r>
    </w:p>
    <w:p>
      <w:r>
        <w:t>The two systems meet in the preference lifecycle, and the seam moves between Day 1 and Day 2:</w:t>
      </w:r>
    </w:p>
    <w:p>
      <w:pPr>
        <w:pStyle w:val="ListNumber"/>
      </w:pPr>
      <w:r>
        <w:rPr>
          <w:b/>
        </w:rPr>
        <w:t>Today:</w:t>
      </w:r>
      <w:r>
        <w:t xml:space="preserve"> CSI Web writes preferences to the MemberCommService SQL store (EOB preference forwarded to DG); DataVision aggregates the portal/CSI elections for SmartComm/reporting. There is no IPP.</w:t>
      </w:r>
    </w:p>
    <w:p>
      <w:pPr>
        <w:pStyle w:val="ListNumber"/>
      </w:pPr>
      <w:r>
        <w:rPr>
          <w:b/>
        </w:rPr>
        <w:t>Day 1 (Oct 2026):</w:t>
      </w:r>
      <w:r>
        <w:t xml:space="preserve"> CSI Web (with MeritainConnect) gains UI fields for phone/SMS/RCS/email consent; captured data lands in the existing local stores + DG; DataVision remains the preference source feeding the daily MaCE payload. CSI Web's write path is unchanged — only its schema grows.</w:t>
      </w:r>
    </w:p>
    <w:p>
      <w:pPr>
        <w:pStyle w:val="ListNumber"/>
      </w:pPr>
      <w:r>
        <w:rPr>
          <w:b/>
        </w:rPr>
        <w:t>Day 2 (Q1 2027):</w:t>
      </w:r>
      <w:r>
        <w:t xml:space="preserve"> CSI Web's preference reads/writes repoint to </w:t>
      </w:r>
      <w:r>
        <w:rPr>
          <w:b/>
        </w:rPr>
        <w:t>IPP APIs</w:t>
      </w:r>
      <w:r>
        <w:t xml:space="preserve"> (the local preference store sunsets for communication preferences; DG may retain EOB); MaCE consumes IPP directly; DataVision becomes a downstream reporting consumer of IPP. CSI Web thereby becomes an </w:t>
      </w:r>
      <w:r>
        <w:rPr>
          <w:b/>
        </w:rPr>
        <w:t>IPP API client</w:t>
      </w:r>
      <w:r>
        <w:t xml:space="preserve"> — which makes the unanswered CSI Web stack/auth questions (A7 #1–4) prerequisites for Day-2 estimation.</w:t>
      </w:r>
    </w:p>
    <w:p>
      <w:pPr>
        <w:pStyle w:val="ListNumber"/>
      </w:pPr>
      <w:r>
        <w:rPr>
          <w:b/>
        </w:rPr>
        <w:t>In parallel</w:t>
      </w:r>
      <w:r>
        <w:t xml:space="preserve">, CSI Web is the Day-2 pilot consumer of the transaction cache for </w:t>
      </w:r>
      <w:r>
        <w:rPr>
          <w:i/>
        </w:rPr>
        <w:t>reads</w:t>
      </w:r>
      <w:r>
        <w:t xml:space="preserve"> — so by 2027 CSI Web sits on two new backends at once (cache for member data, IPP for preferences). Sequencing and shared auth (Ping/JWT vs. current unknown) should be designed together, not per-project.</w:t>
      </w:r>
    </w:p>
    <w:p>
      <w:pPr>
        <w:spacing w:before="200" w:after="40"/>
        <w:jc w:val="center"/>
      </w:pPr>
      <w:r>
        <w:drawing>
          <wp:inline xmlns:a="http://schemas.openxmlformats.org/drawingml/2006/main" xmlns:pic="http://schemas.openxmlformats.org/drawingml/2006/picture">
            <wp:extent cx="5852160" cy="2928125"/>
            <wp:docPr id="1" name="Picture 1"/>
            <wp:cNvGraphicFramePr>
              <a:graphicFrameLocks noChangeAspect="1"/>
            </wp:cNvGraphicFramePr>
            <a:graphic>
              <a:graphicData uri="http://schemas.openxmlformats.org/drawingml/2006/picture">
                <pic:pic>
                  <pic:nvPicPr>
                    <pic:cNvPr id="0" name="rcs-solution.png"/>
                    <pic:cNvPicPr/>
                  </pic:nvPicPr>
                  <pic:blipFill>
                    <a:blip r:embed="rId9"/>
                    <a:stretch>
                      <a:fillRect/>
                    </a:stretch>
                  </pic:blipFill>
                  <pic:spPr>
                    <a:xfrm>
                      <a:off x="0" y="0"/>
                      <a:ext cx="5852160" cy="2928125"/>
                    </a:xfrm>
                    <a:prstGeom prst="rect"/>
                  </pic:spPr>
                </pic:pic>
              </a:graphicData>
            </a:graphic>
          </wp:inline>
        </w:drawing>
      </w:r>
    </w:p>
    <w:p>
      <w:pPr>
        <w:pStyle w:val="ImgCaption"/>
      </w:pPr>
      <w:r>
        <w:t>Meritain RCS implementation solution (conceptual design): CSI Web and MeritainConnect capture preferences (Day 1: local digital-preference APIs/data, Day 2: IPP APIs); plan-sponsor enrollment files with prior express consent feed the enrollment process into DG preferences and IPP; DataVision/EDP is the Day-1 preference source of truth (sunset by IPP in Day 2); the Meritain Welcome Message Service triggers messages through MaCE (IPP-integrated for opt-out/DNC/RND).</w:t>
      </w:r>
    </w:p>
    <w:p>
      <w:pPr>
        <w:pStyle w:val="Heading1"/>
      </w:pPr>
      <w:r>
        <w:t>Source Map</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spacing w:after="40"/>
            </w:pPr>
            <w:r>
              <w:rPr>
                <w:sz w:val="18"/>
              </w:rPr>
            </w:r>
            <w:r>
              <w:rPr>
                <w:b/>
                <w:sz w:val="18"/>
              </w:rPr>
              <w:t>Source</w:t>
            </w:r>
          </w:p>
        </w:tc>
        <w:tc>
          <w:tcPr>
            <w:tcW w:type="dxa" w:w="4320"/>
            <w:shd w:val="clear" w:fill="D9E2F3"/>
          </w:tcPr>
          <w:p>
            <w:pPr>
              <w:spacing w:after="40"/>
            </w:pPr>
            <w:r>
              <w:rPr>
                <w:sz w:val="18"/>
              </w:rPr>
            </w:r>
            <w:r>
              <w:rPr>
                <w:b/>
                <w:sz w:val="18"/>
              </w:rPr>
              <w:t>What it contributed</w:t>
            </w:r>
          </w:p>
        </w:tc>
      </w:tr>
      <w:tr>
        <w:tc>
          <w:tcPr>
            <w:tcW w:type="dxa" w:w="4320"/>
          </w:tcPr>
          <w:p>
            <w:pPr>
              <w:spacing w:after="40"/>
            </w:pPr>
            <w:r>
              <w:rPr>
                <w:sz w:val="18"/>
              </w:rPr>
            </w:r>
            <w:r>
              <w:rPr>
                <w:b/>
                <w:sz w:val="18"/>
              </w:rPr>
              <w:t>"IPP Intake for Meritain" email thread (Mar 9–16)</w:t>
            </w:r>
          </w:p>
        </w:tc>
        <w:tc>
          <w:tcPr>
            <w:tcW w:type="dxa" w:w="4320"/>
          </w:tcPr>
          <w:p>
            <w:pPr>
              <w:spacing w:after="40"/>
            </w:pPr>
            <w:r>
              <w:rPr>
                <w:sz w:val="18"/>
              </w:rPr>
            </w:r>
            <w:r>
              <w:rPr>
                <w:sz w:val="18"/>
              </w:rPr>
              <w:t>The 14-question intake Q&amp;A; DNC decision; IMI dispute; SFMC/Fabric/NGA wiring and campaign IDs; business-unit/firewall discussion; the IPP roster</w:t>
            </w:r>
          </w:p>
        </w:tc>
      </w:tr>
      <w:tr>
        <w:tc>
          <w:tcPr>
            <w:tcW w:type="dxa" w:w="4320"/>
          </w:tcPr>
          <w:p>
            <w:pPr>
              <w:spacing w:after="40"/>
            </w:pPr>
            <w:r>
              <w:rPr>
                <w:sz w:val="18"/>
              </w:rPr>
            </w:r>
            <w:r>
              <w:rPr>
                <w:b/>
                <w:sz w:val="18"/>
              </w:rPr>
              <w:t>IPP/preferences chat record (Mar)</w:t>
            </w:r>
          </w:p>
        </w:tc>
        <w:tc>
          <w:tcPr>
            <w:tcW w:type="dxa" w:w="4320"/>
          </w:tcPr>
          <w:p>
            <w:pPr>
              <w:spacing w:after="40"/>
            </w:pPr>
            <w:r>
              <w:rPr>
                <w:sz w:val="18"/>
              </w:rPr>
            </w:r>
            <w:r>
              <w:rPr>
                <w:sz w:val="18"/>
              </w:rPr>
              <w:t>IMI-not-EPH direction; TCPA roadblock and resolution; "phone numbers stored in DG until IPP"</w:t>
            </w:r>
          </w:p>
        </w:tc>
      </w:tr>
      <w:tr>
        <w:tc>
          <w:tcPr>
            <w:tcW w:type="dxa" w:w="4320"/>
          </w:tcPr>
          <w:p>
            <w:pPr>
              <w:spacing w:after="40"/>
            </w:pPr>
            <w:r>
              <w:rPr>
                <w:sz w:val="18"/>
              </w:rPr>
            </w:r>
            <w:r>
              <w:rPr>
                <w:b/>
                <w:sz w:val="18"/>
              </w:rPr>
              <w:t>DataVision-preferences thread (Mar 18–27)</w:t>
            </w:r>
          </w:p>
        </w:tc>
        <w:tc>
          <w:tcPr>
            <w:tcW w:type="dxa" w:w="4320"/>
          </w:tcPr>
          <w:p>
            <w:pPr>
              <w:spacing w:after="40"/>
            </w:pPr>
            <w:r>
              <w:rPr>
                <w:sz w:val="18"/>
              </w:rPr>
            </w:r>
            <w:r>
              <w:rPr>
                <w:sz w:val="18"/>
              </w:rPr>
              <w:t>MemberCommService dual-write; EMAIL.CONSENT/DB2 story 219488; DV never ingested the DG EOB preference; Hoye's portal-vs-DG rule</w:t>
            </w:r>
          </w:p>
        </w:tc>
      </w:tr>
      <w:tr>
        <w:tc>
          <w:tcPr>
            <w:tcW w:type="dxa" w:w="4320"/>
          </w:tcPr>
          <w:p>
            <w:pPr>
              <w:spacing w:after="40"/>
            </w:pPr>
            <w:r>
              <w:rPr>
                <w:sz w:val="18"/>
              </w:rPr>
            </w:r>
            <w:r>
              <w:rPr>
                <w:b/>
                <w:sz w:val="18"/>
              </w:rPr>
              <w:t>RE: Member Communication Preferences (Apr 1, docs 59/60)</w:t>
            </w:r>
          </w:p>
        </w:tc>
        <w:tc>
          <w:tcPr>
            <w:tcW w:type="dxa" w:w="4320"/>
          </w:tcPr>
          <w:p>
            <w:pPr>
              <w:spacing w:after="40"/>
            </w:pPr>
            <w:r>
              <w:rPr>
                <w:sz w:val="18"/>
              </w:rPr>
            </w:r>
            <w:r>
              <w:rPr>
                <w:sz w:val="18"/>
              </w:rPr>
              <w:t>The Day-1/Day-2 sourcing decision and Ali's corrections</w:t>
            </w:r>
          </w:p>
        </w:tc>
      </w:tr>
      <w:tr>
        <w:tc>
          <w:tcPr>
            <w:tcW w:type="dxa" w:w="4320"/>
          </w:tcPr>
          <w:p>
            <w:pPr>
              <w:spacing w:after="40"/>
            </w:pPr>
            <w:r>
              <w:rPr>
                <w:sz w:val="18"/>
              </w:rPr>
            </w:r>
            <w:r>
              <w:rPr>
                <w:b/>
                <w:sz w:val="18"/>
              </w:rPr>
              <w:t>RCS Solution Architecture (Mar 26)</w:t>
            </w:r>
          </w:p>
        </w:tc>
        <w:tc>
          <w:tcPr>
            <w:tcW w:type="dxa" w:w="4320"/>
          </w:tcPr>
          <w:p>
            <w:pPr>
              <w:spacing w:after="40"/>
            </w:pPr>
            <w:r>
              <w:rPr>
                <w:sz w:val="18"/>
              </w:rPr>
            </w:r>
            <w:r>
              <w:rPr>
                <w:sz w:val="18"/>
              </w:rPr>
              <w:t>CSI Web component inventory + Q1–Q4; IPP expected API surface; TCPA compliance architecture; MaCE channel design</w:t>
            </w:r>
          </w:p>
        </w:tc>
      </w:tr>
      <w:tr>
        <w:tc>
          <w:tcPr>
            <w:tcW w:type="dxa" w:w="4320"/>
          </w:tcPr>
          <w:p>
            <w:pPr>
              <w:spacing w:after="40"/>
            </w:pPr>
            <w:r>
              <w:rPr>
                <w:sz w:val="18"/>
              </w:rPr>
            </w:r>
            <w:r>
              <w:rPr>
                <w:b/>
                <w:sz w:val="18"/>
              </w:rPr>
              <w:t>IMI Q&amp;A / Estimate Impact (Mar 19)</w:t>
            </w:r>
          </w:p>
        </w:tc>
        <w:tc>
          <w:tcPr>
            <w:tcW w:type="dxa" w:w="4320"/>
          </w:tcPr>
          <w:p>
            <w:pPr>
              <w:spacing w:after="40"/>
            </w:pPr>
            <w:r>
              <w:rPr>
                <w:sz w:val="18"/>
              </w:rPr>
            </w:r>
            <w:r>
              <w:rPr>
                <w:sz w:val="18"/>
              </w:rPr>
              <w:t>The IMI new-build decision and effort analysis</w:t>
            </w:r>
          </w:p>
        </w:tc>
      </w:tr>
      <w:tr>
        <w:tc>
          <w:tcPr>
            <w:tcW w:type="dxa" w:w="4320"/>
          </w:tcPr>
          <w:p>
            <w:pPr>
              <w:spacing w:after="40"/>
            </w:pPr>
            <w:r>
              <w:rPr>
                <w:sz w:val="18"/>
              </w:rPr>
            </w:r>
            <w:r>
              <w:rPr>
                <w:b/>
                <w:sz w:val="18"/>
              </w:rPr>
              <w:t>July 2026 transcripts</w:t>
            </w:r>
            <w:r>
              <w:rPr>
                <w:sz w:val="18"/>
              </w:rPr>
              <w:t xml:space="preserve"> (Day-one preference planning, Moving preference data, Lucid/IPP APIs, Cost layers, Cache Transformation Journey, Agentforce/Sierra/IRIS demos, Measurement Framework)</w:t>
            </w:r>
          </w:p>
        </w:tc>
        <w:tc>
          <w:tcPr>
            <w:tcW w:type="dxa" w:w="4320"/>
          </w:tcPr>
          <w:p>
            <w:pPr>
              <w:spacing w:after="40"/>
            </w:pPr>
            <w:r>
              <w:rPr>
                <w:sz w:val="18"/>
              </w:rPr>
            </w:r>
            <w:r>
              <w:rPr>
                <w:sz w:val="18"/>
              </w:rPr>
              <w:t>Timelines (Oct 2026 / Q1 2027), costs and funding asks, daily-payload mechanics, STOP-loop options, Cadman's IPP-API request, CSI Web operational profile, pain-point pack, APM tier contradiction, cache-consumer role, AI integration direction</w:t>
            </w:r>
          </w:p>
        </w:tc>
      </w:tr>
    </w:tbl>
    <w:p>
      <w:pPr>
        <w:spacing w:after="0"/>
      </w:pPr>
    </w:p>
    <w:p>
      <w:r>
        <w:rPr>
          <w:i/>
        </w:rPr>
        <w:t>Companion documents: the Master Architecture Dossier (§21–22), the As-Is Architecture v1.1 (§14–15), and the transcript gap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B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B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gCaption">
    <w:name w:val="ImgCaption"/>
    <w:pPr>
      <w:spacing w:after="240"/>
      <w:jc w:val="center"/>
    </w:pPr>
    <w:rPr>
      <w:i/>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