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818"/>
        <w:gridCol w:w="5400"/>
        <w:gridCol w:w="2358"/>
      </w:tblGrid>
      <w:tr w:rsidR="00131F38" w:rsidTr="007208B2">
        <w:tc>
          <w:tcPr>
            <w:tcW w:w="1818" w:type="dxa"/>
          </w:tcPr>
          <w:p w:rsidR="00131F38" w:rsidRPr="007208B2" w:rsidRDefault="00131F38">
            <w:pPr>
              <w:rPr>
                <w:b/>
              </w:rPr>
            </w:pPr>
            <w:r w:rsidRPr="007208B2">
              <w:rPr>
                <w:b/>
              </w:rPr>
              <w:t>Example</w:t>
            </w:r>
          </w:p>
        </w:tc>
        <w:tc>
          <w:tcPr>
            <w:tcW w:w="5400" w:type="dxa"/>
          </w:tcPr>
          <w:p w:rsidR="00131F38" w:rsidRPr="007208B2" w:rsidRDefault="00131F38" w:rsidP="007208B2">
            <w:pPr>
              <w:jc w:val="center"/>
              <w:rPr>
                <w:b/>
              </w:rPr>
            </w:pPr>
            <w:r w:rsidRPr="007208B2">
              <w:rPr>
                <w:b/>
              </w:rPr>
              <w:t>Description</w:t>
            </w:r>
          </w:p>
        </w:tc>
        <w:tc>
          <w:tcPr>
            <w:tcW w:w="2358" w:type="dxa"/>
          </w:tcPr>
          <w:p w:rsidR="00131F38" w:rsidRPr="007208B2" w:rsidRDefault="00131F38" w:rsidP="007208B2">
            <w:pPr>
              <w:jc w:val="center"/>
              <w:rPr>
                <w:b/>
              </w:rPr>
            </w:pPr>
            <w:r w:rsidRPr="007208B2">
              <w:rPr>
                <w:b/>
              </w:rPr>
              <w:t>Complexity</w:t>
            </w:r>
          </w:p>
        </w:tc>
      </w:tr>
      <w:tr w:rsidR="007208B2" w:rsidTr="007208B2">
        <w:tc>
          <w:tcPr>
            <w:tcW w:w="1818" w:type="dxa"/>
          </w:tcPr>
          <w:p w:rsidR="007208B2" w:rsidRPr="007208B2" w:rsidRDefault="007208B2" w:rsidP="005D4BF1">
            <w:pPr>
              <w:rPr>
                <w:b/>
              </w:rPr>
            </w:pPr>
            <w:r w:rsidRPr="007208B2">
              <w:rPr>
                <w:b/>
              </w:rPr>
              <w:t>ASH5.GID</w:t>
            </w:r>
          </w:p>
        </w:tc>
        <w:tc>
          <w:tcPr>
            <w:tcW w:w="5400" w:type="dxa"/>
          </w:tcPr>
          <w:p w:rsidR="007208B2" w:rsidRDefault="007208B2" w:rsidP="005D4BF1">
            <w:r>
              <w:t xml:space="preserve">Replicates CAP88-PC ver2 example from </w:t>
            </w:r>
            <w:proofErr w:type="spellStart"/>
            <w:r>
              <w:t>Chaki</w:t>
            </w:r>
            <w:proofErr w:type="spellEnd"/>
            <w:r>
              <w:t xml:space="preserve"> and Parks 2000.  Five air emission sources.</w:t>
            </w:r>
          </w:p>
        </w:tc>
        <w:tc>
          <w:tcPr>
            <w:tcW w:w="2358" w:type="dxa"/>
          </w:tcPr>
          <w:p w:rsidR="007208B2" w:rsidRDefault="007208B2" w:rsidP="005D4BF1">
            <w:r>
              <w:t>Complex</w:t>
            </w:r>
          </w:p>
        </w:tc>
      </w:tr>
      <w:tr w:rsidR="007208B2" w:rsidTr="007208B2">
        <w:tc>
          <w:tcPr>
            <w:tcW w:w="1818" w:type="dxa"/>
          </w:tcPr>
          <w:p w:rsidR="007208B2" w:rsidRPr="007208B2" w:rsidRDefault="007208B2">
            <w:pPr>
              <w:rPr>
                <w:b/>
              </w:rPr>
            </w:pPr>
            <w:r w:rsidRPr="007208B2">
              <w:rPr>
                <w:b/>
              </w:rPr>
              <w:t>GENII_01.GID</w:t>
            </w:r>
          </w:p>
        </w:tc>
        <w:tc>
          <w:tcPr>
            <w:tcW w:w="5400" w:type="dxa"/>
          </w:tcPr>
          <w:p w:rsidR="007208B2" w:rsidRDefault="007208B2" w:rsidP="00131F38">
            <w:r>
              <w:t>Inhalation of user-defined activity.</w:t>
            </w:r>
          </w:p>
        </w:tc>
        <w:tc>
          <w:tcPr>
            <w:tcW w:w="2358" w:type="dxa"/>
          </w:tcPr>
          <w:p w:rsidR="007208B2" w:rsidRDefault="007208B2">
            <w:r>
              <w:t xml:space="preserve">Simple </w:t>
            </w:r>
          </w:p>
        </w:tc>
      </w:tr>
      <w:tr w:rsidR="007208B2" w:rsidTr="007208B2">
        <w:tc>
          <w:tcPr>
            <w:tcW w:w="1818" w:type="dxa"/>
          </w:tcPr>
          <w:p w:rsidR="007208B2" w:rsidRPr="007208B2" w:rsidRDefault="007208B2" w:rsidP="00131F38">
            <w:pPr>
              <w:rPr>
                <w:b/>
              </w:rPr>
            </w:pPr>
            <w:r w:rsidRPr="007208B2">
              <w:rPr>
                <w:b/>
              </w:rPr>
              <w:t>GENII_02.GID</w:t>
            </w:r>
          </w:p>
        </w:tc>
        <w:tc>
          <w:tcPr>
            <w:tcW w:w="5400" w:type="dxa"/>
          </w:tcPr>
          <w:p w:rsidR="007208B2" w:rsidRDefault="007208B2">
            <w:r>
              <w:t>Inhalation of user-defined tritium (HT</w:t>
            </w:r>
            <w:proofErr w:type="gramStart"/>
            <w:r>
              <w:t>,HTO</w:t>
            </w:r>
            <w:proofErr w:type="gramEnd"/>
            <w:r>
              <w:t>, and OBT) activity.</w:t>
            </w:r>
          </w:p>
        </w:tc>
        <w:tc>
          <w:tcPr>
            <w:tcW w:w="2358" w:type="dxa"/>
          </w:tcPr>
          <w:p w:rsidR="007208B2" w:rsidRDefault="007208B2">
            <w:r>
              <w:t>Simple</w:t>
            </w:r>
          </w:p>
        </w:tc>
      </w:tr>
      <w:tr w:rsidR="007208B2" w:rsidTr="007208B2">
        <w:tc>
          <w:tcPr>
            <w:tcW w:w="1818" w:type="dxa"/>
          </w:tcPr>
          <w:p w:rsidR="007208B2" w:rsidRPr="007208B2" w:rsidRDefault="007208B2" w:rsidP="00131F38">
            <w:pPr>
              <w:rPr>
                <w:b/>
              </w:rPr>
            </w:pPr>
            <w:r w:rsidRPr="007208B2">
              <w:rPr>
                <w:b/>
              </w:rPr>
              <w:t>GENII_03.GID</w:t>
            </w:r>
          </w:p>
        </w:tc>
        <w:tc>
          <w:tcPr>
            <w:tcW w:w="5400" w:type="dxa"/>
          </w:tcPr>
          <w:p w:rsidR="007208B2" w:rsidRDefault="007208B2" w:rsidP="00131F38">
            <w:r>
              <w:t>Food ingestion intake from user-defined nuclide concentrations in water and food types.</w:t>
            </w:r>
          </w:p>
        </w:tc>
        <w:tc>
          <w:tcPr>
            <w:tcW w:w="2358" w:type="dxa"/>
          </w:tcPr>
          <w:p w:rsidR="007208B2" w:rsidRDefault="007208B2">
            <w:r>
              <w:t>Moderate</w:t>
            </w:r>
          </w:p>
        </w:tc>
      </w:tr>
      <w:tr w:rsidR="007208B2" w:rsidTr="007208B2">
        <w:tc>
          <w:tcPr>
            <w:tcW w:w="1818" w:type="dxa"/>
          </w:tcPr>
          <w:p w:rsidR="007208B2" w:rsidRPr="007208B2" w:rsidRDefault="007208B2" w:rsidP="00131F38">
            <w:pPr>
              <w:rPr>
                <w:b/>
              </w:rPr>
            </w:pPr>
            <w:r w:rsidRPr="007208B2">
              <w:rPr>
                <w:b/>
              </w:rPr>
              <w:t>GENII_04.GID</w:t>
            </w:r>
          </w:p>
        </w:tc>
        <w:tc>
          <w:tcPr>
            <w:tcW w:w="5400" w:type="dxa"/>
          </w:tcPr>
          <w:p w:rsidR="007208B2" w:rsidRDefault="007208B2">
            <w:r>
              <w:t>N/A</w:t>
            </w:r>
          </w:p>
        </w:tc>
        <w:tc>
          <w:tcPr>
            <w:tcW w:w="2358" w:type="dxa"/>
          </w:tcPr>
          <w:p w:rsidR="007208B2" w:rsidRDefault="007208B2"/>
        </w:tc>
      </w:tr>
      <w:tr w:rsidR="007208B2" w:rsidTr="007208B2">
        <w:tc>
          <w:tcPr>
            <w:tcW w:w="1818" w:type="dxa"/>
          </w:tcPr>
          <w:p w:rsidR="007208B2" w:rsidRPr="007208B2" w:rsidRDefault="007208B2" w:rsidP="00131F38">
            <w:pPr>
              <w:rPr>
                <w:b/>
              </w:rPr>
            </w:pPr>
            <w:r w:rsidRPr="007208B2">
              <w:rPr>
                <w:b/>
              </w:rPr>
              <w:t>GENII_05.GID</w:t>
            </w:r>
          </w:p>
        </w:tc>
        <w:tc>
          <w:tcPr>
            <w:tcW w:w="5400" w:type="dxa"/>
          </w:tcPr>
          <w:p w:rsidR="007208B2" w:rsidRDefault="007208B2" w:rsidP="00E447A1">
            <w:r>
              <w:t>Three sources (air, surface water, and groundwater) with user-defined nuclide concentrations cause exposures through animal products, crops, and aquatic food ingestion, as well as inhalation and external exposure.  Irrigation is included.</w:t>
            </w:r>
          </w:p>
        </w:tc>
        <w:tc>
          <w:tcPr>
            <w:tcW w:w="2358" w:type="dxa"/>
          </w:tcPr>
          <w:p w:rsidR="007208B2" w:rsidRDefault="007208B2">
            <w:r>
              <w:t>Complex</w:t>
            </w:r>
          </w:p>
        </w:tc>
      </w:tr>
      <w:tr w:rsidR="007208B2" w:rsidTr="007208B2">
        <w:tc>
          <w:tcPr>
            <w:tcW w:w="1818" w:type="dxa"/>
          </w:tcPr>
          <w:p w:rsidR="007208B2" w:rsidRPr="007208B2" w:rsidRDefault="007208B2" w:rsidP="00131F38">
            <w:pPr>
              <w:rPr>
                <w:b/>
              </w:rPr>
            </w:pPr>
            <w:r w:rsidRPr="007208B2">
              <w:rPr>
                <w:b/>
              </w:rPr>
              <w:t>GENII_06.GID</w:t>
            </w:r>
          </w:p>
        </w:tc>
        <w:tc>
          <w:tcPr>
            <w:tcW w:w="5400" w:type="dxa"/>
          </w:tcPr>
          <w:p w:rsidR="007208B2" w:rsidRDefault="007208B2">
            <w:r>
              <w:t>N/A</w:t>
            </w:r>
          </w:p>
        </w:tc>
        <w:tc>
          <w:tcPr>
            <w:tcW w:w="2358" w:type="dxa"/>
          </w:tcPr>
          <w:p w:rsidR="007208B2" w:rsidRDefault="007208B2"/>
        </w:tc>
      </w:tr>
      <w:tr w:rsidR="007208B2" w:rsidTr="007208B2">
        <w:tc>
          <w:tcPr>
            <w:tcW w:w="1818" w:type="dxa"/>
          </w:tcPr>
          <w:p w:rsidR="007208B2" w:rsidRPr="007208B2" w:rsidRDefault="007208B2" w:rsidP="00131F38">
            <w:pPr>
              <w:rPr>
                <w:b/>
              </w:rPr>
            </w:pPr>
            <w:r w:rsidRPr="007208B2">
              <w:rPr>
                <w:b/>
              </w:rPr>
              <w:t>GENII_07.GID</w:t>
            </w:r>
          </w:p>
        </w:tc>
        <w:tc>
          <w:tcPr>
            <w:tcW w:w="5400" w:type="dxa"/>
          </w:tcPr>
          <w:p w:rsidR="007208B2" w:rsidRDefault="007208B2" w:rsidP="00871BE4">
            <w:r>
              <w:t xml:space="preserve">Near-field scenario resulting from user-defined nuclide concentrations in soil.  Crop ingestion impacts modeled. </w:t>
            </w:r>
          </w:p>
        </w:tc>
        <w:tc>
          <w:tcPr>
            <w:tcW w:w="2358" w:type="dxa"/>
          </w:tcPr>
          <w:p w:rsidR="007208B2" w:rsidRDefault="007208B2">
            <w:r>
              <w:t>Simple</w:t>
            </w:r>
          </w:p>
        </w:tc>
      </w:tr>
      <w:tr w:rsidR="007208B2" w:rsidTr="007208B2">
        <w:tc>
          <w:tcPr>
            <w:tcW w:w="1818" w:type="dxa"/>
          </w:tcPr>
          <w:p w:rsidR="007208B2" w:rsidRPr="007208B2" w:rsidRDefault="007208B2" w:rsidP="00131F38">
            <w:pPr>
              <w:rPr>
                <w:b/>
              </w:rPr>
            </w:pPr>
            <w:r w:rsidRPr="007208B2">
              <w:rPr>
                <w:b/>
              </w:rPr>
              <w:t>GENII_08.GID</w:t>
            </w:r>
          </w:p>
        </w:tc>
        <w:tc>
          <w:tcPr>
            <w:tcW w:w="5400" w:type="dxa"/>
          </w:tcPr>
          <w:p w:rsidR="007208B2" w:rsidRDefault="007208B2" w:rsidP="00AA17BB">
            <w:r>
              <w:t>Chronic plume and surface water scenario with impacts to biota reported.</w:t>
            </w:r>
          </w:p>
        </w:tc>
        <w:tc>
          <w:tcPr>
            <w:tcW w:w="2358" w:type="dxa"/>
          </w:tcPr>
          <w:p w:rsidR="007208B2" w:rsidRDefault="007208B2">
            <w:r>
              <w:t>Moderate</w:t>
            </w:r>
          </w:p>
        </w:tc>
      </w:tr>
      <w:tr w:rsidR="007208B2" w:rsidTr="007208B2">
        <w:tc>
          <w:tcPr>
            <w:tcW w:w="1818" w:type="dxa"/>
          </w:tcPr>
          <w:p w:rsidR="007208B2" w:rsidRPr="007208B2" w:rsidRDefault="007208B2" w:rsidP="00131F38">
            <w:pPr>
              <w:rPr>
                <w:b/>
              </w:rPr>
            </w:pPr>
            <w:r w:rsidRPr="007208B2">
              <w:rPr>
                <w:b/>
              </w:rPr>
              <w:t>GENII_09.GID</w:t>
            </w:r>
          </w:p>
        </w:tc>
        <w:tc>
          <w:tcPr>
            <w:tcW w:w="5400" w:type="dxa"/>
          </w:tcPr>
          <w:p w:rsidR="007208B2" w:rsidRDefault="007208B2" w:rsidP="00681487">
            <w:r>
              <w:t>Two different surface water modules in same scenario indicate two different impact results in two different reporting files.</w:t>
            </w:r>
          </w:p>
        </w:tc>
        <w:tc>
          <w:tcPr>
            <w:tcW w:w="2358" w:type="dxa"/>
          </w:tcPr>
          <w:p w:rsidR="007208B2" w:rsidRDefault="007208B2">
            <w:r>
              <w:t>Simple</w:t>
            </w:r>
          </w:p>
        </w:tc>
      </w:tr>
      <w:tr w:rsidR="007208B2" w:rsidTr="007208B2">
        <w:tc>
          <w:tcPr>
            <w:tcW w:w="1818" w:type="dxa"/>
          </w:tcPr>
          <w:p w:rsidR="007208B2" w:rsidRPr="007208B2" w:rsidRDefault="007208B2" w:rsidP="00131F38">
            <w:pPr>
              <w:rPr>
                <w:b/>
              </w:rPr>
            </w:pPr>
            <w:r w:rsidRPr="007208B2">
              <w:rPr>
                <w:b/>
              </w:rPr>
              <w:t>GENII_10.GID</w:t>
            </w:r>
          </w:p>
        </w:tc>
        <w:tc>
          <w:tcPr>
            <w:tcW w:w="5400" w:type="dxa"/>
          </w:tcPr>
          <w:p w:rsidR="007208B2" w:rsidRDefault="007208B2">
            <w:r>
              <w:t>Acute river scenario.</w:t>
            </w:r>
          </w:p>
        </w:tc>
        <w:tc>
          <w:tcPr>
            <w:tcW w:w="2358" w:type="dxa"/>
          </w:tcPr>
          <w:p w:rsidR="007208B2" w:rsidRDefault="007208B2">
            <w:r>
              <w:t>Simple</w:t>
            </w:r>
          </w:p>
        </w:tc>
      </w:tr>
      <w:tr w:rsidR="007208B2" w:rsidTr="007208B2">
        <w:tc>
          <w:tcPr>
            <w:tcW w:w="1818" w:type="dxa"/>
          </w:tcPr>
          <w:p w:rsidR="007208B2" w:rsidRPr="007208B2" w:rsidRDefault="007208B2" w:rsidP="00D529B8">
            <w:pPr>
              <w:rPr>
                <w:b/>
              </w:rPr>
            </w:pPr>
            <w:r w:rsidRPr="007208B2">
              <w:rPr>
                <w:b/>
              </w:rPr>
              <w:t>GENII_11.GID</w:t>
            </w:r>
          </w:p>
        </w:tc>
        <w:tc>
          <w:tcPr>
            <w:tcW w:w="5400" w:type="dxa"/>
          </w:tcPr>
          <w:p w:rsidR="007208B2" w:rsidRDefault="007208B2">
            <w:r>
              <w:t>Chronic Plume scenario with a large-area grid and distributed population exposure, as well as an MEI exposure.</w:t>
            </w:r>
          </w:p>
        </w:tc>
        <w:tc>
          <w:tcPr>
            <w:tcW w:w="2358" w:type="dxa"/>
          </w:tcPr>
          <w:p w:rsidR="007208B2" w:rsidRDefault="007208B2">
            <w:r>
              <w:t>Complex</w:t>
            </w:r>
          </w:p>
        </w:tc>
      </w:tr>
      <w:tr w:rsidR="007208B2" w:rsidTr="007208B2">
        <w:tc>
          <w:tcPr>
            <w:tcW w:w="1818" w:type="dxa"/>
          </w:tcPr>
          <w:p w:rsidR="007208B2" w:rsidRPr="007208B2" w:rsidRDefault="007208B2" w:rsidP="00D529B8">
            <w:pPr>
              <w:rPr>
                <w:b/>
              </w:rPr>
            </w:pPr>
            <w:r w:rsidRPr="007208B2">
              <w:rPr>
                <w:b/>
              </w:rPr>
              <w:t>GENII_12.GID</w:t>
            </w:r>
          </w:p>
        </w:tc>
        <w:tc>
          <w:tcPr>
            <w:tcW w:w="5400" w:type="dxa"/>
          </w:tcPr>
          <w:p w:rsidR="007208B2" w:rsidRDefault="007208B2" w:rsidP="007208B2">
            <w:r>
              <w:t>Similar to example11, but Chronic Puff used.</w:t>
            </w:r>
          </w:p>
        </w:tc>
        <w:tc>
          <w:tcPr>
            <w:tcW w:w="2358" w:type="dxa"/>
          </w:tcPr>
          <w:p w:rsidR="007208B2" w:rsidRDefault="007208B2">
            <w:r>
              <w:t>Complex</w:t>
            </w:r>
          </w:p>
        </w:tc>
      </w:tr>
      <w:tr w:rsidR="007208B2" w:rsidTr="007208B2">
        <w:tc>
          <w:tcPr>
            <w:tcW w:w="1818" w:type="dxa"/>
          </w:tcPr>
          <w:p w:rsidR="007208B2" w:rsidRPr="007208B2" w:rsidRDefault="007208B2" w:rsidP="00D529B8">
            <w:pPr>
              <w:rPr>
                <w:b/>
              </w:rPr>
            </w:pPr>
            <w:r w:rsidRPr="007208B2">
              <w:rPr>
                <w:b/>
              </w:rPr>
              <w:t>GENII_13.GID</w:t>
            </w:r>
          </w:p>
        </w:tc>
        <w:tc>
          <w:tcPr>
            <w:tcW w:w="5400" w:type="dxa"/>
          </w:tcPr>
          <w:p w:rsidR="007208B2" w:rsidRDefault="007208B2">
            <w:r>
              <w:t>Acute air release scenario with a large-area grid and distributed population scenario, as well as an MEI exposure.</w:t>
            </w:r>
          </w:p>
        </w:tc>
        <w:tc>
          <w:tcPr>
            <w:tcW w:w="2358" w:type="dxa"/>
          </w:tcPr>
          <w:p w:rsidR="007208B2" w:rsidRDefault="007208B2">
            <w:r>
              <w:t>Complex</w:t>
            </w:r>
          </w:p>
        </w:tc>
      </w:tr>
      <w:tr w:rsidR="007208B2" w:rsidTr="007208B2">
        <w:tc>
          <w:tcPr>
            <w:tcW w:w="1818" w:type="dxa"/>
          </w:tcPr>
          <w:p w:rsidR="007208B2" w:rsidRPr="007208B2" w:rsidRDefault="007208B2" w:rsidP="00D529B8">
            <w:pPr>
              <w:rPr>
                <w:b/>
              </w:rPr>
            </w:pPr>
            <w:r w:rsidRPr="007208B2">
              <w:rPr>
                <w:b/>
              </w:rPr>
              <w:t>GENII_14.GID</w:t>
            </w:r>
          </w:p>
        </w:tc>
        <w:tc>
          <w:tcPr>
            <w:tcW w:w="5400" w:type="dxa"/>
          </w:tcPr>
          <w:p w:rsidR="007208B2" w:rsidRDefault="007208B2">
            <w:r>
              <w:t>Similar to example 13, but 95</w:t>
            </w:r>
            <w:r w:rsidRPr="00306B80">
              <w:rPr>
                <w:vertAlign w:val="superscript"/>
              </w:rPr>
              <w:t>th</w:t>
            </w:r>
            <w:r>
              <w:t xml:space="preserve"> percentile air dispersion results are implemented.</w:t>
            </w:r>
          </w:p>
        </w:tc>
        <w:tc>
          <w:tcPr>
            <w:tcW w:w="2358" w:type="dxa"/>
          </w:tcPr>
          <w:p w:rsidR="007208B2" w:rsidRDefault="007208B2">
            <w:r>
              <w:t>Complex</w:t>
            </w:r>
          </w:p>
        </w:tc>
      </w:tr>
      <w:tr w:rsidR="007208B2" w:rsidTr="007208B2">
        <w:tc>
          <w:tcPr>
            <w:tcW w:w="1818" w:type="dxa"/>
          </w:tcPr>
          <w:p w:rsidR="007208B2" w:rsidRPr="007208B2" w:rsidRDefault="007208B2" w:rsidP="00D529B8">
            <w:pPr>
              <w:rPr>
                <w:b/>
              </w:rPr>
            </w:pPr>
            <w:r w:rsidRPr="007208B2">
              <w:rPr>
                <w:b/>
              </w:rPr>
              <w:t>GENII_15.GID</w:t>
            </w:r>
          </w:p>
        </w:tc>
        <w:tc>
          <w:tcPr>
            <w:tcW w:w="5400" w:type="dxa"/>
          </w:tcPr>
          <w:p w:rsidR="007208B2" w:rsidRDefault="007208B2">
            <w:r>
              <w:t>Similar to example 13, but acute puff model is used.</w:t>
            </w:r>
          </w:p>
        </w:tc>
        <w:tc>
          <w:tcPr>
            <w:tcW w:w="2358" w:type="dxa"/>
          </w:tcPr>
          <w:p w:rsidR="007208B2" w:rsidRDefault="007208B2">
            <w:r>
              <w:t>Complex</w:t>
            </w:r>
          </w:p>
        </w:tc>
      </w:tr>
      <w:tr w:rsidR="007208B2" w:rsidTr="007208B2">
        <w:tc>
          <w:tcPr>
            <w:tcW w:w="1818" w:type="dxa"/>
          </w:tcPr>
          <w:p w:rsidR="007208B2" w:rsidRPr="007208B2" w:rsidRDefault="007208B2" w:rsidP="00D529B8">
            <w:pPr>
              <w:rPr>
                <w:b/>
              </w:rPr>
            </w:pPr>
            <w:r w:rsidRPr="007208B2">
              <w:rPr>
                <w:b/>
              </w:rPr>
              <w:t>GENII_16.GID</w:t>
            </w:r>
          </w:p>
        </w:tc>
        <w:tc>
          <w:tcPr>
            <w:tcW w:w="5400" w:type="dxa"/>
          </w:tcPr>
          <w:p w:rsidR="007208B2" w:rsidRDefault="007208B2">
            <w:r>
              <w:t>N/A</w:t>
            </w:r>
          </w:p>
        </w:tc>
        <w:tc>
          <w:tcPr>
            <w:tcW w:w="2358" w:type="dxa"/>
          </w:tcPr>
          <w:p w:rsidR="007208B2" w:rsidRDefault="007208B2"/>
        </w:tc>
      </w:tr>
      <w:tr w:rsidR="007208B2" w:rsidTr="007208B2">
        <w:tc>
          <w:tcPr>
            <w:tcW w:w="1818" w:type="dxa"/>
          </w:tcPr>
          <w:p w:rsidR="007208B2" w:rsidRPr="007208B2" w:rsidRDefault="007208B2" w:rsidP="002536EE">
            <w:pPr>
              <w:rPr>
                <w:b/>
              </w:rPr>
            </w:pPr>
            <w:r w:rsidRPr="007208B2">
              <w:rPr>
                <w:b/>
              </w:rPr>
              <w:t>GENII_17.GID</w:t>
            </w:r>
          </w:p>
        </w:tc>
        <w:tc>
          <w:tcPr>
            <w:tcW w:w="5400" w:type="dxa"/>
          </w:tcPr>
          <w:p w:rsidR="007208B2" w:rsidRDefault="007208B2">
            <w:r>
              <w:t>Inhalation of a user-defined activity and SUM3 uncertainty processor.</w:t>
            </w:r>
          </w:p>
        </w:tc>
        <w:tc>
          <w:tcPr>
            <w:tcW w:w="2358" w:type="dxa"/>
          </w:tcPr>
          <w:p w:rsidR="007208B2" w:rsidRDefault="007208B2">
            <w:r>
              <w:t>Simple uncertainty</w:t>
            </w:r>
          </w:p>
        </w:tc>
      </w:tr>
      <w:tr w:rsidR="007208B2" w:rsidTr="007208B2">
        <w:tc>
          <w:tcPr>
            <w:tcW w:w="1818" w:type="dxa"/>
          </w:tcPr>
          <w:p w:rsidR="007208B2" w:rsidRPr="007208B2" w:rsidRDefault="007208B2" w:rsidP="002536EE">
            <w:pPr>
              <w:rPr>
                <w:b/>
              </w:rPr>
            </w:pPr>
            <w:r w:rsidRPr="007208B2">
              <w:rPr>
                <w:b/>
              </w:rPr>
              <w:t>GENII_18.GID</w:t>
            </w:r>
          </w:p>
        </w:tc>
        <w:tc>
          <w:tcPr>
            <w:tcW w:w="5400" w:type="dxa"/>
          </w:tcPr>
          <w:p w:rsidR="007208B2" w:rsidRDefault="007208B2">
            <w:r>
              <w:t>Similar to example 3 with SUM3 uncertainty processor.</w:t>
            </w:r>
          </w:p>
        </w:tc>
        <w:tc>
          <w:tcPr>
            <w:tcW w:w="2358" w:type="dxa"/>
          </w:tcPr>
          <w:p w:rsidR="007208B2" w:rsidRDefault="007208B2">
            <w:r>
              <w:t>Simple uncertainty</w:t>
            </w:r>
          </w:p>
        </w:tc>
      </w:tr>
      <w:tr w:rsidR="007208B2" w:rsidTr="007208B2">
        <w:tc>
          <w:tcPr>
            <w:tcW w:w="1818" w:type="dxa"/>
          </w:tcPr>
          <w:p w:rsidR="007208B2" w:rsidRPr="007208B2" w:rsidRDefault="007208B2" w:rsidP="002536EE">
            <w:pPr>
              <w:rPr>
                <w:b/>
              </w:rPr>
            </w:pPr>
            <w:r w:rsidRPr="007208B2">
              <w:rPr>
                <w:b/>
              </w:rPr>
              <w:t>GENII_19.GID</w:t>
            </w:r>
          </w:p>
        </w:tc>
        <w:tc>
          <w:tcPr>
            <w:tcW w:w="5400" w:type="dxa"/>
          </w:tcPr>
          <w:p w:rsidR="007208B2" w:rsidRDefault="007208B2">
            <w:r>
              <w:t>Similar to a portion of example 13 with SUM3 uncertainty processor.</w:t>
            </w:r>
          </w:p>
        </w:tc>
        <w:tc>
          <w:tcPr>
            <w:tcW w:w="2358" w:type="dxa"/>
          </w:tcPr>
          <w:p w:rsidR="007208B2" w:rsidRDefault="007208B2">
            <w:r>
              <w:t>Moderate uncertainty</w:t>
            </w:r>
          </w:p>
        </w:tc>
      </w:tr>
      <w:tr w:rsidR="007208B2" w:rsidTr="007208B2">
        <w:tc>
          <w:tcPr>
            <w:tcW w:w="1818" w:type="dxa"/>
          </w:tcPr>
          <w:p w:rsidR="007208B2" w:rsidRPr="007208B2" w:rsidRDefault="007208B2" w:rsidP="008F15A6">
            <w:pPr>
              <w:rPr>
                <w:b/>
              </w:rPr>
            </w:pPr>
            <w:r w:rsidRPr="007208B2">
              <w:rPr>
                <w:b/>
              </w:rPr>
              <w:t>GENII_20.GID</w:t>
            </w:r>
          </w:p>
        </w:tc>
        <w:tc>
          <w:tcPr>
            <w:tcW w:w="5400" w:type="dxa"/>
          </w:tcPr>
          <w:p w:rsidR="007208B2" w:rsidRDefault="007208B2">
            <w:r>
              <w:t>Similar to example 11 but chronic Normalized Atmospheric Dispersion module is implemented.</w:t>
            </w:r>
          </w:p>
        </w:tc>
        <w:tc>
          <w:tcPr>
            <w:tcW w:w="2358" w:type="dxa"/>
          </w:tcPr>
          <w:p w:rsidR="007208B2" w:rsidRDefault="007208B2">
            <w:r>
              <w:t>Moderate</w:t>
            </w:r>
          </w:p>
        </w:tc>
      </w:tr>
      <w:tr w:rsidR="007208B2" w:rsidTr="007208B2">
        <w:tc>
          <w:tcPr>
            <w:tcW w:w="1818" w:type="dxa"/>
          </w:tcPr>
          <w:p w:rsidR="007208B2" w:rsidRPr="007208B2" w:rsidRDefault="007208B2" w:rsidP="008F15A6">
            <w:pPr>
              <w:rPr>
                <w:b/>
              </w:rPr>
            </w:pPr>
            <w:r w:rsidRPr="007208B2">
              <w:rPr>
                <w:b/>
              </w:rPr>
              <w:t>GENII_21.GID</w:t>
            </w:r>
          </w:p>
        </w:tc>
        <w:tc>
          <w:tcPr>
            <w:tcW w:w="5400" w:type="dxa"/>
          </w:tcPr>
          <w:p w:rsidR="007208B2" w:rsidRDefault="007208B2" w:rsidP="007208B2">
            <w:r>
              <w:t>Similar to example 20 but acute Normalized Atmospheric Dispersion module is implemented.</w:t>
            </w:r>
          </w:p>
        </w:tc>
        <w:tc>
          <w:tcPr>
            <w:tcW w:w="2358" w:type="dxa"/>
          </w:tcPr>
          <w:p w:rsidR="007208B2" w:rsidRDefault="007208B2">
            <w:r>
              <w:t>Moderate</w:t>
            </w:r>
          </w:p>
        </w:tc>
      </w:tr>
    </w:tbl>
    <w:p w:rsidR="00CB4F8E" w:rsidRDefault="00CB4F8E" w:rsidP="007208B2"/>
    <w:sectPr w:rsidR="00CB4F8E" w:rsidSect="00CB4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554B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1F38"/>
    <w:rsid w:val="00003CD0"/>
    <w:rsid w:val="00080689"/>
    <w:rsid w:val="0008331F"/>
    <w:rsid w:val="000C1429"/>
    <w:rsid w:val="000E656C"/>
    <w:rsid w:val="00131F38"/>
    <w:rsid w:val="001417AC"/>
    <w:rsid w:val="00204E50"/>
    <w:rsid w:val="00222677"/>
    <w:rsid w:val="00232309"/>
    <w:rsid w:val="002536EE"/>
    <w:rsid w:val="00267AAF"/>
    <w:rsid w:val="002B1D99"/>
    <w:rsid w:val="00306B80"/>
    <w:rsid w:val="003157C7"/>
    <w:rsid w:val="003A5F04"/>
    <w:rsid w:val="003C1BCF"/>
    <w:rsid w:val="0054039D"/>
    <w:rsid w:val="00553B25"/>
    <w:rsid w:val="00596D28"/>
    <w:rsid w:val="00681487"/>
    <w:rsid w:val="006A2EA8"/>
    <w:rsid w:val="006C54DA"/>
    <w:rsid w:val="007208B2"/>
    <w:rsid w:val="0073008A"/>
    <w:rsid w:val="008077F4"/>
    <w:rsid w:val="00861442"/>
    <w:rsid w:val="00871BE4"/>
    <w:rsid w:val="008B17B0"/>
    <w:rsid w:val="008B3EDF"/>
    <w:rsid w:val="008F15A6"/>
    <w:rsid w:val="00901B12"/>
    <w:rsid w:val="00930663"/>
    <w:rsid w:val="00993145"/>
    <w:rsid w:val="00A478DE"/>
    <w:rsid w:val="00A61A8B"/>
    <w:rsid w:val="00A64525"/>
    <w:rsid w:val="00A66472"/>
    <w:rsid w:val="00AA17BB"/>
    <w:rsid w:val="00B132A6"/>
    <w:rsid w:val="00B81AEE"/>
    <w:rsid w:val="00CB4F8E"/>
    <w:rsid w:val="00CF71DD"/>
    <w:rsid w:val="00D10EBA"/>
    <w:rsid w:val="00D333D4"/>
    <w:rsid w:val="00D529B8"/>
    <w:rsid w:val="00E447A1"/>
    <w:rsid w:val="00E624A4"/>
    <w:rsid w:val="00F35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663"/>
    <w:pPr>
      <w:tabs>
        <w:tab w:val="left" w:pos="360"/>
        <w:tab w:val="left" w:pos="720"/>
        <w:tab w:val="left" w:pos="1080"/>
      </w:tabs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0663"/>
    <w:pPr>
      <w:keepNext/>
      <w:numPr>
        <w:numId w:val="20"/>
      </w:numPr>
      <w:spacing w:before="240" w:after="60"/>
      <w:outlineLvl w:val="0"/>
    </w:pPr>
    <w:rPr>
      <w:rFonts w:ascii="Cambria" w:eastAsiaTheme="majorEastAsia" w:hAnsi="Cambr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663"/>
    <w:pPr>
      <w:keepNext/>
      <w:numPr>
        <w:ilvl w:val="1"/>
        <w:numId w:val="20"/>
      </w:numPr>
      <w:spacing w:before="240" w:after="60"/>
      <w:outlineLvl w:val="1"/>
    </w:pPr>
    <w:rPr>
      <w:rFonts w:ascii="Cambria" w:eastAsiaTheme="majorEastAsia" w:hAnsi="Cambria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663"/>
    <w:pPr>
      <w:keepNext/>
      <w:numPr>
        <w:ilvl w:val="2"/>
        <w:numId w:val="20"/>
      </w:numPr>
      <w:spacing w:before="240" w:after="60"/>
      <w:outlineLvl w:val="2"/>
    </w:pPr>
    <w:rPr>
      <w:rFonts w:ascii="Cambria" w:eastAsiaTheme="majorEastAs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663"/>
    <w:pPr>
      <w:keepNext/>
      <w:numPr>
        <w:ilvl w:val="3"/>
        <w:numId w:val="20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663"/>
    <w:pPr>
      <w:numPr>
        <w:ilvl w:val="4"/>
        <w:numId w:val="2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663"/>
    <w:pPr>
      <w:numPr>
        <w:ilvl w:val="5"/>
        <w:numId w:val="20"/>
      </w:numPr>
      <w:spacing w:before="240" w:after="60"/>
      <w:outlineLvl w:val="5"/>
    </w:pPr>
    <w:rPr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663"/>
    <w:pPr>
      <w:numPr>
        <w:ilvl w:val="6"/>
        <w:numId w:val="20"/>
      </w:numPr>
      <w:spacing w:before="240" w:after="6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663"/>
    <w:pPr>
      <w:numPr>
        <w:ilvl w:val="7"/>
        <w:numId w:val="20"/>
      </w:numPr>
      <w:spacing w:before="240" w:after="60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663"/>
    <w:pPr>
      <w:numPr>
        <w:ilvl w:val="8"/>
        <w:numId w:val="20"/>
      </w:numPr>
      <w:spacing w:before="240" w:after="60"/>
      <w:outlineLvl w:val="8"/>
    </w:pPr>
    <w:rPr>
      <w:rFonts w:ascii="Cambria" w:eastAsiaTheme="majorEastAsia" w:hAnsi="Cambr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663"/>
    <w:rPr>
      <w:rFonts w:ascii="Cambria" w:eastAsiaTheme="majorEastAsia" w:hAnsi="Cambria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0663"/>
    <w:rPr>
      <w:rFonts w:ascii="Cambria" w:eastAsiaTheme="majorEastAsia" w:hAnsi="Cambria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663"/>
    <w:rPr>
      <w:rFonts w:ascii="Cambria" w:eastAsiaTheme="majorEastAsia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663"/>
    <w:rPr>
      <w:rFonts w:ascii="Times New Roman" w:hAnsi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663"/>
    <w:rPr>
      <w:rFonts w:ascii="Times New Roman" w:hAnsi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663"/>
    <w:rPr>
      <w:rFonts w:ascii="Times New Roman" w:hAnsi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663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663"/>
    <w:rPr>
      <w:rFonts w:ascii="Times New Roman" w:hAnsi="Times New Roman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663"/>
    <w:rPr>
      <w:rFonts w:ascii="Cambria" w:eastAsiaTheme="majorEastAsia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930663"/>
    <w:pPr>
      <w:spacing w:before="240" w:after="60"/>
      <w:jc w:val="center"/>
      <w:outlineLvl w:val="0"/>
    </w:pPr>
    <w:rPr>
      <w:rFonts w:ascii="Cambria" w:eastAsiaTheme="majorEastAs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30663"/>
    <w:rPr>
      <w:rFonts w:ascii="Cambria" w:eastAsiaTheme="majorEastAsia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663"/>
    <w:pPr>
      <w:spacing w:after="60"/>
      <w:jc w:val="center"/>
      <w:outlineLvl w:val="1"/>
    </w:pPr>
    <w:rPr>
      <w:rFonts w:ascii="Cambria" w:eastAsiaTheme="majorEastAs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0663"/>
    <w:rPr>
      <w:rFonts w:ascii="Cambria" w:eastAsiaTheme="majorEastAsia" w:hAnsi="Cambria"/>
      <w:sz w:val="24"/>
      <w:szCs w:val="24"/>
    </w:rPr>
  </w:style>
  <w:style w:type="character" w:styleId="Strong">
    <w:name w:val="Strong"/>
    <w:basedOn w:val="DefaultParagraphFont"/>
    <w:uiPriority w:val="22"/>
    <w:qFormat/>
    <w:rsid w:val="00930663"/>
    <w:rPr>
      <w:b/>
      <w:bCs/>
    </w:rPr>
  </w:style>
  <w:style w:type="character" w:styleId="Emphasis">
    <w:name w:val="Emphasis"/>
    <w:basedOn w:val="DefaultParagraphFont"/>
    <w:uiPriority w:val="20"/>
    <w:qFormat/>
    <w:rsid w:val="00930663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930663"/>
    <w:rPr>
      <w:szCs w:val="32"/>
    </w:rPr>
  </w:style>
  <w:style w:type="paragraph" w:styleId="ListParagraph">
    <w:name w:val="List Paragraph"/>
    <w:basedOn w:val="Normal"/>
    <w:uiPriority w:val="34"/>
    <w:qFormat/>
    <w:rsid w:val="0093066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30663"/>
    <w:rPr>
      <w:rFonts w:ascii="Calibri" w:hAnsi="Calibri"/>
      <w:i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3066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663"/>
    <w:pPr>
      <w:ind w:left="720" w:right="720"/>
    </w:pPr>
    <w:rPr>
      <w:rFonts w:ascii="Calibri" w:hAnsi="Calibri"/>
      <w:b/>
      <w:i/>
      <w:sz w:val="24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663"/>
    <w:rPr>
      <w:b/>
      <w:i/>
      <w:sz w:val="24"/>
    </w:rPr>
  </w:style>
  <w:style w:type="character" w:styleId="SubtleEmphasis">
    <w:name w:val="Subtle Emphasis"/>
    <w:uiPriority w:val="19"/>
    <w:qFormat/>
    <w:rsid w:val="00930663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93066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3066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3066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30663"/>
    <w:rPr>
      <w:rFonts w:ascii="Cambria" w:eastAsiaTheme="majorEastAsia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0663"/>
    <w:pPr>
      <w:numPr>
        <w:numId w:val="0"/>
      </w:numPr>
      <w:outlineLvl w:val="9"/>
    </w:pPr>
    <w:rPr>
      <w:rFonts w:cs="Times New Roman"/>
    </w:rPr>
  </w:style>
  <w:style w:type="paragraph" w:styleId="BodyText">
    <w:name w:val="Body Text"/>
    <w:basedOn w:val="Normal"/>
    <w:link w:val="BodyTextChar"/>
    <w:qFormat/>
    <w:rsid w:val="00930663"/>
    <w:pPr>
      <w:spacing w:before="240" w:line="264" w:lineRule="auto"/>
      <w:ind w:firstLine="360"/>
    </w:pPr>
    <w:rPr>
      <w:rFonts w:eastAsia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30663"/>
    <w:rPr>
      <w:rFonts w:ascii="Times New Roman" w:eastAsia="Times New Roman" w:hAnsi="Times New Roman"/>
      <w:lang w:bidi="ar-SA"/>
    </w:rPr>
  </w:style>
  <w:style w:type="paragraph" w:customStyle="1" w:styleId="BodyText-NoTab">
    <w:name w:val="Body Text - No Tab"/>
    <w:basedOn w:val="BodyText"/>
    <w:qFormat/>
    <w:rsid w:val="00930663"/>
    <w:pPr>
      <w:ind w:firstLine="0"/>
    </w:pPr>
    <w:rPr>
      <w:sz w:val="22"/>
      <w:szCs w:val="22"/>
    </w:rPr>
  </w:style>
  <w:style w:type="table" w:styleId="TableGrid">
    <w:name w:val="Table Grid"/>
    <w:basedOn w:val="TableNormal"/>
    <w:uiPriority w:val="59"/>
    <w:rsid w:val="00131F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Pacific Northwest Versions panel</Company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d3e963</dc:creator>
  <cp:keywords/>
  <dc:description/>
  <cp:lastModifiedBy>d3e963</cp:lastModifiedBy>
  <cp:revision>8</cp:revision>
  <dcterms:created xsi:type="dcterms:W3CDTF">2011-09-07T21:07:00Z</dcterms:created>
  <dcterms:modified xsi:type="dcterms:W3CDTF">2011-09-14T16:33:00Z</dcterms:modified>
</cp:coreProperties>
</file>