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30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06"/>
      </w:tblGrid>
      <w:tr w:rsidR="00C4623A" w14:paraId="71609490" w14:textId="77777777">
        <w:tblPrEx>
          <w:tblCellMar>
            <w:top w:w="0" w:type="dxa"/>
            <w:bottom w:w="0" w:type="dxa"/>
          </w:tblCellMar>
        </w:tblPrEx>
        <w:tc>
          <w:tcPr>
            <w:tcW w:w="10306" w:type="dxa"/>
            <w:tcBorders>
              <w:top w:val="none" w:sz="0" w:space="0" w:color="FFFFFF"/>
              <w:left w:val="none" w:sz="0" w:space="0" w:color="FFFFFF"/>
              <w:bottom w:val="none" w:sz="0" w:space="0" w:color="FFFFFF"/>
              <w:right w:val="none" w:sz="0" w:space="0" w:color="FFFFFF"/>
            </w:tcBorders>
            <w:shd w:val="clear" w:color="auto" w:fill="0D2B45"/>
            <w:tcMar>
              <w:top w:w="340" w:type="dxa"/>
              <w:left w:w="480" w:type="dxa"/>
              <w:bottom w:w="300" w:type="dxa"/>
              <w:right w:w="480" w:type="dxa"/>
            </w:tcMar>
          </w:tcPr>
          <w:p w14:paraId="79ABF2CB" w14:textId="77777777" w:rsidR="00C4623A" w:rsidRDefault="00000000">
            <w:pPr>
              <w:spacing w:after="80"/>
            </w:pPr>
            <w:r>
              <w:rPr>
                <w:b/>
                <w:bCs/>
                <w:color w:val="FFFFFF"/>
                <w:sz w:val="64"/>
                <w:szCs w:val="64"/>
              </w:rPr>
              <w:t>PHILIPPE NOUGOUE</w:t>
            </w:r>
          </w:p>
          <w:p w14:paraId="548E5965" w14:textId="77777777" w:rsidR="00C4623A" w:rsidRDefault="00000000">
            <w:pPr>
              <w:spacing w:after="80"/>
            </w:pPr>
            <w:r>
              <w:rPr>
                <w:b/>
                <w:bCs/>
                <w:color w:val="F5C842"/>
                <w:sz w:val="26"/>
                <w:szCs w:val="26"/>
              </w:rPr>
              <w:t xml:space="preserve">Senior Planning &amp; Project Controls Manager  |  Expert Analyse de Retards  |  Expert Primavera P6  |  PMP®</w:t>
            </w:r>
          </w:p>
          <w:p w14:paraId="74085713" w14:textId="77777777" w:rsidR="00C4623A" w:rsidRDefault="00000000">
            <w:pPr>
              <w:spacing w:after="120"/>
            </w:pPr>
            <w:r>
              <w:rPr>
                <w:color w:val="A9C4D9"/>
                <w:sz w:val="19"/>
                <w:szCs w:val="19"/>
              </w:rPr>
              <w:t xml:space="preserve">20+ ans Mégaprojets EPC  |  Portefeuille CAPEX 8 Md USD+  |  Gouvernance Project Controls  |  EVM  |  TIA / EOT  |  Greenfield &amp; Brownfield</w:t>
            </w:r>
          </w:p>
          <w:p w14:paraId="7F015681" w14:textId="77777777" w:rsidR="00C4623A" w:rsidRDefault="00000000">
            <w:pPr>
              <w:spacing w:before="80"/>
            </w:pPr>
            <w:r>
              <w:rPr>
                <w:color w:val="FFFFFF"/>
                <w:sz w:val="19"/>
                <w:szCs w:val="19"/>
              </w:rPr>
              <w:t>📞 +237 677 481 161</w:t>
            </w:r>
            <w:r>
              <w:rPr>
                <w:color w:val="607D8B"/>
                <w:sz w:val="19"/>
                <w:szCs w:val="19"/>
              </w:rPr>
              <w:t xml:space="preserve">   |   </w:t>
            </w:r>
            <w:r>
              <w:rPr>
                <w:color w:val="FFFFFF"/>
                <w:sz w:val="19"/>
                <w:szCs w:val="19"/>
              </w:rPr>
              <w:t>✉ philip.nougoue@gmail.com</w:t>
            </w:r>
            <w:r>
              <w:rPr>
                <w:color w:val="607D8B"/>
                <w:sz w:val="19"/>
                <w:szCs w:val="19"/>
              </w:rPr>
              <w:t xml:space="preserve">   |   </w:t>
            </w:r>
            <w:r>
              <w:rPr>
                <w:color w:val="FFFFFF"/>
                <w:sz w:val="19"/>
                <w:szCs w:val="19"/>
              </w:rPr>
              <w:t xml:space="preserve">🔗 linkedin.com/in/philippe-nougoue-pmp-a1747b55  |  🖥 CV interactif : cv-pno-pro.vercel.app</w:t>
            </w:r>
            <w:r>
              <w:rPr>
                <w:color w:val="607D8B"/>
                <w:sz w:val="19"/>
                <w:szCs w:val="19"/>
              </w:rPr>
              <w:t xml:space="preserve">   |   </w:t>
            </w:r>
            <w:r>
              <w:rPr>
                <w:color w:val="FFFFFF"/>
                <w:sz w:val="19"/>
                <w:szCs w:val="19"/>
              </w:rPr>
              <w:t xml:space="preserve">📍 Douala, Cameroun  —  Disponible pour missions internationales</w:t>
            </w:r>
            <w:r>
              <w:rPr>
                <w:color w:val="607D8B"/>
                <w:sz w:val="19"/>
                <w:szCs w:val="19"/>
              </w:rPr>
              <w:t xml:space="preserve">   |   </w:t>
            </w:r>
            <w:r>
              <w:rPr>
                <w:color w:val="FFFFFF"/>
                <w:sz w:val="19"/>
                <w:szCs w:val="19"/>
              </w:rPr>
              <w:t xml:space="preserve">🌐 Français natif  |  Anglais professionnel courant  |  Disponible immédiatement</w:t>
            </w:r>
          </w:p>
        </w:tc>
      </w:tr>
    </w:tbl>
    <w:p w14:paraId="21304257" w14:textId="77777777" w:rsidR="00C4623A" w:rsidRDefault="00C4623A">
      <w:pPr>
        <w:spacing w:before="180"/>
      </w:pPr>
    </w:p>
    <w:p w14:paraId="536DB7FB" w14:textId="1CCD81A6" w:rsidR="00C4623A" w:rsidRDefault="00000000">
      <w:pPr>
        <w:pBdr>
          <w:top w:val="single" w:sz="4" w:space="4" w:color="C8860A"/>
          <w:left w:val="thick" w:sz="16" w:space="8" w:color="C8860A"/>
          <w:bottom w:val="single" w:sz="4" w:space="4" w:color="C8860A"/>
          <w:right w:val="single" w:sz="4" w:space="4" w:color="C8860A"/>
        </w:pBdr>
        <w:shd w:val="clear" w:color="auto" w:fill="EBF5FB"/>
        <w:ind w:left="160" w:right="160"/>
      </w:pPr>
      <w:r>
        <w:rPr>
          <w:b/>
          <w:bCs/>
          <w:color w:val="0D2B45"/>
          <w:sz w:val="19"/>
          <w:szCs w:val="19"/>
        </w:rPr>
        <w:t xml:space="preserve">PROFIL EXÉCUTIF : Senior Planning &amp; Project Controls Manager, 20+ ans de pilotage de la gouvernance des délais, coûts, risques et reporting sur mégaprojets EPC/EPCC — portefeuille CAPEX supérieur à 8 Md USD (TotalEnergies, GE Vernova, Perenco, MODEC, Foster Wheeler). Certifié PMP® | Oracle Primavera P6 Certifié (Expert) | Pilotage du Planning Directeur Intégré (IMS — ~12 000 activités, 3,4 M heures-homme) | EVM | Analyse de retards (TIA) &amp; Prolongation de délai (EOT) sous FIDIC / SCL Protocol | Tableaux de bord exécutifs Power BI | Greenfield &amp; Brownfield, Onshore &amp; Offshore | Français natif, anglais professionnel | Disponible pour missions internationales.</w:t>
      </w:r>
    </w:p>
    <w:p w14:paraId="3337F0C0" w14:textId="77777777" w:rsidR="00C4623A" w:rsidRDefault="00C4623A">
      <w:pPr>
        <w:spacing w:before="120"/>
      </w:pPr>
    </w:p>
    <w:p w14:paraId="041BC40E" w14:textId="77777777" w:rsidR="00C4623A" w:rsidRDefault="00000000">
      <w:pPr>
        <w:pBdr>
          <w:bottom w:val="thick" w:sz="8" w:space="4" w:color="C8860A"/>
        </w:pBdr>
        <w:spacing w:before="320" w:after="120"/>
      </w:pPr>
      <w:r>
        <w:rPr>
          <w:b/>
          <w:bCs/>
          <w:color w:val="0D2B45"/>
          <w:sz w:val="24"/>
          <w:szCs w:val="24"/>
        </w:rPr>
        <w:t>PROFIL PROFESSIONNEL</w:t>
      </w:r>
    </w:p>
    <w:p w14:paraId="383CF972" w14:textId="77777777" w:rsidR="00C4623A" w:rsidRDefault="00C4623A">
      <w:pPr>
        <w:spacing w:before="40"/>
      </w:pPr>
    </w:p>
    <w:p w14:paraId="163A5246" w14:textId="77777777" w:rsidR="00C4623A" w:rsidRDefault="00000000">
      <w:pPr>
        <w:pBdr>
          <w:left w:val="thick" w:sz="16" w:space="8" w:color="C8860A"/>
        </w:pBdr>
        <w:ind w:left="220"/>
      </w:pPr>
      <w:r>
        <w:t xml:space="preserve">Senior Planning &amp; Project Controls Manager disposant de 20+ ans d'expérience dans le pilotage de la gouvernance planning, coûts, risques et reporting sur des mégaprojets EPC / EPCC / EPCM dans les secteurs Énergie, Oil &amp; Gas, Hydroélectrique, Raffinerie, Pipeline et Offshore — portefeuille CAPEX supérieur à 8 milliards USD. Certifié PMP® (n° 4125591) et Oracle Primavera P6 (Expert). Expérience confirmée de pilotage du Planning Directeur Intégré (IMS) sur des programmes allant jusqu'à ~12 000 activités, d'encadrement d'équipes Project Controls pluridisciplinaires, de mise en œuvre de la gouvernance Earned Value Management (EVM), de pilotage des prévisions de délais et de coûts, et de production d'analyses exécutives via tableaux de bord Power BI. Expertise reconnue en analyse du chemin critique (CPM), gouvernance qualité planning DCMA-14, analyse de risque probabiliste (QSRA), Time Impact Analysis (TIA), dossiers de prolongation de délai (EOT) et substantiation des réclamations sous cadre FIDIC et SCL Delay &amp; Disruption Protocol. Conseiller de confiance des Directeurs de Projet sur mégaprojets greenfield et brownfield, onshore et offshore. Français langue maternelle, anglais professionnel courant (environnements internationaux depuis 2006). Disponible immédiatement.</w:t>
      </w:r>
    </w:p>
    <w:p w14:paraId="56730253" w14:textId="77777777" w:rsidR="00C4623A" w:rsidRDefault="00C4623A">
      <w:pPr>
        <w:spacing w:before="40"/>
      </w:pPr>
    </w:p>
    <w:p w14:paraId="152CFB27" w14:textId="77777777" w:rsidR="00C4623A" w:rsidRDefault="00000000">
      <w:pPr>
        <w:pBdr>
          <w:bottom w:val="thick" w:sz="8" w:space="4" w:color="C8860A"/>
        </w:pBdr>
        <w:spacing w:before="320" w:after="120"/>
      </w:pPr>
      <w:r>
        <w:rPr>
          <w:b/>
          <w:bCs/>
          <w:color w:val="0D2B45"/>
          <w:sz w:val="24"/>
          <w:szCs w:val="24"/>
        </w:rPr>
        <w:t>POSTES VISÉS</w:t>
      </w:r>
    </w:p>
    <w:p w14:paraId="79ABC834" w14:textId="77777777" w:rsidR="00C4623A" w:rsidRDefault="00000000">
      <w:pPr>
        <w:spacing w:before="50" w:after="50"/>
      </w:pPr>
      <w:r>
        <w:rPr>
          <w:color w:val="5D6D7E"/>
          <w:sz w:val="19"/>
          <w:szCs w:val="19"/>
        </w:rPr>
        <w:t xml:space="preserve">Senior Planning &amp; Project Controls Manager  ·  Project Controls Manager  ·  Manager PMO  ·  Planning &amp; Scheduling Lead  ·  Expert Analyse de Retards / Réclamations — Mégaprojets EPC</w:t>
      </w:r>
    </w:p>
    <w:p w14:paraId="4E2C6634" w14:textId="77777777" w:rsidR="00C4623A" w:rsidRDefault="00000000">
      <w:pPr>
        <w:pBdr>
          <w:bottom w:val="thick" w:sz="8" w:space="4" w:color="C8860A"/>
        </w:pBdr>
        <w:spacing w:before="320" w:after="120"/>
      </w:pPr>
      <w:r>
        <w:rPr>
          <w:b/>
          <w:bCs/>
          <w:color w:val="0D2B45"/>
          <w:sz w:val="24"/>
          <w:szCs w:val="24"/>
        </w:rPr>
        <w:t>BOÎTE À OUTILS TECHNIQUE &amp; EXPERTISES CLÉS</w:t>
      </w:r>
    </w:p>
    <w:p w14:paraId="1859C7B6" w14:textId="77777777" w:rsidR="00C4623A" w:rsidRDefault="00C4623A">
      <w:pPr>
        <w:spacing w:before="40"/>
      </w:pPr>
    </w:p>
    <w:tbl>
      <w:tblPr>
        <w:tblW w:w="1030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706"/>
      </w:tblGrid>
      <w:tr w:rsidR="00C4623A" w14:paraId="13288A08"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shd w:val="clear" w:color="auto" w:fill="0D2B45"/>
            <w:tcMar>
              <w:top w:w="90" w:type="dxa"/>
              <w:left w:w="180" w:type="dxa"/>
              <w:bottom w:w="90" w:type="dxa"/>
              <w:right w:w="120" w:type="dxa"/>
            </w:tcMar>
          </w:tcPr>
          <w:p w14:paraId="474F5D65" w14:textId="77777777" w:rsidR="00C4623A" w:rsidRDefault="00000000">
            <w:r>
              <w:rPr>
                <w:b/>
                <w:bCs/>
                <w:color w:val="FFFFFF"/>
                <w:sz w:val="19"/>
                <w:szCs w:val="19"/>
              </w:rPr>
              <w:t>Planification &amp; Ordonnancement</w:t>
            </w:r>
          </w:p>
        </w:tc>
        <w:tc>
          <w:tcPr>
            <w:tcW w:w="7706" w:type="dxa"/>
            <w:tcBorders>
              <w:top w:val="none" w:sz="0" w:space="0" w:color="FFFFFF"/>
              <w:left w:val="none" w:sz="0" w:space="0" w:color="FFFFFF"/>
              <w:bottom w:val="none" w:sz="0" w:space="0" w:color="FFFFFF"/>
              <w:right w:val="none" w:sz="0" w:space="0" w:color="FFFFFF"/>
            </w:tcBorders>
            <w:shd w:val="clear" w:color="auto" w:fill="EBF5FB"/>
            <w:tcMar>
              <w:top w:w="90" w:type="dxa"/>
              <w:left w:w="180" w:type="dxa"/>
              <w:bottom w:w="90" w:type="dxa"/>
              <w:right w:w="120" w:type="dxa"/>
            </w:tcMar>
          </w:tcPr>
          <w:p w14:paraId="4ABEC215" w14:textId="77777777" w:rsidR="00C4623A" w:rsidRDefault="00000000">
            <w:r>
              <w:rPr>
                <w:sz w:val="19"/>
                <w:szCs w:val="19"/>
              </w:rPr>
              <w:t xml:space="preserve">Oracle Primavera P6 / P6 EPPM (Certifié — Expert, 15+ ans)  |  Microsoft Project (Avancé)  |  Acumen Fuse (diagnostic planning)  |  Primavera Risk Analysis (Monte Carlo / QSRA)  |  Asta Powerproject  |  Élaboration du Planning Directeur Intégré (IMS)</w:t>
            </w:r>
          </w:p>
        </w:tc>
      </w:tr>
      <w:tr w:rsidR="00C4623A" w14:paraId="6BA697C1"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shd w:val="clear" w:color="auto" w:fill="0D2B45"/>
            <w:tcMar>
              <w:top w:w="90" w:type="dxa"/>
              <w:left w:w="180" w:type="dxa"/>
              <w:bottom w:w="90" w:type="dxa"/>
              <w:right w:w="120" w:type="dxa"/>
            </w:tcMar>
          </w:tcPr>
          <w:p w14:paraId="154405B0" w14:textId="77777777" w:rsidR="00C4623A" w:rsidRDefault="00000000">
            <w:r>
              <w:rPr>
                <w:b/>
                <w:bCs/>
                <w:color w:val="FFFFFF"/>
                <w:sz w:val="19"/>
                <w:szCs w:val="19"/>
              </w:rPr>
              <w:t>Project Controls</w:t>
            </w:r>
          </w:p>
        </w:tc>
        <w:tc>
          <w:tcPr>
            <w:tcW w:w="7706" w:type="dxa"/>
            <w:tcBorders>
              <w:top w:val="none" w:sz="0" w:space="0" w:color="FFFFFF"/>
              <w:left w:val="none" w:sz="0" w:space="0" w:color="FFFFFF"/>
              <w:bottom w:val="none" w:sz="0" w:space="0" w:color="FFFFFF"/>
              <w:right w:val="none" w:sz="0" w:space="0" w:color="FFFFFF"/>
            </w:tcBorders>
            <w:shd w:val="clear" w:color="auto" w:fill="F4F8FF"/>
            <w:tcMar>
              <w:top w:w="90" w:type="dxa"/>
              <w:left w:w="180" w:type="dxa"/>
              <w:bottom w:w="90" w:type="dxa"/>
              <w:right w:w="120" w:type="dxa"/>
            </w:tcMar>
          </w:tcPr>
          <w:p w14:paraId="6D9AEDED" w14:textId="77777777" w:rsidR="00C4623A" w:rsidRDefault="00000000">
            <w:r>
              <w:rPr>
                <w:sz w:val="19"/>
                <w:szCs w:val="19"/>
              </w:rPr>
              <w:t xml:space="preserve">Earned Value Management (EVM — SPI, CPI, BCWS, BCWP, ACWP)  |  Chargement et prévision des coûts (EAC / ETC / VAC)  |  Prévision des délais  |  Time Impact Analysis (TIA)  |  Gestion des réclamations &amp; Prolongation de délai (EOT)  |  Change Management  |  Mesure et validation de l'avancement</w:t>
            </w:r>
          </w:p>
        </w:tc>
      </w:tr>
      <w:tr w:rsidR="00C4623A" w14:paraId="580390EF"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shd w:val="clear" w:color="auto" w:fill="0D2B45"/>
            <w:tcMar>
              <w:top w:w="90" w:type="dxa"/>
              <w:left w:w="180" w:type="dxa"/>
              <w:bottom w:w="90" w:type="dxa"/>
              <w:right w:w="120" w:type="dxa"/>
            </w:tcMar>
          </w:tcPr>
          <w:p w14:paraId="7118AE49" w14:textId="77777777" w:rsidR="00C4623A" w:rsidRDefault="00000000">
            <w:r>
              <w:rPr>
                <w:b/>
                <w:bCs/>
                <w:color w:val="FFFFFF"/>
                <w:sz w:val="19"/>
                <w:szCs w:val="19"/>
              </w:rPr>
              <w:t xml:space="preserve">Reporting &amp; Analytics</w:t>
            </w:r>
          </w:p>
        </w:tc>
        <w:tc>
          <w:tcPr>
            <w:tcW w:w="7706" w:type="dxa"/>
            <w:tcBorders>
              <w:top w:val="none" w:sz="0" w:space="0" w:color="FFFFFF"/>
              <w:left w:val="none" w:sz="0" w:space="0" w:color="FFFFFF"/>
              <w:bottom w:val="none" w:sz="0" w:space="0" w:color="FFFFFF"/>
              <w:right w:val="none" w:sz="0" w:space="0" w:color="FFFFFF"/>
            </w:tcBorders>
            <w:shd w:val="clear" w:color="auto" w:fill="EBF5FB"/>
            <w:tcMar>
              <w:top w:w="90" w:type="dxa"/>
              <w:left w:w="180" w:type="dxa"/>
              <w:bottom w:w="90" w:type="dxa"/>
              <w:right w:w="120" w:type="dxa"/>
            </w:tcMar>
          </w:tcPr>
          <w:p w14:paraId="5AE32B5E" w14:textId="77777777" w:rsidR="00C4623A" w:rsidRDefault="00000000">
            <w:r>
              <w:rPr>
                <w:sz w:val="19"/>
                <w:szCs w:val="19"/>
              </w:rPr>
              <w:t xml:space="preserve">Power BI — Tableaux de bord exécutifs (SPI/CPI, courbes en S, tendances chemin critique)  |  Excel Business Intelligence (Power Query, Power Pivot, DAX)  |  Rapports Mensuels d'Avancement (MPR)  |  Rapports Hebdomadaires (WPR)  |  Reporting comité de pilotage</w:t>
            </w:r>
          </w:p>
        </w:tc>
      </w:tr>
      <w:tr w:rsidR="00C4623A" w14:paraId="623BD3D0"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shd w:val="clear" w:color="auto" w:fill="0D2B45"/>
            <w:tcMar>
              <w:top w:w="90" w:type="dxa"/>
              <w:left w:w="180" w:type="dxa"/>
              <w:bottom w:w="90" w:type="dxa"/>
              <w:right w:w="120" w:type="dxa"/>
            </w:tcMar>
          </w:tcPr>
          <w:p w14:paraId="1BDC0E39" w14:textId="77777777" w:rsidR="00C4623A" w:rsidRDefault="00000000">
            <w:r>
              <w:rPr>
                <w:b/>
                <w:bCs/>
                <w:color w:val="FFFFFF"/>
                <w:sz w:val="19"/>
                <w:szCs w:val="19"/>
              </w:rPr>
              <w:lastRenderedPageBreak/>
              <w:t>Gouvernance &amp; Standards</w:t>
            </w:r>
          </w:p>
        </w:tc>
        <w:tc>
          <w:tcPr>
            <w:tcW w:w="7706" w:type="dxa"/>
            <w:tcBorders>
              <w:top w:val="none" w:sz="0" w:space="0" w:color="FFFFFF"/>
              <w:left w:val="none" w:sz="0" w:space="0" w:color="FFFFFF"/>
              <w:bottom w:val="none" w:sz="0" w:space="0" w:color="FFFFFF"/>
              <w:right w:val="none" w:sz="0" w:space="0" w:color="FFFFFF"/>
            </w:tcBorders>
            <w:shd w:val="clear" w:color="auto" w:fill="F4F8FF"/>
            <w:tcMar>
              <w:top w:w="90" w:type="dxa"/>
              <w:left w:w="180" w:type="dxa"/>
              <w:bottom w:w="90" w:type="dxa"/>
              <w:right w:w="120" w:type="dxa"/>
            </w:tcMar>
          </w:tcPr>
          <w:p w14:paraId="641A5BAC" w14:textId="77777777" w:rsidR="00C4623A" w:rsidRDefault="00000000">
            <w:r>
              <w:rPr>
                <w:sz w:val="19"/>
                <w:szCs w:val="19"/>
              </w:rPr>
              <w:t xml:space="preserve">Gouvernance Project Controls  |  Mise en place PMO &amp; procédures  |  DCMA-14 (qualité planning)  |  Cadre contractuel FIDIC (Clauses 8.4 / 8.5 / 20.1)  |  SCL Delay &amp; Disruption Protocol (2e éd.)  |  Connaissance NEC  |  Méthodologie PMBOK / PMP®</w:t>
            </w:r>
          </w:p>
        </w:tc>
      </w:tr>
      <w:tr w:rsidR="00C4623A" w14:paraId="0DE612F9"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shd w:val="clear" w:color="auto" w:fill="0D2B45"/>
            <w:tcMar>
              <w:top w:w="90" w:type="dxa"/>
              <w:left w:w="180" w:type="dxa"/>
              <w:bottom w:w="90" w:type="dxa"/>
              <w:right w:w="120" w:type="dxa"/>
            </w:tcMar>
          </w:tcPr>
          <w:p w14:paraId="2C39B5D8" w14:textId="77777777" w:rsidR="00C4623A" w:rsidRDefault="00000000">
            <w:r>
              <w:rPr>
                <w:b/>
                <w:bCs/>
                <w:color w:val="FFFFFF"/>
                <w:sz w:val="19"/>
                <w:szCs w:val="19"/>
              </w:rPr>
              <w:t>Typologies de projets pilotés</w:t>
            </w:r>
          </w:p>
        </w:tc>
        <w:tc>
          <w:tcPr>
            <w:tcW w:w="7706" w:type="dxa"/>
            <w:tcBorders>
              <w:top w:val="none" w:sz="0" w:space="0" w:color="FFFFFF"/>
              <w:left w:val="none" w:sz="0" w:space="0" w:color="FFFFFF"/>
              <w:bottom w:val="none" w:sz="0" w:space="0" w:color="FFFFFF"/>
              <w:right w:val="none" w:sz="0" w:space="0" w:color="FFFFFF"/>
            </w:tcBorders>
            <w:shd w:val="clear" w:color="auto" w:fill="EBF5FB"/>
            <w:tcMar>
              <w:top w:w="90" w:type="dxa"/>
              <w:left w:w="180" w:type="dxa"/>
              <w:bottom w:w="90" w:type="dxa"/>
              <w:right w:w="120" w:type="dxa"/>
            </w:tcMar>
          </w:tcPr>
          <w:p w14:paraId="3D01ECCC" w14:textId="77777777" w:rsidR="00C4623A" w:rsidRDefault="00000000">
            <w:r>
              <w:rPr>
                <w:sz w:val="19"/>
                <w:szCs w:val="19"/>
              </w:rPr>
              <w:t xml:space="preserve">EPC / EPCC / EPCM  |  Mégaprojets (CAPEX jusqu'à 2,5 Md USD)  |  Greenfield &amp; Brownfield  |  Onshore &amp; Offshore  |  Hydroélectrique  |  Oil &amp; Gas (amont, midstream)  |  Arrêt technique raffinerie  |  Pipeline  |  FPSO  |  Production d'électricité  |  Contrôle de portefeuille multi-packages</w:t>
            </w:r>
          </w:p>
        </w:tc>
      </w:tr>
      <w:tr w:rsidR="00C4623A" w14:paraId="20B32293"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shd w:val="clear" w:color="auto" w:fill="0D2B45"/>
            <w:tcMar>
              <w:top w:w="90" w:type="dxa"/>
              <w:left w:w="180" w:type="dxa"/>
              <w:bottom w:w="90" w:type="dxa"/>
              <w:right w:w="120" w:type="dxa"/>
            </w:tcMar>
          </w:tcPr>
          <w:p w14:paraId="4E728B29" w14:textId="77777777" w:rsidR="00C4623A" w:rsidRDefault="00000000">
            <w:r>
              <w:rPr>
                <w:b/>
                <w:bCs/>
                <w:color w:val="FFFFFF"/>
                <w:sz w:val="19"/>
                <w:szCs w:val="19"/>
              </w:rPr>
              <w:t>Leadership &amp; Interfaces</w:t>
            </w:r>
          </w:p>
        </w:tc>
        <w:tc>
          <w:tcPr>
            <w:tcW w:w="7706" w:type="dxa"/>
            <w:tcBorders>
              <w:top w:val="none" w:sz="0" w:space="0" w:color="FFFFFF"/>
              <w:left w:val="none" w:sz="0" w:space="0" w:color="FFFFFF"/>
              <w:bottom w:val="none" w:sz="0" w:space="0" w:color="FFFFFF"/>
              <w:right w:val="none" w:sz="0" w:space="0" w:color="FFFFFF"/>
            </w:tcBorders>
            <w:shd w:val="clear" w:color="auto" w:fill="F4F8FF"/>
            <w:tcMar>
              <w:top w:w="90" w:type="dxa"/>
              <w:left w:w="180" w:type="dxa"/>
              <w:bottom w:w="90" w:type="dxa"/>
              <w:right w:w="120" w:type="dxa"/>
            </w:tcMar>
          </w:tcPr>
          <w:p w14:paraId="1B518049" w14:textId="77777777" w:rsidR="00C4623A" w:rsidRDefault="00000000">
            <w:r>
              <w:rPr>
                <w:sz w:val="19"/>
                <w:szCs w:val="19"/>
              </w:rPr>
              <w:t xml:space="preserve">Pilotage d'équipes Project Controls pluridisciplinaires (planificateurs, cost engineers, planificateurs de packages)  |  Gouvernance planning sur packages simultanés  |  Gestion des parties prenantes Client et Direction  |  Coordination d'équipes multiculturelles  |  Mentoring et montée en compétences</w:t>
            </w:r>
          </w:p>
        </w:tc>
      </w:tr>
    </w:tbl>
    <w:p w14:paraId="134221C5" w14:textId="77777777" w:rsidR="00C4623A" w:rsidRDefault="00000000">
      <w:pPr>
        <w:pBdr>
          <w:bottom w:val="thick" w:sz="8" w:space="4" w:color="C8860A"/>
        </w:pBdr>
        <w:spacing w:before="320" w:after="120"/>
      </w:pPr>
      <w:r>
        <w:rPr>
          <w:b/>
          <w:bCs/>
          <w:color w:val="0D2B45"/>
          <w:sz w:val="24"/>
          <w:szCs w:val="24"/>
        </w:rPr>
        <w:t>EXPÉRIENCE PROFESSIONNELLE</w:t>
      </w:r>
    </w:p>
    <w:p w14:paraId="6B16372A" w14:textId="77777777" w:rsidR="00C4623A" w:rsidRDefault="00000000">
      <w:pPr>
        <w:spacing w:before="220" w:after="40"/>
      </w:pPr>
      <w:r>
        <w:rPr>
          <w:b/>
          <w:bCs/>
          <w:color w:val="0D2B45"/>
          <w:sz w:val="23"/>
          <w:szCs w:val="23"/>
        </w:rPr>
        <w:t>Lead Planning &amp; Project Controls Manager</w:t>
      </w:r>
      <w:r>
        <w:rPr>
          <w:color w:val="5D6D7E"/>
        </w:rPr>
        <w:t xml:space="preserve">   ·   </w:t>
      </w:r>
      <w:r>
        <w:rPr>
          <w:b/>
          <w:bCs/>
          <w:color w:val="B84700"/>
          <w:sz w:val="22"/>
          <w:szCs w:val="22"/>
        </w:rPr>
        <w:t xml:space="preserve">GE Vernova — Centrale Hydroélectrique Nachtigal EPCC (420 MW)  |  Client : NHPC</w:t>
      </w:r>
      <w:r>
        <w:rPr>
          <w:color w:val="5D6D7E"/>
        </w:rPr>
        <w:t xml:space="preserve">   ·   </w:t>
      </w:r>
      <w:r>
        <w:rPr>
          <w:i/>
          <w:iCs/>
          <w:color w:val="5D6D7E"/>
        </w:rPr>
        <w:t>Mars 2023 – Déc. 2025</w:t>
      </w:r>
    </w:p>
    <w:p w14:paraId="4E4F33BA" w14:textId="77777777" w:rsidR="00C4623A" w:rsidRDefault="00000000">
      <w:pPr>
        <w:spacing w:after="80"/>
      </w:pPr>
      <w:r>
        <w:rPr>
          <w:i/>
          <w:iCs/>
          <w:color w:val="5D6D7E"/>
          <w:sz w:val="18"/>
          <w:szCs w:val="18"/>
        </w:rPr>
        <w:t xml:space="preserve">CAPEX : 1,2 Md USD  |  Mégaprojet greenfield EPCC  |  Lot EM1 Électromécanique  |  Consortium GE Vernova (leader) &amp; Elecnor</w:t>
      </w:r>
    </w:p>
    <w:p w14:paraId="4F804EF2" w14:textId="77777777" w:rsidR="00C4623A" w:rsidRDefault="00000000">
      <w:pPr>
        <w:pStyle w:val="Paragraphedeliste"/>
        <w:numPr>
          <w:ilvl w:val="0"/>
          <w:numId w:val="2"/>
        </w:numPr>
        <w:spacing w:before="50" w:after="50"/>
      </w:pPr>
      <w:r>
        <w:t xml:space="preserve">Pilotage de la </w:t>
      </w:r>
      <w:r>
        <w:rPr>
          <w:b/>
          <w:bCs/>
        </w:rPr>
        <w:t>fonction Project Controls</w:t>
      </w:r>
      <w:r>
        <w:t xml:space="preserve"> sur un mégaprojet hydroélectrique greenfield EPCC de 1,2 Md USD — gouvernance des délais, de l'avancement, de la performance coûts, des risques et du reporting exécutif sur l'ensemble des phases Engineering, Procurement, Construction, Commissioning.</w:t>
      </w:r>
    </w:p>
    <w:p w14:paraId="086174BB" w14:textId="77777777" w:rsidR="00C4623A" w:rsidRDefault="00000000">
      <w:pPr>
        <w:pStyle w:val="Paragraphedeliste"/>
        <w:numPr>
          <w:ilvl w:val="0"/>
          <w:numId w:val="2"/>
        </w:numPr>
        <w:spacing w:before="50" w:after="50"/>
      </w:pPr>
      <w:r>
        <w:t xml:space="preserve">Pilotage du </w:t>
      </w:r>
      <w:r>
        <w:rPr>
          <w:b/>
          <w:bCs/>
        </w:rPr>
        <w:t>Planning Directeur Intégré (IMS) sous Primavera P6 (Niveaux 1–4) — ~12 000 activités planifiées</w:t>
      </w:r>
      <w:r>
        <w:t xml:space="preserve"> sur un budget de référence de </w:t>
      </w:r>
    </w:p>
    <w:p w14:paraId="1DC7E31B" w14:textId="77777777" w:rsidR="00C4623A" w:rsidRDefault="00000000">
      <w:pPr>
        <w:pStyle w:val="Paragraphedeliste"/>
        <w:numPr>
          <w:ilvl w:val="0"/>
          <w:numId w:val="2"/>
        </w:numPr>
        <w:spacing w:before="50" w:after="50"/>
      </w:pPr>
      <w:r>
        <w:t xml:space="preserve">Encadrement d'une </w:t>
      </w:r>
      <w:r>
        <w:rPr>
          <w:b/>
          <w:bCs/>
        </w:rPr>
        <w:t xml:space="preserve">équipe planning et project controls pluridisciplinaire</w:t>
      </w:r>
      <w:r>
        <w:t xml:space="preserve"> : définition des responsabilités, du rythme de reporting, des livrables et des standards de qualité ; mentoring sur la méthodologie P6 et la gouvernance DCMA-14.</w:t>
      </w:r>
    </w:p>
    <w:p w14:paraId="18604CFE" w14:textId="77777777" w:rsidR="00C4623A" w:rsidRDefault="00000000">
      <w:pPr>
        <w:pStyle w:val="Paragraphedeliste"/>
        <w:numPr>
          <w:ilvl w:val="0"/>
          <w:numId w:val="2"/>
        </w:numPr>
        <w:spacing w:before="50" w:after="50"/>
      </w:pPr>
      <w:r>
        <w:t>Gouvernance de l'</w:t>
      </w:r>
      <w:r>
        <w:rPr>
          <w:b/>
          <w:bCs/>
        </w:rPr>
        <w:t xml:space="preserve">Earned Value Management (SPI, CPI, BCWS, BCWP, ACWP)</w:t>
      </w:r>
      <w:r>
        <w:t xml:space="preserve"> et des prévisions de coûts ; production des Rapports Hebdomadaires (WPR), Mensuels (MPR) et des tableaux de bord exécutifs Power BI à destination de la Direction GE Vernova, du consortium et du Client NHPC.</w:t>
      </w:r>
    </w:p>
    <w:p w14:paraId="41765902" w14:textId="77777777" w:rsidR="00C4623A" w:rsidRDefault="00000000">
      <w:pPr>
        <w:pStyle w:val="Paragraphedeliste"/>
        <w:numPr>
          <w:ilvl w:val="0"/>
          <w:numId w:val="2"/>
        </w:numPr>
        <w:spacing w:before="50" w:after="50"/>
      </w:pPr>
      <w:r>
        <w:t xml:space="preserve">Pilotage des </w:t>
      </w:r>
      <w:r>
        <w:rPr>
          <w:b/>
          <w:bCs/>
        </w:rPr>
        <w:t>plans de rattrapage et stratégies d'accélération</w:t>
      </w:r>
      <w:r>
        <w:t xml:space="preserve"> sur le chemin critique commissioning ; supervision de la planification des effectifs sur un site de </w:t>
      </w:r>
    </w:p>
    <w:p w14:paraId="7441660F" w14:textId="77777777" w:rsidR="00C4623A" w:rsidRDefault="00000000">
      <w:pPr>
        <w:pStyle w:val="Paragraphedeliste"/>
        <w:numPr>
          <w:ilvl w:val="0"/>
          <w:numId w:val="2"/>
        </w:numPr>
        <w:spacing w:before="50" w:after="50"/>
      </w:pPr>
      <w:r>
        <w:t xml:space="preserve">Rédaction du dossier </w:t>
      </w:r>
      <w:r>
        <w:rPr>
          <w:b/>
          <w:bCs/>
        </w:rPr>
        <w:t xml:space="preserve">Time Impact Analysis (TIA) et Demande de Prolongation de Délai (EOT)</w:t>
      </w:r>
      <w:r>
        <w:t xml:space="preserve"> sous cadre FIDIC (Clauses 8.4 / 8.5 / 20.1), selon la méthodologie SCL Delay &amp; Disruption Protocol (2e éd.).</w:t>
      </w:r>
    </w:p>
    <w:p w14:paraId="0BF54078" w14:textId="77777777" w:rsidR="00C4623A" w:rsidRDefault="00000000">
      <w:pPr>
        <w:spacing w:before="90" w:after="60"/>
        <w:ind w:left="420"/>
      </w:pPr>
      <w:r>
        <w:rPr>
          <w:b/>
          <w:bCs/>
          <w:color w:val="C8860A"/>
        </w:rPr>
        <w:t xml:space="preserve">✔ RÉSULTAT CLÉ : </w:t>
      </w:r>
      <w:r>
        <w:rPr>
          <w:b/>
          <w:bCs/>
          <w:color w:val="0D2B45"/>
        </w:rPr>
        <w:t xml:space="preserve">Gouvernance planning maîtrisée sur un mégaprojet greenfield EPCC de 1,2 Md USD — Planning Directeur Intégré de ~12 000 activités, budget de 3 427 016 heures-homme ; production d'une demande d'EOT de 49 jours calendaires entièrement substantiée sous FIDIC/SCL Protocol ; SPI cumulé maintenu à 0,93 avec plans de rattrapage structurés sur le chemin critique commissioning.</w:t>
      </w:r>
    </w:p>
    <w:p w14:paraId="5AB6E82D" w14:textId="77777777" w:rsidR="00C4623A" w:rsidRDefault="00000000">
      <w:pPr>
        <w:spacing w:before="220" w:after="40"/>
      </w:pPr>
      <w:r>
        <w:rPr>
          <w:b/>
          <w:bCs/>
          <w:color w:val="0D2B45"/>
          <w:sz w:val="23"/>
          <w:szCs w:val="23"/>
        </w:rPr>
        <w:t>Senior Planning Lead — Contrôle de portefeuille multi-packages</w:t>
      </w:r>
      <w:r>
        <w:rPr>
          <w:color w:val="5D6D7E"/>
        </w:rPr>
        <w:t xml:space="preserve">   ·   </w:t>
      </w:r>
      <w:r>
        <w:rPr>
          <w:b/>
          <w:bCs/>
          <w:color w:val="B84700"/>
          <w:sz w:val="22"/>
          <w:szCs w:val="22"/>
        </w:rPr>
        <w:t xml:space="preserve">TotalEnergies — République du Congo</w:t>
      </w:r>
      <w:r>
        <w:rPr>
          <w:color w:val="5D6D7E"/>
        </w:rPr>
        <w:t xml:space="preserve">   ·   </w:t>
      </w:r>
      <w:r>
        <w:rPr>
          <w:i/>
          <w:iCs/>
          <w:color w:val="5D6D7E"/>
        </w:rPr>
        <w:t>Janv. 2022 – Fév. 2023</w:t>
      </w:r>
    </w:p>
    <w:p w14:paraId="35F5E31C" w14:textId="77777777" w:rsidR="00C4623A" w:rsidRPr="00346FD7" w:rsidRDefault="00000000">
      <w:pPr>
        <w:spacing w:after="80"/>
        <w:rPr>
          <w:lang w:val="en-GB"/>
        </w:rPr>
      </w:pPr>
      <w:r>
        <w:rPr>
          <w:i/>
          <w:iCs/>
          <w:color w:val="5D6D7E"/>
          <w:sz w:val="18"/>
          <w:szCs w:val="18"/>
          <w:lang w:val="en-GB"/>
        </w:rPr>
        <w:t xml:space="preserve">CAPEX portefeuille : 1,5 Md USD+  |  4 packages offshore simultanés : ALIMA, NKOSSA, SENDJI, DJENO  |  Brownfield offshore</w:t>
      </w:r>
    </w:p>
    <w:p w14:paraId="35167E11" w14:textId="77777777" w:rsidR="00C4623A" w:rsidRDefault="00000000">
      <w:pPr>
        <w:pStyle w:val="Paragraphedeliste"/>
        <w:numPr>
          <w:ilvl w:val="0"/>
          <w:numId w:val="2"/>
        </w:numPr>
        <w:spacing w:before="50" w:after="50"/>
      </w:pPr>
      <w:r>
        <w:t xml:space="preserve">Gouvernance de la fonction project controls sur un </w:t>
      </w:r>
      <w:r>
        <w:rPr>
          <w:b/>
          <w:bCs/>
        </w:rPr>
        <w:t>portefeuille de 1,5 Md USD+</w:t>
      </w:r>
      <w:r>
        <w:t xml:space="preserve"> composé de 4 packages offshore Oil &amp; Gas simultanés — consolidation des plannings au niveau portefeuille pour la Direction TotalEnergies.</w:t>
      </w:r>
    </w:p>
    <w:p w14:paraId="3AEF244C" w14:textId="77777777" w:rsidR="00C4623A" w:rsidRDefault="00000000">
      <w:pPr>
        <w:pStyle w:val="Paragraphedeliste"/>
        <w:numPr>
          <w:ilvl w:val="0"/>
          <w:numId w:val="2"/>
        </w:numPr>
        <w:spacing w:before="50" w:after="50"/>
      </w:pPr>
      <w:r>
        <w:t xml:space="preserve">Pilotage des </w:t>
      </w:r>
      <w:r>
        <w:rPr>
          <w:b/>
          <w:bCs/>
        </w:rPr>
        <w:t>planificateurs par package</w:t>
      </w:r>
      <w:r>
        <w:t xml:space="preserve"> et standardisation de la méthodologie planning, de la mesure d'avancement et du reporting sur les 4 packages.</w:t>
      </w:r>
    </w:p>
    <w:p w14:paraId="03505473" w14:textId="77777777" w:rsidR="00C4623A" w:rsidRDefault="00000000">
      <w:pPr>
        <w:pStyle w:val="Paragraphedeliste"/>
        <w:numPr>
          <w:ilvl w:val="0"/>
          <w:numId w:val="2"/>
        </w:numPr>
        <w:spacing w:before="50" w:after="50"/>
      </w:pPr>
      <w:r>
        <w:t xml:space="preserve">Supervision du </w:t>
      </w:r>
      <w:r>
        <w:rPr>
          <w:b/>
          <w:bCs/>
        </w:rPr>
        <w:t>suivi EVM, de l'analyse des écarts planning, des prévisions de coûts et de l'évaluation des risques</w:t>
      </w:r>
      <w:r>
        <w:t xml:space="preserve"> ; animation des comités de pilotage planning ; gestion des engagements des parties prenantes (contractants, sous-traitants, logistique maritime).</w:t>
      </w:r>
    </w:p>
    <w:p w14:paraId="3BC47547" w14:textId="77777777" w:rsidR="00C4623A" w:rsidRDefault="00000000">
      <w:pPr>
        <w:pStyle w:val="Paragraphedeliste"/>
        <w:numPr>
          <w:ilvl w:val="0"/>
          <w:numId w:val="2"/>
        </w:numPr>
        <w:spacing w:before="50" w:after="50"/>
      </w:pPr>
      <w:r>
        <w:t xml:space="preserve">Pilotage des </w:t>
      </w:r>
      <w:r>
        <w:rPr>
          <w:b/>
          <w:bCs/>
        </w:rPr>
        <w:t>plans de rattrapage</w:t>
      </w:r>
      <w:r>
        <w:t xml:space="preserve"> en cas de dérive identifiée ; remontée des goulots d'étranglement supply chain avec actions de mitigation à la Direction.</w:t>
      </w:r>
    </w:p>
    <w:p w14:paraId="7AD3F2CB" w14:textId="77777777" w:rsidR="00C4623A" w:rsidRDefault="00000000">
      <w:pPr>
        <w:spacing w:before="90" w:after="60"/>
        <w:ind w:left="420"/>
      </w:pPr>
      <w:r>
        <w:rPr>
          <w:b/>
          <w:bCs/>
          <w:color w:val="C8860A"/>
        </w:rPr>
        <w:t xml:space="preserve">✔ RÉSULTAT CLÉ : </w:t>
      </w:r>
      <w:r>
        <w:rPr>
          <w:b/>
          <w:bCs/>
          <w:color w:val="0D2B45"/>
        </w:rPr>
        <w:t xml:space="preserve">Les 4 packages offshore livrés avec moins de 3% de dérive planning sur un portefeuille de 1,5 Md USD+ — conformité contractuelle et reporting intégraux.</w:t>
      </w:r>
    </w:p>
    <w:p w14:paraId="301649F6" w14:textId="77777777" w:rsidR="00C4623A" w:rsidRPr="00346FD7" w:rsidRDefault="00000000">
      <w:pPr>
        <w:spacing w:before="220" w:after="40"/>
        <w:rPr>
          <w:lang w:val="en-GB"/>
        </w:rPr>
      </w:pPr>
      <w:r>
        <w:rPr>
          <w:b/>
          <w:bCs/>
          <w:color w:val="0D2B45"/>
          <w:sz w:val="23"/>
          <w:szCs w:val="23"/>
          <w:lang w:val="en-GB"/>
        </w:rPr>
        <w:t>Planning Manager — Pipeline EPC</w:t>
      </w:r>
      <w:r>
        <w:rPr>
          <w:color w:val="5D6D7E"/>
          <w:lang w:val="en-GB"/>
        </w:rPr>
        <w:t xml:space="preserve">   ·   </w:t>
      </w:r>
      <w:r>
        <w:rPr>
          <w:b/>
          <w:bCs/>
          <w:color w:val="B84700"/>
          <w:sz w:val="22"/>
          <w:szCs w:val="22"/>
          <w:lang w:val="en-GB"/>
        </w:rPr>
        <w:t>Perenco — Cameroun</w:t>
      </w:r>
      <w:r>
        <w:rPr>
          <w:color w:val="5D6D7E"/>
          <w:lang w:val="en-GB"/>
        </w:rPr>
        <w:t xml:space="preserve">   ·   </w:t>
      </w:r>
      <w:r>
        <w:rPr>
          <w:i/>
          <w:iCs/>
          <w:color w:val="5D6D7E"/>
          <w:lang w:val="en-GB"/>
        </w:rPr>
        <w:t>Mai 2016 – Janv. 2019</w:t>
      </w:r>
    </w:p>
    <w:p w14:paraId="622031B7" w14:textId="77777777" w:rsidR="00C4623A" w:rsidRPr="00346FD7" w:rsidRDefault="00000000">
      <w:pPr>
        <w:spacing w:after="80"/>
        <w:rPr>
          <w:lang w:val="en-GB"/>
        </w:rPr>
      </w:pPr>
      <w:r>
        <w:rPr>
          <w:i/>
          <w:iCs/>
          <w:color w:val="5D6D7E"/>
          <w:sz w:val="18"/>
          <w:szCs w:val="18"/>
          <w:lang w:val="en-GB"/>
        </w:rPr>
        <w:t xml:space="preserve">CAPEX : 600 M USD  |  Pipeline 100 km Onshore/Offshore  |  Greenfield EPC  |  Mission de 33 mois</w:t>
      </w:r>
    </w:p>
    <w:p w14:paraId="08202109" w14:textId="77777777" w:rsidR="00C4623A" w:rsidRDefault="00000000">
      <w:pPr>
        <w:pStyle w:val="Paragraphedeliste"/>
        <w:numPr>
          <w:ilvl w:val="0"/>
          <w:numId w:val="2"/>
        </w:numPr>
        <w:spacing w:before="50" w:after="50"/>
      </w:pPr>
      <w:r>
        <w:t xml:space="preserve">Pilotage de la </w:t>
      </w:r>
      <w:r>
        <w:rPr>
          <w:b/>
          <w:bCs/>
        </w:rPr>
        <w:t xml:space="preserve">fonction planning et project controls</w:t>
      </w:r>
      <w:r>
        <w:t xml:space="preserve"> sur un pipeline EPC greenfield de 100 km — interface directe avec le Directeur de Projet Perenco et les contractants internationaux.</w:t>
      </w:r>
    </w:p>
    <w:p w14:paraId="53A00ACB" w14:textId="77777777" w:rsidR="00C4623A" w:rsidRDefault="00000000">
      <w:pPr>
        <w:pStyle w:val="Paragraphedeliste"/>
        <w:numPr>
          <w:ilvl w:val="0"/>
          <w:numId w:val="2"/>
        </w:numPr>
        <w:spacing w:before="50" w:after="50"/>
      </w:pPr>
      <w:r>
        <w:lastRenderedPageBreak/>
        <w:t xml:space="preserve">Pilotage du </w:t>
      </w:r>
      <w:r>
        <w:rPr>
          <w:b/>
          <w:bCs/>
        </w:rPr>
        <w:t>planning de référence Primavera P6</w:t>
      </w:r>
      <w:r>
        <w:t xml:space="preserve"> avec WBS, ressourcement, chargement des coûts, courbes en S ; gouvernance du suivi EVM et du reporting mensuel coûts &amp; délais.</w:t>
      </w:r>
    </w:p>
    <w:p w14:paraId="3DCAF440" w14:textId="77777777" w:rsidR="00C4623A" w:rsidRDefault="00000000">
      <w:pPr>
        <w:pStyle w:val="Paragraphedeliste"/>
        <w:numPr>
          <w:ilvl w:val="0"/>
          <w:numId w:val="2"/>
        </w:numPr>
        <w:spacing w:before="50" w:after="50"/>
      </w:pPr>
      <w:r>
        <w:t xml:space="preserve">Supervision de la </w:t>
      </w:r>
      <w:r>
        <w:rPr>
          <w:b/>
          <w:bCs/>
        </w:rPr>
        <w:t>revue des plannings contractants et de la validation de la mesure d'avancement</w:t>
      </w:r>
      <w:r>
        <w:t xml:space="preserve"> ; animation des réunions hebdomadaires de lookahead et de revue ; remontée des risques avec plans d'action correctifs.</w:t>
      </w:r>
    </w:p>
    <w:p w14:paraId="2E09014F" w14:textId="77777777" w:rsidR="00C4623A" w:rsidRDefault="00000000">
      <w:pPr>
        <w:spacing w:before="90" w:after="60"/>
        <w:ind w:left="420"/>
      </w:pPr>
      <w:r>
        <w:rPr>
          <w:b/>
          <w:bCs/>
          <w:color w:val="C8860A"/>
        </w:rPr>
        <w:t xml:space="preserve">✔ RÉSULTAT CLÉ : </w:t>
      </w:r>
      <w:r>
        <w:rPr>
          <w:b/>
          <w:bCs/>
          <w:color w:val="0D2B45"/>
        </w:rPr>
        <w:t>Pipeline EPC livré dans les délais contractuels sur une mission de 33 mois, avec une conformité HSE maintenue au-dessus de 98%.</w:t>
      </w:r>
    </w:p>
    <w:p w14:paraId="2A84072C" w14:textId="77777777" w:rsidR="00C4623A" w:rsidRDefault="00000000">
      <w:pPr>
        <w:spacing w:before="220" w:after="40"/>
      </w:pPr>
      <w:r>
        <w:rPr>
          <w:b/>
          <w:bCs/>
          <w:color w:val="0D2B45"/>
          <w:sz w:val="23"/>
          <w:szCs w:val="23"/>
        </w:rPr>
        <w:t>Ingénieur Projet &amp; Planning — Redéveloppement Centrale Électrique</w:t>
      </w:r>
      <w:r>
        <w:rPr>
          <w:color w:val="5D6D7E"/>
        </w:rPr>
        <w:t xml:space="preserve">   ·   </w:t>
      </w:r>
      <w:r>
        <w:rPr>
          <w:b/>
          <w:bCs/>
          <w:color w:val="B84700"/>
          <w:sz w:val="22"/>
          <w:szCs w:val="22"/>
        </w:rPr>
        <w:t xml:space="preserve">TotalEnergies — Gabon</w:t>
      </w:r>
      <w:r>
        <w:rPr>
          <w:color w:val="5D6D7E"/>
        </w:rPr>
        <w:t xml:space="preserve">   ·   </w:t>
      </w:r>
      <w:r>
        <w:rPr>
          <w:i/>
          <w:iCs/>
          <w:color w:val="5D6D7E"/>
        </w:rPr>
        <w:t>Mars 2012 – Mai 2013</w:t>
      </w:r>
    </w:p>
    <w:p w14:paraId="2613E3CD" w14:textId="77777777" w:rsidR="00C4623A" w:rsidRDefault="00000000">
      <w:pPr>
        <w:spacing w:after="80"/>
      </w:pPr>
      <w:r>
        <w:rPr>
          <w:i/>
          <w:iCs/>
          <w:color w:val="5D6D7E"/>
          <w:sz w:val="18"/>
          <w:szCs w:val="18"/>
        </w:rPr>
        <w:t xml:space="preserve">CAPEX : 2,5 Md USD  |  Redéveloppement Centrale Anguille  |  Brownfield  |  Port-Gentil</w:t>
      </w:r>
    </w:p>
    <w:p w14:paraId="6416E784" w14:textId="77777777" w:rsidR="00C4623A" w:rsidRDefault="00000000">
      <w:pPr>
        <w:pStyle w:val="Paragraphedeliste"/>
        <w:numPr>
          <w:ilvl w:val="0"/>
          <w:numId w:val="2"/>
        </w:numPr>
        <w:spacing w:before="50" w:after="50"/>
      </w:pPr>
      <w:r>
        <w:t xml:space="preserve">Pilotage de la planification et du contrôle d'avancement sur un redéveloppement de centrale électrique brownfield de 2,5 Md USD ; intégration du séquençage commissioning et start-up dans le planning Primavera P6.</w:t>
      </w:r>
    </w:p>
    <w:p w14:paraId="5DBCAE0F" w14:textId="77777777" w:rsidR="00C4623A" w:rsidRDefault="00000000">
      <w:pPr>
        <w:spacing w:before="90" w:after="60"/>
        <w:ind w:left="420"/>
      </w:pPr>
      <w:r>
        <w:rPr>
          <w:b/>
          <w:bCs/>
          <w:color w:val="C8860A"/>
        </w:rPr>
        <w:t xml:space="preserve">✔ RÉSULTAT CLÉ : </w:t>
      </w:r>
      <w:r>
        <w:rPr>
          <w:b/>
          <w:bCs/>
          <w:color w:val="0D2B45"/>
        </w:rPr>
        <w:t>Contribution à la gouvernance planning du projet au CAPEX le plus élevé du portefeuille (2,5 Md USD).</w:t>
      </w:r>
    </w:p>
    <w:p w14:paraId="2A6E6000" w14:textId="77777777" w:rsidR="00C4623A" w:rsidRDefault="00000000">
      <w:pPr>
        <w:spacing w:before="220" w:after="40"/>
      </w:pPr>
      <w:r>
        <w:rPr>
          <w:b/>
          <w:bCs/>
          <w:color w:val="0D2B45"/>
          <w:sz w:val="23"/>
          <w:szCs w:val="23"/>
        </w:rPr>
        <w:t>Ingénieur Projet &amp; Planning — Arrêt technique Raffinerie</w:t>
      </w:r>
      <w:r>
        <w:rPr>
          <w:color w:val="5D6D7E"/>
        </w:rPr>
        <w:t xml:space="preserve">   ·   </w:t>
      </w:r>
      <w:r>
        <w:rPr>
          <w:b/>
          <w:bCs/>
          <w:color w:val="B84700"/>
          <w:sz w:val="22"/>
          <w:szCs w:val="22"/>
        </w:rPr>
        <w:t>Friedlander — Foster Wheeler — Cameroun</w:t>
      </w:r>
      <w:r>
        <w:rPr>
          <w:color w:val="5D6D7E"/>
        </w:rPr>
        <w:t xml:space="preserve">   ·   </w:t>
      </w:r>
      <w:r>
        <w:rPr>
          <w:i/>
          <w:iCs/>
          <w:color w:val="5D6D7E"/>
        </w:rPr>
        <w:t>Oct. 2011 – Fév. 2012</w:t>
      </w:r>
    </w:p>
    <w:p w14:paraId="67659EB7" w14:textId="77777777" w:rsidR="00C4623A" w:rsidRDefault="00000000">
      <w:pPr>
        <w:spacing w:after="80"/>
      </w:pPr>
      <w:r>
        <w:rPr>
          <w:i/>
          <w:iCs/>
          <w:color w:val="5D6D7E"/>
          <w:sz w:val="18"/>
          <w:szCs w:val="18"/>
        </w:rPr>
        <w:t xml:space="preserve">CAPEX : 600 M USD  |  Arrêt technique Raffinerie SONARA  |  Brownfield  |  Maintenance lourde</w:t>
      </w:r>
    </w:p>
    <w:p w14:paraId="4086AD98" w14:textId="77777777" w:rsidR="00C4623A" w:rsidRDefault="00000000">
      <w:pPr>
        <w:pStyle w:val="Paragraphedeliste"/>
        <w:numPr>
          <w:ilvl w:val="0"/>
          <w:numId w:val="2"/>
        </w:numPr>
        <w:spacing w:before="50" w:after="50"/>
      </w:pPr>
      <w:r>
        <w:t xml:space="preserve">Planification des opérations d'arrêt technique de raffinerie — séquençage multi-disciplines maintenance et inspection (mécanique, électrique, instrumentation) ; intégration des permis-de-travail et reporting d'avancement à la Direction.</w:t>
      </w:r>
    </w:p>
    <w:p w14:paraId="09BE7544" w14:textId="77777777" w:rsidR="00C4623A" w:rsidRDefault="00000000">
      <w:pPr>
        <w:spacing w:before="90" w:after="60"/>
        <w:ind w:left="420"/>
      </w:pPr>
      <w:r>
        <w:rPr>
          <w:b/>
          <w:bCs/>
          <w:color w:val="C8860A"/>
        </w:rPr>
        <w:t xml:space="preserve">✔ RÉSULTAT CLÉ : </w:t>
      </w:r>
      <w:r>
        <w:rPr>
          <w:b/>
          <w:bCs/>
          <w:color w:val="0D2B45"/>
        </w:rPr>
        <w:t>Arrêt technique livré dans la fenêtre contractuelle avec conformité HSE complète.</w:t>
      </w:r>
    </w:p>
    <w:p w14:paraId="6AA56B65" w14:textId="77777777" w:rsidR="00C4623A" w:rsidRDefault="00000000">
      <w:pPr>
        <w:spacing w:before="220" w:after="40"/>
      </w:pPr>
      <w:r>
        <w:rPr>
          <w:b/>
          <w:bCs/>
          <w:color w:val="0D2B45"/>
          <w:sz w:val="23"/>
          <w:szCs w:val="23"/>
        </w:rPr>
        <w:t>Ingénieur Projet &amp; Planning — Commissioning FPSO</w:t>
      </w:r>
      <w:r>
        <w:rPr>
          <w:color w:val="5D6D7E"/>
        </w:rPr>
        <w:t xml:space="preserve">   ·   </w:t>
      </w:r>
      <w:r>
        <w:rPr>
          <w:b/>
          <w:bCs/>
          <w:color w:val="B84700"/>
          <w:sz w:val="22"/>
          <w:szCs w:val="22"/>
        </w:rPr>
        <w:t xml:space="preserve">ORSAM Oil &amp; Gas — MODEC (Japon)</w:t>
      </w:r>
      <w:r>
        <w:rPr>
          <w:color w:val="5D6D7E"/>
        </w:rPr>
        <w:t xml:space="preserve">   ·   </w:t>
      </w:r>
      <w:r>
        <w:rPr>
          <w:i/>
          <w:iCs/>
          <w:color w:val="5D6D7E"/>
        </w:rPr>
        <w:t>Juin 2013 – Mai 2014</w:t>
      </w:r>
    </w:p>
    <w:p w14:paraId="6715FCA6" w14:textId="77777777" w:rsidR="00C4623A" w:rsidRDefault="00000000">
      <w:pPr>
        <w:spacing w:after="80"/>
      </w:pPr>
      <w:r>
        <w:rPr>
          <w:i/>
          <w:iCs/>
          <w:color w:val="5D6D7E"/>
          <w:sz w:val="18"/>
          <w:szCs w:val="18"/>
        </w:rPr>
        <w:t xml:space="preserve">CAPEX : 250 M USD  |  FPSO MV21 Kwame Nkrumah  |  Offshore Ghana  |  Unité de production gaz/pétrole</w:t>
      </w:r>
    </w:p>
    <w:p w14:paraId="518A48EA" w14:textId="77777777" w:rsidR="00C4623A" w:rsidRDefault="00000000">
      <w:pPr>
        <w:pStyle w:val="Paragraphedeliste"/>
        <w:numPr>
          <w:ilvl w:val="0"/>
          <w:numId w:val="2"/>
        </w:numPr>
        <w:spacing w:before="50" w:after="50"/>
      </w:pPr>
      <w:r>
        <w:t xml:space="preserve">Élaboration et pilotage du planning de commissioning et de start-up du FPSO MV21 — séquençage d'achèvement par systèmes/sous-systèmes, phasage hook-up &amp; commissioning, jalons RFSU ; suivi EVM et reporting exécutif à la Direction MODEC.</w:t>
      </w:r>
    </w:p>
    <w:p w14:paraId="411C2654" w14:textId="77777777" w:rsidR="00C4623A" w:rsidRDefault="00000000">
      <w:pPr>
        <w:spacing w:before="90" w:after="60"/>
        <w:ind w:left="420"/>
      </w:pPr>
      <w:r>
        <w:rPr>
          <w:b/>
          <w:bCs/>
          <w:color w:val="C8860A"/>
        </w:rPr>
        <w:t xml:space="preserve">✔ RÉSULTAT CLÉ : </w:t>
      </w:r>
      <w:r>
        <w:rPr>
          <w:b/>
          <w:bCs/>
          <w:color w:val="0D2B45"/>
        </w:rPr>
        <w:t>Commissioning et remise du FPSO livrés dans les délais dans un environnement entièrement international (Japon/Ghana).</w:t>
      </w:r>
    </w:p>
    <w:p w14:paraId="6FF73EE0" w14:textId="77777777" w:rsidR="00C4623A" w:rsidRDefault="00000000">
      <w:pPr>
        <w:spacing w:before="220" w:after="40"/>
      </w:pPr>
      <w:r>
        <w:rPr>
          <w:b/>
          <w:bCs/>
          <w:color w:val="0D2B45"/>
          <w:sz w:val="23"/>
          <w:szCs w:val="23"/>
        </w:rPr>
        <w:t xml:space="preserve">Project Manager (Planning, Project Controls &amp; Appels d'offres)</w:t>
      </w:r>
      <w:r>
        <w:rPr>
          <w:color w:val="5D6D7E"/>
        </w:rPr>
        <w:t xml:space="preserve">   ·   </w:t>
      </w:r>
      <w:r>
        <w:rPr>
          <w:b/>
          <w:bCs/>
          <w:color w:val="B84700"/>
          <w:sz w:val="22"/>
          <w:szCs w:val="22"/>
        </w:rPr>
        <w:t>Prunus Engineering — Cameroun</w:t>
      </w:r>
      <w:r>
        <w:rPr>
          <w:color w:val="5D6D7E"/>
        </w:rPr>
        <w:t xml:space="preserve">   ·   </w:t>
      </w:r>
      <w:r>
        <w:rPr>
          <w:i/>
          <w:iCs/>
          <w:color w:val="5D6D7E"/>
        </w:rPr>
        <w:t>Janv. 2026 – En cours</w:t>
      </w:r>
    </w:p>
    <w:p w14:paraId="7B3419D2" w14:textId="77777777" w:rsidR="00C4623A" w:rsidRDefault="00000000">
      <w:pPr>
        <w:spacing w:after="80"/>
      </w:pPr>
      <w:r>
        <w:rPr>
          <w:i/>
          <w:iCs/>
          <w:color w:val="5D6D7E"/>
          <w:sz w:val="18"/>
          <w:szCs w:val="18"/>
        </w:rPr>
        <w:t xml:space="preserve">Projets industriels &amp; infrastructure  |  Appel d'offres ferroviaire international : 512,7 km rails UIC 54 (~40 M USD, financement Banque Mondiale)</w:t>
      </w:r>
    </w:p>
    <w:p w14:paraId="18CF96A3" w14:textId="77777777" w:rsidR="00C4623A" w:rsidRDefault="00000000">
      <w:pPr>
        <w:pStyle w:val="Paragraphedeliste"/>
        <w:numPr>
          <w:ilvl w:val="0"/>
          <w:numId w:val="2"/>
        </w:numPr>
        <w:spacing w:before="50" w:after="50"/>
      </w:pPr>
      <w:r>
        <w:t xml:space="preserve">Pilotage des </w:t>
      </w:r>
      <w:r>
        <w:rPr>
          <w:b/>
          <w:bCs/>
        </w:rPr>
        <w:t xml:space="preserve">plannings projets, du suivi des coûts, du reporting d'avancement et de la coordination des parties prenantes</w:t>
      </w:r>
      <w:r>
        <w:t xml:space="preserve"> sur projets industriels et infrastructure.</w:t>
      </w:r>
    </w:p>
    <w:p w14:paraId="6ED29CBD" w14:textId="77777777" w:rsidR="00C4623A" w:rsidRDefault="00000000">
      <w:pPr>
        <w:pStyle w:val="Paragraphedeliste"/>
        <w:numPr>
          <w:ilvl w:val="0"/>
          <w:numId w:val="2"/>
        </w:numPr>
        <w:spacing w:before="50" w:after="50"/>
      </w:pPr>
      <w:r>
        <w:t xml:space="preserve">Direction d'un </w:t>
      </w:r>
      <w:r>
        <w:rPr>
          <w:b/>
          <w:bCs/>
        </w:rPr>
        <w:t>appel d'offres ferroviaire international stratégique</w:t>
      </w:r>
      <w:r>
        <w:t xml:space="preserve"> — 512,7 km de rails UIC 54 (~40 M USD, financement Banque Mondiale) — gouvernance du planning d'appel d'offres, structuration commerciale et revue de conformité aux standards de passation Banque Mondiale.</w:t>
      </w:r>
    </w:p>
    <w:p w14:paraId="20D40156" w14:textId="77777777" w:rsidR="00C4623A" w:rsidRDefault="00000000">
      <w:pPr>
        <w:pBdr>
          <w:bottom w:val="thick" w:sz="8" w:space="4" w:color="C8860A"/>
        </w:pBdr>
        <w:spacing w:before="320" w:after="120"/>
      </w:pPr>
      <w:r>
        <w:rPr>
          <w:b/>
          <w:bCs/>
          <w:color w:val="0D2B45"/>
          <w:sz w:val="24"/>
          <w:szCs w:val="24"/>
        </w:rPr>
        <w:t>EXPÉRIENCES ANTÉRIEURES</w:t>
      </w:r>
    </w:p>
    <w:p w14:paraId="004411B2" w14:textId="77777777" w:rsidR="00C4623A" w:rsidRDefault="00000000">
      <w:pPr>
        <w:pStyle w:val="Paragraphedeliste"/>
        <w:numPr>
          <w:ilvl w:val="0"/>
          <w:numId w:val="2"/>
        </w:numPr>
        <w:spacing w:before="55" w:after="55"/>
      </w:pPr>
      <w:r>
        <w:rPr>
          <w:b/>
          <w:bCs/>
          <w:color w:val="5D6D7E"/>
          <w:sz w:val="19"/>
          <w:szCs w:val="19"/>
        </w:rPr>
        <w:t xml:space="preserve">Mars 2019 – Déc. 2021</w:t>
      </w:r>
      <w:r>
        <w:rPr>
          <w:color w:val="5D6D7E"/>
          <w:sz w:val="19"/>
          <w:szCs w:val="19"/>
        </w:rPr>
        <w:t xml:space="preserve">  |  </w:t>
      </w:r>
      <w:r>
        <w:rPr>
          <w:b/>
          <w:bCs/>
          <w:sz w:val="19"/>
          <w:szCs w:val="19"/>
        </w:rPr>
        <w:t xml:space="preserve">Prunus Engineering — Cameroun</w:t>
      </w:r>
      <w:r>
        <w:rPr>
          <w:sz w:val="19"/>
          <w:szCs w:val="19"/>
        </w:rPr>
        <w:t xml:space="preserve">  –  Project Manager  –  </w:t>
      </w:r>
      <w:r>
        <w:rPr>
          <w:i/>
          <w:iCs/>
          <w:color w:val="5D6D7E"/>
          <w:sz w:val="18"/>
          <w:szCs w:val="18"/>
        </w:rPr>
        <w:t xml:space="preserve">Projets industriels O&amp;G — SCDP, Schlumberger, Halliburton, Perenco</w:t>
      </w:r>
    </w:p>
    <w:p w14:paraId="4E6777C9" w14:textId="77777777" w:rsidR="00C4623A" w:rsidRDefault="00000000">
      <w:pPr>
        <w:pStyle w:val="Paragraphedeliste"/>
        <w:numPr>
          <w:ilvl w:val="0"/>
          <w:numId w:val="2"/>
        </w:numPr>
        <w:spacing w:before="55" w:after="55"/>
      </w:pPr>
      <w:r>
        <w:rPr>
          <w:b/>
          <w:bCs/>
          <w:color w:val="5D6D7E"/>
          <w:sz w:val="19"/>
          <w:szCs w:val="19"/>
        </w:rPr>
        <w:t xml:space="preserve">Fév. 2015 – Mars 2016</w:t>
      </w:r>
      <w:r>
        <w:rPr>
          <w:color w:val="5D6D7E"/>
          <w:sz w:val="19"/>
          <w:szCs w:val="19"/>
        </w:rPr>
        <w:t xml:space="preserve">  |  </w:t>
      </w:r>
      <w:r>
        <w:rPr>
          <w:b/>
          <w:bCs/>
          <w:sz w:val="19"/>
          <w:szCs w:val="19"/>
        </w:rPr>
        <w:t xml:space="preserve">Foure Lagadec — Gabon</w:t>
      </w:r>
      <w:r>
        <w:rPr>
          <w:sz w:val="19"/>
          <w:szCs w:val="19"/>
        </w:rPr>
        <w:t xml:space="preserve">  –  Planning Engineer  –  </w:t>
      </w:r>
      <w:r>
        <w:rPr>
          <w:i/>
          <w:iCs/>
          <w:color w:val="5D6D7E"/>
          <w:sz w:val="18"/>
          <w:szCs w:val="18"/>
        </w:rPr>
        <w:t xml:space="preserve">Rénovation plateformes offshore Perenco (300 M USD) — Port-Gentil</w:t>
      </w:r>
    </w:p>
    <w:p w14:paraId="726B349B" w14:textId="77777777" w:rsidR="00C4623A" w:rsidRDefault="00000000">
      <w:pPr>
        <w:pStyle w:val="Paragraphedeliste"/>
        <w:numPr>
          <w:ilvl w:val="0"/>
          <w:numId w:val="2"/>
        </w:numPr>
        <w:spacing w:before="55" w:after="55"/>
      </w:pPr>
      <w:r>
        <w:rPr>
          <w:b/>
          <w:bCs/>
          <w:color w:val="5D6D7E"/>
          <w:sz w:val="19"/>
          <w:szCs w:val="19"/>
        </w:rPr>
        <w:t xml:space="preserve">Juin 2006 – Mars 2011</w:t>
      </w:r>
      <w:r>
        <w:rPr>
          <w:color w:val="5D6D7E"/>
          <w:sz w:val="19"/>
          <w:szCs w:val="19"/>
        </w:rPr>
        <w:t xml:space="preserve">  |  </w:t>
      </w:r>
      <w:r>
        <w:rPr>
          <w:b/>
          <w:bCs/>
          <w:sz w:val="19"/>
          <w:szCs w:val="19"/>
        </w:rPr>
        <w:t xml:space="preserve">Chantier Naval &amp; Industriel du Cameroun</w:t>
      </w:r>
      <w:r>
        <w:rPr>
          <w:sz w:val="19"/>
          <w:szCs w:val="19"/>
        </w:rPr>
        <w:t xml:space="preserve">  –  Support Planning  –  </w:t>
      </w:r>
      <w:r>
        <w:rPr>
          <w:i/>
          <w:iCs/>
          <w:color w:val="5D6D7E"/>
          <w:sz w:val="18"/>
          <w:szCs w:val="18"/>
        </w:rPr>
        <w:t xml:space="preserve">Rénovation rig de forage TRIDENT 14 &amp; SAIPEM Tad — opérations industrielles lourdes</w:t>
      </w:r>
    </w:p>
    <w:p w14:paraId="15CE1DB1" w14:textId="77777777" w:rsidR="00C4623A" w:rsidRDefault="00000000">
      <w:pPr>
        <w:pBdr>
          <w:bottom w:val="thick" w:sz="8" w:space="4" w:color="C8860A"/>
        </w:pBdr>
        <w:spacing w:before="320" w:after="120"/>
      </w:pPr>
      <w:r>
        <w:rPr>
          <w:b/>
          <w:bCs/>
          <w:color w:val="0D2B45"/>
          <w:sz w:val="24"/>
          <w:szCs w:val="24"/>
        </w:rPr>
        <w:t>PORTEFEUILLE DE PROJETS INTERNATIONAUX (CAPEX &gt; 8 Md USD)</w:t>
      </w:r>
    </w:p>
    <w:p w14:paraId="1F55BAB0" w14:textId="77777777" w:rsidR="00C4623A" w:rsidRDefault="00C4623A">
      <w:pPr>
        <w:spacing w:before="40"/>
      </w:pPr>
    </w:p>
    <w:tbl>
      <w:tblPr>
        <w:tblW w:w="10306" w:type="dxa"/>
        <w:tblBorders>
          <w:top w:val="single" w:sz="2" w:space="0" w:color="CCCCCC"/>
          <w:left w:val="single" w:sz="2" w:space="0" w:color="CCCCCC"/>
          <w:bottom w:val="single" w:sz="2" w:space="0" w:color="CCCCCC"/>
          <w:right w:val="single" w:sz="2"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27"/>
        <w:gridCol w:w="2424"/>
        <w:gridCol w:w="1313"/>
        <w:gridCol w:w="2430"/>
        <w:gridCol w:w="1212"/>
      </w:tblGrid>
      <w:tr w:rsidR="00C4623A" w14:paraId="42198CDE" w14:textId="77777777">
        <w:tblPrEx>
          <w:tblCellMar>
            <w:top w:w="0" w:type="dxa"/>
            <w:bottom w:w="0" w:type="dxa"/>
          </w:tblCellMar>
        </w:tblPrEx>
        <w:trPr>
          <w:tblHeader/>
        </w:trPr>
        <w:tc>
          <w:tcPr>
            <w:tcW w:w="2900" w:type="dxa"/>
            <w:shd w:val="clear" w:color="auto" w:fill="1B4F72"/>
            <w:tcMar>
              <w:top w:w="80" w:type="dxa"/>
              <w:left w:w="100" w:type="dxa"/>
              <w:bottom w:w="80" w:type="dxa"/>
              <w:right w:w="80" w:type="dxa"/>
            </w:tcMar>
          </w:tcPr>
          <w:p w14:paraId="36E7ABEF" w14:textId="77777777" w:rsidR="00C4623A" w:rsidRDefault="00000000">
            <w:r>
              <w:rPr>
                <w:b/>
                <w:bCs/>
                <w:color w:val="FFFFFF"/>
                <w:sz w:val="18"/>
                <w:szCs w:val="18"/>
              </w:rPr>
              <w:t>Projet</w:t>
            </w:r>
          </w:p>
        </w:tc>
        <w:tc>
          <w:tcPr>
            <w:tcW w:w="2400" w:type="dxa"/>
            <w:shd w:val="clear" w:color="auto" w:fill="1B4F72"/>
            <w:tcMar>
              <w:top w:w="80" w:type="dxa"/>
              <w:left w:w="100" w:type="dxa"/>
              <w:bottom w:w="80" w:type="dxa"/>
              <w:right w:w="80" w:type="dxa"/>
            </w:tcMar>
          </w:tcPr>
          <w:p w14:paraId="70BBB9ED" w14:textId="77777777" w:rsidR="00C4623A" w:rsidRDefault="00000000">
            <w:r>
              <w:rPr>
                <w:b/>
                <w:bCs/>
                <w:color w:val="FFFFFF"/>
                <w:sz w:val="18"/>
                <w:szCs w:val="18"/>
              </w:rPr>
              <w:t>Client / Donneur d'ordre</w:t>
            </w:r>
          </w:p>
        </w:tc>
        <w:tc>
          <w:tcPr>
            <w:tcW w:w="1300" w:type="dxa"/>
            <w:shd w:val="clear" w:color="auto" w:fill="1B4F72"/>
            <w:tcMar>
              <w:top w:w="80" w:type="dxa"/>
              <w:left w:w="100" w:type="dxa"/>
              <w:bottom w:w="80" w:type="dxa"/>
              <w:right w:w="80" w:type="dxa"/>
            </w:tcMar>
          </w:tcPr>
          <w:p w14:paraId="6CD8AB96" w14:textId="77777777" w:rsidR="00C4623A" w:rsidRDefault="00000000">
            <w:r>
              <w:rPr>
                <w:b/>
                <w:bCs/>
                <w:color w:val="FFFFFF"/>
                <w:sz w:val="18"/>
                <w:szCs w:val="18"/>
              </w:rPr>
              <w:t>CAPEX</w:t>
            </w:r>
          </w:p>
        </w:tc>
        <w:tc>
          <w:tcPr>
            <w:tcW w:w="2406" w:type="dxa"/>
            <w:shd w:val="clear" w:color="auto" w:fill="1B4F72"/>
            <w:tcMar>
              <w:top w:w="80" w:type="dxa"/>
              <w:left w:w="100" w:type="dxa"/>
              <w:bottom w:w="80" w:type="dxa"/>
              <w:right w:w="80" w:type="dxa"/>
            </w:tcMar>
          </w:tcPr>
          <w:p w14:paraId="4F3B884F" w14:textId="77777777" w:rsidR="00C4623A" w:rsidRDefault="00000000">
            <w:r>
              <w:rPr>
                <w:b/>
                <w:bCs/>
                <w:color w:val="FFFFFF"/>
                <w:sz w:val="18"/>
                <w:szCs w:val="18"/>
              </w:rPr>
              <w:t>Rôle</w:t>
            </w:r>
          </w:p>
        </w:tc>
        <w:tc>
          <w:tcPr>
            <w:tcW w:w="1200" w:type="dxa"/>
            <w:shd w:val="clear" w:color="auto" w:fill="1B4F72"/>
            <w:tcMar>
              <w:top w:w="80" w:type="dxa"/>
              <w:left w:w="100" w:type="dxa"/>
              <w:bottom w:w="80" w:type="dxa"/>
              <w:right w:w="80" w:type="dxa"/>
            </w:tcMar>
          </w:tcPr>
          <w:p w14:paraId="39E9316A" w14:textId="77777777" w:rsidR="00C4623A" w:rsidRDefault="00000000">
            <w:r>
              <w:rPr>
                <w:b/>
                <w:bCs/>
                <w:color w:val="FFFFFF"/>
                <w:sz w:val="18"/>
                <w:szCs w:val="18"/>
              </w:rPr>
              <w:t>Type</w:t>
            </w:r>
          </w:p>
        </w:tc>
      </w:tr>
      <w:tr w:rsidR="00C4623A" w14:paraId="3FF60932" w14:textId="77777777">
        <w:tblPrEx>
          <w:tblCellMar>
            <w:top w:w="0" w:type="dxa"/>
            <w:bottom w:w="0" w:type="dxa"/>
          </w:tblCellMar>
        </w:tblPrEx>
        <w:tc>
          <w:tcPr>
            <w:tcW w:w="2900" w:type="dxa"/>
            <w:tcBorders>
              <w:top w:val="none" w:sz="0" w:space="0" w:color="FFFFFF"/>
              <w:left w:val="none" w:sz="0" w:space="0" w:color="FFFFFF"/>
              <w:bottom w:val="none" w:sz="0" w:space="0" w:color="FFFFFF"/>
              <w:right w:val="none" w:sz="0" w:space="0" w:color="FFFFFF"/>
            </w:tcBorders>
            <w:shd w:val="clear" w:color="auto" w:fill="FFFFFF"/>
            <w:tcMar>
              <w:top w:w="70" w:type="dxa"/>
              <w:left w:w="100" w:type="dxa"/>
              <w:bottom w:w="70" w:type="dxa"/>
              <w:right w:w="80" w:type="dxa"/>
            </w:tcMar>
          </w:tcPr>
          <w:p w14:paraId="693E06EC" w14:textId="77777777" w:rsidR="00C4623A" w:rsidRDefault="00000000">
            <w:r>
              <w:rPr>
                <w:b/>
                <w:bCs/>
                <w:sz w:val="17"/>
                <w:szCs w:val="17"/>
              </w:rPr>
              <w:t>Centrale Hydroélectrique Nachtigal EPCC (420 MW)</w:t>
            </w:r>
          </w:p>
        </w:tc>
        <w:tc>
          <w:tcPr>
            <w:tcW w:w="2400" w:type="dxa"/>
            <w:tcBorders>
              <w:top w:val="none" w:sz="0" w:space="0" w:color="FFFFFF"/>
              <w:left w:val="none" w:sz="0" w:space="0" w:color="FFFFFF"/>
              <w:bottom w:val="none" w:sz="0" w:space="0" w:color="FFFFFF"/>
              <w:right w:val="none" w:sz="0" w:space="0" w:color="FFFFFF"/>
            </w:tcBorders>
            <w:shd w:val="clear" w:color="auto" w:fill="FFFFFF"/>
            <w:tcMar>
              <w:top w:w="70" w:type="dxa"/>
              <w:left w:w="100" w:type="dxa"/>
              <w:bottom w:w="70" w:type="dxa"/>
              <w:right w:w="80" w:type="dxa"/>
            </w:tcMar>
          </w:tcPr>
          <w:p w14:paraId="0B9C899E" w14:textId="77777777" w:rsidR="00C4623A" w:rsidRDefault="00000000">
            <w:r>
              <w:rPr>
                <w:sz w:val="17"/>
                <w:szCs w:val="17"/>
              </w:rPr>
              <w:t xml:space="preserve">GE Vernova / NHPC</w:t>
            </w:r>
          </w:p>
        </w:tc>
        <w:tc>
          <w:tcPr>
            <w:tcW w:w="1300" w:type="dxa"/>
            <w:tcBorders>
              <w:top w:val="none" w:sz="0" w:space="0" w:color="FFFFFF"/>
              <w:left w:val="none" w:sz="0" w:space="0" w:color="FFFFFF"/>
              <w:bottom w:val="none" w:sz="0" w:space="0" w:color="FFFFFF"/>
              <w:right w:val="none" w:sz="0" w:space="0" w:color="FFFFFF"/>
            </w:tcBorders>
            <w:shd w:val="clear" w:color="auto" w:fill="FFFFFF"/>
            <w:tcMar>
              <w:top w:w="70" w:type="dxa"/>
              <w:left w:w="100" w:type="dxa"/>
              <w:bottom w:w="70" w:type="dxa"/>
              <w:right w:w="80" w:type="dxa"/>
            </w:tcMar>
          </w:tcPr>
          <w:p w14:paraId="0F582BDF" w14:textId="77777777" w:rsidR="00C4623A" w:rsidRDefault="00000000">
            <w:r>
              <w:rPr>
                <w:sz w:val="17"/>
                <w:szCs w:val="17"/>
              </w:rPr>
              <w:t>1,2 Md USD</w:t>
            </w:r>
          </w:p>
        </w:tc>
        <w:tc>
          <w:tcPr>
            <w:tcW w:w="2406" w:type="dxa"/>
            <w:tcBorders>
              <w:top w:val="none" w:sz="0" w:space="0" w:color="FFFFFF"/>
              <w:left w:val="none" w:sz="0" w:space="0" w:color="FFFFFF"/>
              <w:bottom w:val="none" w:sz="0" w:space="0" w:color="FFFFFF"/>
              <w:right w:val="none" w:sz="0" w:space="0" w:color="FFFFFF"/>
            </w:tcBorders>
            <w:shd w:val="clear" w:color="auto" w:fill="FFFFFF"/>
            <w:tcMar>
              <w:top w:w="70" w:type="dxa"/>
              <w:left w:w="100" w:type="dxa"/>
              <w:bottom w:w="70" w:type="dxa"/>
              <w:right w:w="80" w:type="dxa"/>
            </w:tcMar>
          </w:tcPr>
          <w:p w14:paraId="4497C9B3" w14:textId="77777777" w:rsidR="00C4623A" w:rsidRDefault="00000000">
            <w:r>
              <w:rPr>
                <w:sz w:val="17"/>
                <w:szCs w:val="17"/>
              </w:rPr>
              <w:t>Lead Planning &amp; Project Controls</w:t>
            </w:r>
          </w:p>
        </w:tc>
        <w:tc>
          <w:tcPr>
            <w:tcW w:w="1200" w:type="dxa"/>
            <w:tcBorders>
              <w:top w:val="none" w:sz="0" w:space="0" w:color="FFFFFF"/>
              <w:left w:val="none" w:sz="0" w:space="0" w:color="FFFFFF"/>
              <w:bottom w:val="none" w:sz="0" w:space="0" w:color="FFFFFF"/>
              <w:right w:val="none" w:sz="0" w:space="0" w:color="FFFFFF"/>
            </w:tcBorders>
            <w:shd w:val="clear" w:color="auto" w:fill="FFFFFF"/>
            <w:tcMar>
              <w:top w:w="70" w:type="dxa"/>
              <w:left w:w="100" w:type="dxa"/>
              <w:bottom w:w="70" w:type="dxa"/>
              <w:right w:w="80" w:type="dxa"/>
            </w:tcMar>
          </w:tcPr>
          <w:p w14:paraId="0E21C101" w14:textId="77777777" w:rsidR="00C4623A" w:rsidRDefault="00000000">
            <w:r>
              <w:rPr>
                <w:sz w:val="17"/>
                <w:szCs w:val="17"/>
              </w:rPr>
              <w:t>Greenfield EPCC</w:t>
            </w:r>
          </w:p>
        </w:tc>
      </w:tr>
      <w:tr w:rsidR="00C4623A" w14:paraId="1FF5B916" w14:textId="77777777">
        <w:tblPrEx>
          <w:tblCellMar>
            <w:top w:w="0" w:type="dxa"/>
            <w:bottom w:w="0" w:type="dxa"/>
          </w:tblCellMar>
        </w:tblPrEx>
        <w:tc>
          <w:tcPr>
            <w:tcW w:w="2900" w:type="dxa"/>
            <w:tcBorders>
              <w:top w:val="none" w:sz="0" w:space="0" w:color="FFFFFF"/>
              <w:left w:val="none" w:sz="0" w:space="0" w:color="FFFFFF"/>
              <w:bottom w:val="none" w:sz="0" w:space="0" w:color="FFFFFF"/>
              <w:right w:val="none" w:sz="0" w:space="0" w:color="FFFFFF"/>
            </w:tcBorders>
            <w:shd w:val="clear" w:color="auto" w:fill="F4F8FF"/>
            <w:tcMar>
              <w:top w:w="70" w:type="dxa"/>
              <w:left w:w="100" w:type="dxa"/>
              <w:bottom w:w="70" w:type="dxa"/>
              <w:right w:w="80" w:type="dxa"/>
            </w:tcMar>
          </w:tcPr>
          <w:p w14:paraId="5CCBA817" w14:textId="77777777" w:rsidR="00C4623A" w:rsidRDefault="00000000">
            <w:r>
              <w:rPr>
                <w:b/>
                <w:bCs/>
                <w:sz w:val="17"/>
                <w:szCs w:val="17"/>
              </w:rPr>
              <w:lastRenderedPageBreak/>
              <w:t>Redéveloppement Centrale Anguille</w:t>
            </w:r>
          </w:p>
        </w:tc>
        <w:tc>
          <w:tcPr>
            <w:tcW w:w="2400" w:type="dxa"/>
            <w:tcBorders>
              <w:top w:val="none" w:sz="0" w:space="0" w:color="FFFFFF"/>
              <w:left w:val="none" w:sz="0" w:space="0" w:color="FFFFFF"/>
              <w:bottom w:val="none" w:sz="0" w:space="0" w:color="FFFFFF"/>
              <w:right w:val="none" w:sz="0" w:space="0" w:color="FFFFFF"/>
            </w:tcBorders>
            <w:shd w:val="clear" w:color="auto" w:fill="F4F8FF"/>
            <w:tcMar>
              <w:top w:w="70" w:type="dxa"/>
              <w:left w:w="100" w:type="dxa"/>
              <w:bottom w:w="70" w:type="dxa"/>
              <w:right w:w="80" w:type="dxa"/>
            </w:tcMar>
          </w:tcPr>
          <w:p w14:paraId="0BFC6DE6" w14:textId="77777777" w:rsidR="00C4623A" w:rsidRDefault="00000000">
            <w:r>
              <w:rPr>
                <w:sz w:val="17"/>
                <w:szCs w:val="17"/>
              </w:rPr>
              <w:t xml:space="preserve">TotalEnergies Gabon</w:t>
            </w:r>
          </w:p>
        </w:tc>
        <w:tc>
          <w:tcPr>
            <w:tcW w:w="1300" w:type="dxa"/>
            <w:tcBorders>
              <w:top w:val="none" w:sz="0" w:space="0" w:color="FFFFFF"/>
              <w:left w:val="none" w:sz="0" w:space="0" w:color="FFFFFF"/>
              <w:bottom w:val="none" w:sz="0" w:space="0" w:color="FFFFFF"/>
              <w:right w:val="none" w:sz="0" w:space="0" w:color="FFFFFF"/>
            </w:tcBorders>
            <w:shd w:val="clear" w:color="auto" w:fill="F4F8FF"/>
            <w:tcMar>
              <w:top w:w="70" w:type="dxa"/>
              <w:left w:w="100" w:type="dxa"/>
              <w:bottom w:w="70" w:type="dxa"/>
              <w:right w:w="80" w:type="dxa"/>
            </w:tcMar>
          </w:tcPr>
          <w:p w14:paraId="6E10C77A" w14:textId="77777777" w:rsidR="00C4623A" w:rsidRDefault="00000000">
            <w:r>
              <w:rPr>
                <w:sz w:val="17"/>
                <w:szCs w:val="17"/>
              </w:rPr>
              <w:t>2,5 Md USD</w:t>
            </w:r>
          </w:p>
        </w:tc>
        <w:tc>
          <w:tcPr>
            <w:tcW w:w="2406" w:type="dxa"/>
            <w:tcBorders>
              <w:top w:val="none" w:sz="0" w:space="0" w:color="FFFFFF"/>
              <w:left w:val="none" w:sz="0" w:space="0" w:color="FFFFFF"/>
              <w:bottom w:val="none" w:sz="0" w:space="0" w:color="FFFFFF"/>
              <w:right w:val="none" w:sz="0" w:space="0" w:color="FFFFFF"/>
            </w:tcBorders>
            <w:shd w:val="clear" w:color="auto" w:fill="F4F8FF"/>
            <w:tcMar>
              <w:top w:w="70" w:type="dxa"/>
              <w:left w:w="100" w:type="dxa"/>
              <w:bottom w:w="70" w:type="dxa"/>
              <w:right w:w="80" w:type="dxa"/>
            </w:tcMar>
          </w:tcPr>
          <w:p w14:paraId="14C172A2" w14:textId="77777777" w:rsidR="00C4623A" w:rsidRDefault="00000000">
            <w:r>
              <w:rPr>
                <w:sz w:val="17"/>
                <w:szCs w:val="17"/>
              </w:rPr>
              <w:t>Ingénieur Projet &amp; Planning</w:t>
            </w:r>
          </w:p>
        </w:tc>
        <w:tc>
          <w:tcPr>
            <w:tcW w:w="1200" w:type="dxa"/>
            <w:tcBorders>
              <w:top w:val="none" w:sz="0" w:space="0" w:color="FFFFFF"/>
              <w:left w:val="none" w:sz="0" w:space="0" w:color="FFFFFF"/>
              <w:bottom w:val="none" w:sz="0" w:space="0" w:color="FFFFFF"/>
              <w:right w:val="none" w:sz="0" w:space="0" w:color="FFFFFF"/>
            </w:tcBorders>
            <w:shd w:val="clear" w:color="auto" w:fill="F4F8FF"/>
            <w:tcMar>
              <w:top w:w="70" w:type="dxa"/>
              <w:left w:w="100" w:type="dxa"/>
              <w:bottom w:w="70" w:type="dxa"/>
              <w:right w:w="80" w:type="dxa"/>
            </w:tcMar>
          </w:tcPr>
          <w:p w14:paraId="5C576620" w14:textId="77777777" w:rsidR="00C4623A" w:rsidRDefault="00000000">
            <w:r>
              <w:rPr>
                <w:sz w:val="17"/>
                <w:szCs w:val="17"/>
              </w:rPr>
              <w:t>Brownfield</w:t>
            </w:r>
          </w:p>
        </w:tc>
      </w:tr>
      <w:tr w:rsidR="00C4623A" w14:paraId="0C898A74" w14:textId="77777777">
        <w:tblPrEx>
          <w:tblCellMar>
            <w:top w:w="0" w:type="dxa"/>
            <w:bottom w:w="0" w:type="dxa"/>
          </w:tblCellMar>
        </w:tblPrEx>
        <w:tc>
          <w:tcPr>
            <w:tcW w:w="2900" w:type="dxa"/>
            <w:tcBorders>
              <w:top w:val="none" w:sz="0" w:space="0" w:color="FFFFFF"/>
              <w:left w:val="none" w:sz="0" w:space="0" w:color="FFFFFF"/>
              <w:bottom w:val="none" w:sz="0" w:space="0" w:color="FFFFFF"/>
              <w:right w:val="none" w:sz="0" w:space="0" w:color="FFFFFF"/>
            </w:tcBorders>
            <w:shd w:val="clear" w:color="auto" w:fill="FFFFFF"/>
            <w:tcMar>
              <w:top w:w="70" w:type="dxa"/>
              <w:left w:w="100" w:type="dxa"/>
              <w:bottom w:w="70" w:type="dxa"/>
              <w:right w:w="80" w:type="dxa"/>
            </w:tcMar>
          </w:tcPr>
          <w:p w14:paraId="30CA4434" w14:textId="77777777" w:rsidR="00C4623A" w:rsidRDefault="00000000">
            <w:r>
              <w:rPr>
                <w:b/>
                <w:bCs/>
                <w:sz w:val="17"/>
                <w:szCs w:val="17"/>
              </w:rPr>
              <w:t xml:space="preserve">Portefeuille TotalEnergies Congo ×4</w:t>
            </w:r>
          </w:p>
        </w:tc>
        <w:tc>
          <w:tcPr>
            <w:tcW w:w="2400" w:type="dxa"/>
            <w:tcBorders>
              <w:top w:val="none" w:sz="0" w:space="0" w:color="FFFFFF"/>
              <w:left w:val="none" w:sz="0" w:space="0" w:color="FFFFFF"/>
              <w:bottom w:val="none" w:sz="0" w:space="0" w:color="FFFFFF"/>
              <w:right w:val="none" w:sz="0" w:space="0" w:color="FFFFFF"/>
            </w:tcBorders>
            <w:shd w:val="clear" w:color="auto" w:fill="FFFFFF"/>
            <w:tcMar>
              <w:top w:w="70" w:type="dxa"/>
              <w:left w:w="100" w:type="dxa"/>
              <w:bottom w:w="70" w:type="dxa"/>
              <w:right w:w="80" w:type="dxa"/>
            </w:tcMar>
          </w:tcPr>
          <w:p w14:paraId="5AA7561B" w14:textId="77777777" w:rsidR="00C4623A" w:rsidRDefault="00000000">
            <w:r>
              <w:rPr>
                <w:sz w:val="17"/>
                <w:szCs w:val="17"/>
              </w:rPr>
              <w:t xml:space="preserve">TotalEnergies Congo</w:t>
            </w:r>
          </w:p>
        </w:tc>
        <w:tc>
          <w:tcPr>
            <w:tcW w:w="1300" w:type="dxa"/>
            <w:tcBorders>
              <w:top w:val="none" w:sz="0" w:space="0" w:color="FFFFFF"/>
              <w:left w:val="none" w:sz="0" w:space="0" w:color="FFFFFF"/>
              <w:bottom w:val="none" w:sz="0" w:space="0" w:color="FFFFFF"/>
              <w:right w:val="none" w:sz="0" w:space="0" w:color="FFFFFF"/>
            </w:tcBorders>
            <w:shd w:val="clear" w:color="auto" w:fill="FFFFFF"/>
            <w:tcMar>
              <w:top w:w="70" w:type="dxa"/>
              <w:left w:w="100" w:type="dxa"/>
              <w:bottom w:w="70" w:type="dxa"/>
              <w:right w:w="80" w:type="dxa"/>
            </w:tcMar>
          </w:tcPr>
          <w:p w14:paraId="609F3421" w14:textId="77777777" w:rsidR="00C4623A" w:rsidRDefault="00000000">
            <w:r>
              <w:rPr>
                <w:sz w:val="17"/>
                <w:szCs w:val="17"/>
              </w:rPr>
              <w:t>1,5 Md USD+</w:t>
            </w:r>
          </w:p>
        </w:tc>
        <w:tc>
          <w:tcPr>
            <w:tcW w:w="2406" w:type="dxa"/>
            <w:tcBorders>
              <w:top w:val="none" w:sz="0" w:space="0" w:color="FFFFFF"/>
              <w:left w:val="none" w:sz="0" w:space="0" w:color="FFFFFF"/>
              <w:bottom w:val="none" w:sz="0" w:space="0" w:color="FFFFFF"/>
              <w:right w:val="none" w:sz="0" w:space="0" w:color="FFFFFF"/>
            </w:tcBorders>
            <w:shd w:val="clear" w:color="auto" w:fill="FFFFFF"/>
            <w:tcMar>
              <w:top w:w="70" w:type="dxa"/>
              <w:left w:w="100" w:type="dxa"/>
              <w:bottom w:w="70" w:type="dxa"/>
              <w:right w:w="80" w:type="dxa"/>
            </w:tcMar>
          </w:tcPr>
          <w:p w14:paraId="569FCC86" w14:textId="77777777" w:rsidR="00C4623A" w:rsidRDefault="00000000">
            <w:r>
              <w:rPr>
                <w:sz w:val="17"/>
                <w:szCs w:val="17"/>
              </w:rPr>
              <w:t>Senior Planning Lead</w:t>
            </w:r>
          </w:p>
        </w:tc>
        <w:tc>
          <w:tcPr>
            <w:tcW w:w="1200" w:type="dxa"/>
            <w:tcBorders>
              <w:top w:val="none" w:sz="0" w:space="0" w:color="FFFFFF"/>
              <w:left w:val="none" w:sz="0" w:space="0" w:color="FFFFFF"/>
              <w:bottom w:val="none" w:sz="0" w:space="0" w:color="FFFFFF"/>
              <w:right w:val="none" w:sz="0" w:space="0" w:color="FFFFFF"/>
            </w:tcBorders>
            <w:shd w:val="clear" w:color="auto" w:fill="FFFFFF"/>
            <w:tcMar>
              <w:top w:w="70" w:type="dxa"/>
              <w:left w:w="100" w:type="dxa"/>
              <w:bottom w:w="70" w:type="dxa"/>
              <w:right w:w="80" w:type="dxa"/>
            </w:tcMar>
          </w:tcPr>
          <w:p w14:paraId="4B761828" w14:textId="77777777" w:rsidR="00C4623A" w:rsidRDefault="00000000">
            <w:r>
              <w:rPr>
                <w:sz w:val="17"/>
                <w:szCs w:val="17"/>
              </w:rPr>
              <w:t>Portefeuille offshore</w:t>
            </w:r>
          </w:p>
        </w:tc>
      </w:tr>
      <w:tr w:rsidR="00C4623A" w14:paraId="64830552" w14:textId="77777777">
        <w:tblPrEx>
          <w:tblCellMar>
            <w:top w:w="0" w:type="dxa"/>
            <w:bottom w:w="0" w:type="dxa"/>
          </w:tblCellMar>
        </w:tblPrEx>
        <w:tc>
          <w:tcPr>
            <w:tcW w:w="2900" w:type="dxa"/>
            <w:tcBorders>
              <w:top w:val="none" w:sz="0" w:space="0" w:color="FFFFFF"/>
              <w:left w:val="none" w:sz="0" w:space="0" w:color="FFFFFF"/>
              <w:bottom w:val="none" w:sz="0" w:space="0" w:color="FFFFFF"/>
              <w:right w:val="none" w:sz="0" w:space="0" w:color="FFFFFF"/>
            </w:tcBorders>
            <w:shd w:val="clear" w:color="auto" w:fill="F4F8FF"/>
            <w:tcMar>
              <w:top w:w="70" w:type="dxa"/>
              <w:left w:w="100" w:type="dxa"/>
              <w:bottom w:w="70" w:type="dxa"/>
              <w:right w:w="80" w:type="dxa"/>
            </w:tcMar>
          </w:tcPr>
          <w:p w14:paraId="13914867" w14:textId="77777777" w:rsidR="00C4623A" w:rsidRDefault="00000000">
            <w:r>
              <w:rPr>
                <w:b/>
                <w:bCs/>
                <w:sz w:val="17"/>
                <w:szCs w:val="17"/>
              </w:rPr>
              <w:t>Pipeline EPC 100 km</w:t>
            </w:r>
          </w:p>
        </w:tc>
        <w:tc>
          <w:tcPr>
            <w:tcW w:w="2400" w:type="dxa"/>
            <w:tcBorders>
              <w:top w:val="none" w:sz="0" w:space="0" w:color="FFFFFF"/>
              <w:left w:val="none" w:sz="0" w:space="0" w:color="FFFFFF"/>
              <w:bottom w:val="none" w:sz="0" w:space="0" w:color="FFFFFF"/>
              <w:right w:val="none" w:sz="0" w:space="0" w:color="FFFFFF"/>
            </w:tcBorders>
            <w:shd w:val="clear" w:color="auto" w:fill="F4F8FF"/>
            <w:tcMar>
              <w:top w:w="70" w:type="dxa"/>
              <w:left w:w="100" w:type="dxa"/>
              <w:bottom w:w="70" w:type="dxa"/>
              <w:right w:w="80" w:type="dxa"/>
            </w:tcMar>
          </w:tcPr>
          <w:p w14:paraId="47935D1A" w14:textId="77777777" w:rsidR="00C4623A" w:rsidRDefault="00000000">
            <w:r>
              <w:rPr>
                <w:sz w:val="17"/>
                <w:szCs w:val="17"/>
              </w:rPr>
              <w:t xml:space="preserve">Perenco Cameroun</w:t>
            </w:r>
          </w:p>
        </w:tc>
        <w:tc>
          <w:tcPr>
            <w:tcW w:w="1300" w:type="dxa"/>
            <w:tcBorders>
              <w:top w:val="none" w:sz="0" w:space="0" w:color="FFFFFF"/>
              <w:left w:val="none" w:sz="0" w:space="0" w:color="FFFFFF"/>
              <w:bottom w:val="none" w:sz="0" w:space="0" w:color="FFFFFF"/>
              <w:right w:val="none" w:sz="0" w:space="0" w:color="FFFFFF"/>
            </w:tcBorders>
            <w:shd w:val="clear" w:color="auto" w:fill="F4F8FF"/>
            <w:tcMar>
              <w:top w:w="70" w:type="dxa"/>
              <w:left w:w="100" w:type="dxa"/>
              <w:bottom w:w="70" w:type="dxa"/>
              <w:right w:w="80" w:type="dxa"/>
            </w:tcMar>
          </w:tcPr>
          <w:p w14:paraId="7B67856F" w14:textId="77777777" w:rsidR="00C4623A" w:rsidRDefault="00000000">
            <w:r>
              <w:rPr>
                <w:sz w:val="17"/>
                <w:szCs w:val="17"/>
              </w:rPr>
              <w:t>600 M USD</w:t>
            </w:r>
          </w:p>
        </w:tc>
        <w:tc>
          <w:tcPr>
            <w:tcW w:w="2406" w:type="dxa"/>
            <w:tcBorders>
              <w:top w:val="none" w:sz="0" w:space="0" w:color="FFFFFF"/>
              <w:left w:val="none" w:sz="0" w:space="0" w:color="FFFFFF"/>
              <w:bottom w:val="none" w:sz="0" w:space="0" w:color="FFFFFF"/>
              <w:right w:val="none" w:sz="0" w:space="0" w:color="FFFFFF"/>
            </w:tcBorders>
            <w:shd w:val="clear" w:color="auto" w:fill="F4F8FF"/>
            <w:tcMar>
              <w:top w:w="70" w:type="dxa"/>
              <w:left w:w="100" w:type="dxa"/>
              <w:bottom w:w="70" w:type="dxa"/>
              <w:right w:w="80" w:type="dxa"/>
            </w:tcMar>
          </w:tcPr>
          <w:p w14:paraId="4D76EF1B" w14:textId="77777777" w:rsidR="00C4623A" w:rsidRDefault="00000000">
            <w:r>
              <w:rPr>
                <w:sz w:val="17"/>
                <w:szCs w:val="17"/>
              </w:rPr>
              <w:t>Planning Manager</w:t>
            </w:r>
          </w:p>
        </w:tc>
        <w:tc>
          <w:tcPr>
            <w:tcW w:w="1200" w:type="dxa"/>
            <w:tcBorders>
              <w:top w:val="none" w:sz="0" w:space="0" w:color="FFFFFF"/>
              <w:left w:val="none" w:sz="0" w:space="0" w:color="FFFFFF"/>
              <w:bottom w:val="none" w:sz="0" w:space="0" w:color="FFFFFF"/>
              <w:right w:val="none" w:sz="0" w:space="0" w:color="FFFFFF"/>
            </w:tcBorders>
            <w:shd w:val="clear" w:color="auto" w:fill="F4F8FF"/>
            <w:tcMar>
              <w:top w:w="70" w:type="dxa"/>
              <w:left w:w="100" w:type="dxa"/>
              <w:bottom w:w="70" w:type="dxa"/>
              <w:right w:w="80" w:type="dxa"/>
            </w:tcMar>
          </w:tcPr>
          <w:p w14:paraId="66BFBB58" w14:textId="77777777" w:rsidR="00C4623A" w:rsidRDefault="00000000">
            <w:r>
              <w:rPr>
                <w:sz w:val="17"/>
                <w:szCs w:val="17"/>
              </w:rPr>
              <w:t>Greenfield EPC</w:t>
            </w:r>
          </w:p>
        </w:tc>
      </w:tr>
      <w:tr w:rsidR="00C4623A" w14:paraId="68D9DE41" w14:textId="77777777">
        <w:tblPrEx>
          <w:tblCellMar>
            <w:top w:w="0" w:type="dxa"/>
            <w:bottom w:w="0" w:type="dxa"/>
          </w:tblCellMar>
        </w:tblPrEx>
        <w:tc>
          <w:tcPr>
            <w:tcW w:w="2900" w:type="dxa"/>
            <w:tcBorders>
              <w:top w:val="none" w:sz="0" w:space="0" w:color="FFFFFF"/>
              <w:left w:val="none" w:sz="0" w:space="0" w:color="FFFFFF"/>
              <w:bottom w:val="none" w:sz="0" w:space="0" w:color="FFFFFF"/>
              <w:right w:val="none" w:sz="0" w:space="0" w:color="FFFFFF"/>
            </w:tcBorders>
            <w:shd w:val="clear" w:color="auto" w:fill="FFFFFF"/>
            <w:tcMar>
              <w:top w:w="70" w:type="dxa"/>
              <w:left w:w="100" w:type="dxa"/>
              <w:bottom w:w="70" w:type="dxa"/>
              <w:right w:w="80" w:type="dxa"/>
            </w:tcMar>
          </w:tcPr>
          <w:p w14:paraId="116FF947" w14:textId="77777777" w:rsidR="00C4623A" w:rsidRDefault="00000000">
            <w:r>
              <w:rPr>
                <w:b/>
                <w:bCs/>
                <w:sz w:val="17"/>
                <w:szCs w:val="17"/>
              </w:rPr>
              <w:t>Arrêt technique Raffinerie SONARA</w:t>
            </w:r>
          </w:p>
        </w:tc>
        <w:tc>
          <w:tcPr>
            <w:tcW w:w="2400" w:type="dxa"/>
            <w:tcBorders>
              <w:top w:val="none" w:sz="0" w:space="0" w:color="FFFFFF"/>
              <w:left w:val="none" w:sz="0" w:space="0" w:color="FFFFFF"/>
              <w:bottom w:val="none" w:sz="0" w:space="0" w:color="FFFFFF"/>
              <w:right w:val="none" w:sz="0" w:space="0" w:color="FFFFFF"/>
            </w:tcBorders>
            <w:shd w:val="clear" w:color="auto" w:fill="FFFFFF"/>
            <w:tcMar>
              <w:top w:w="70" w:type="dxa"/>
              <w:left w:w="100" w:type="dxa"/>
              <w:bottom w:w="70" w:type="dxa"/>
              <w:right w:w="80" w:type="dxa"/>
            </w:tcMar>
          </w:tcPr>
          <w:p w14:paraId="0FBACE25" w14:textId="77777777" w:rsidR="00C4623A" w:rsidRDefault="00000000">
            <w:r>
              <w:rPr>
                <w:sz w:val="17"/>
                <w:szCs w:val="17"/>
              </w:rPr>
              <w:t>Foster Wheeler / Friedlander</w:t>
            </w:r>
          </w:p>
        </w:tc>
        <w:tc>
          <w:tcPr>
            <w:tcW w:w="1300" w:type="dxa"/>
            <w:tcBorders>
              <w:top w:val="none" w:sz="0" w:space="0" w:color="FFFFFF"/>
              <w:left w:val="none" w:sz="0" w:space="0" w:color="FFFFFF"/>
              <w:bottom w:val="none" w:sz="0" w:space="0" w:color="FFFFFF"/>
              <w:right w:val="none" w:sz="0" w:space="0" w:color="FFFFFF"/>
            </w:tcBorders>
            <w:shd w:val="clear" w:color="auto" w:fill="FFFFFF"/>
            <w:tcMar>
              <w:top w:w="70" w:type="dxa"/>
              <w:left w:w="100" w:type="dxa"/>
              <w:bottom w:w="70" w:type="dxa"/>
              <w:right w:w="80" w:type="dxa"/>
            </w:tcMar>
          </w:tcPr>
          <w:p w14:paraId="0C832182" w14:textId="77777777" w:rsidR="00C4623A" w:rsidRDefault="00000000">
            <w:r>
              <w:rPr>
                <w:sz w:val="17"/>
                <w:szCs w:val="17"/>
              </w:rPr>
              <w:t>600 M USD</w:t>
            </w:r>
          </w:p>
        </w:tc>
        <w:tc>
          <w:tcPr>
            <w:tcW w:w="2406" w:type="dxa"/>
            <w:tcBorders>
              <w:top w:val="none" w:sz="0" w:space="0" w:color="FFFFFF"/>
              <w:left w:val="none" w:sz="0" w:space="0" w:color="FFFFFF"/>
              <w:bottom w:val="none" w:sz="0" w:space="0" w:color="FFFFFF"/>
              <w:right w:val="none" w:sz="0" w:space="0" w:color="FFFFFF"/>
            </w:tcBorders>
            <w:shd w:val="clear" w:color="auto" w:fill="FFFFFF"/>
            <w:tcMar>
              <w:top w:w="70" w:type="dxa"/>
              <w:left w:w="100" w:type="dxa"/>
              <w:bottom w:w="70" w:type="dxa"/>
              <w:right w:w="80" w:type="dxa"/>
            </w:tcMar>
          </w:tcPr>
          <w:p w14:paraId="1DA93752" w14:textId="77777777" w:rsidR="00C4623A" w:rsidRDefault="00000000">
            <w:r>
              <w:rPr>
                <w:sz w:val="17"/>
                <w:szCs w:val="17"/>
              </w:rPr>
              <w:t>Ingénieur Projet &amp; Planning</w:t>
            </w:r>
          </w:p>
        </w:tc>
        <w:tc>
          <w:tcPr>
            <w:tcW w:w="1200" w:type="dxa"/>
            <w:tcBorders>
              <w:top w:val="none" w:sz="0" w:space="0" w:color="FFFFFF"/>
              <w:left w:val="none" w:sz="0" w:space="0" w:color="FFFFFF"/>
              <w:bottom w:val="none" w:sz="0" w:space="0" w:color="FFFFFF"/>
              <w:right w:val="none" w:sz="0" w:space="0" w:color="FFFFFF"/>
            </w:tcBorders>
            <w:shd w:val="clear" w:color="auto" w:fill="FFFFFF"/>
            <w:tcMar>
              <w:top w:w="70" w:type="dxa"/>
              <w:left w:w="100" w:type="dxa"/>
              <w:bottom w:w="70" w:type="dxa"/>
              <w:right w:w="80" w:type="dxa"/>
            </w:tcMar>
          </w:tcPr>
          <w:p w14:paraId="7FBBF603" w14:textId="77777777" w:rsidR="00C4623A" w:rsidRDefault="00000000">
            <w:r>
              <w:rPr>
                <w:sz w:val="17"/>
                <w:szCs w:val="17"/>
              </w:rPr>
              <w:t>Brownfield TAR</w:t>
            </w:r>
          </w:p>
        </w:tc>
      </w:tr>
      <w:tr w:rsidR="00C4623A" w14:paraId="1022434B" w14:textId="77777777">
        <w:tblPrEx>
          <w:tblCellMar>
            <w:top w:w="0" w:type="dxa"/>
            <w:bottom w:w="0" w:type="dxa"/>
          </w:tblCellMar>
        </w:tblPrEx>
        <w:tc>
          <w:tcPr>
            <w:tcW w:w="2900" w:type="dxa"/>
            <w:tcBorders>
              <w:top w:val="none" w:sz="0" w:space="0" w:color="FFFFFF"/>
              <w:left w:val="none" w:sz="0" w:space="0" w:color="FFFFFF"/>
              <w:bottom w:val="none" w:sz="0" w:space="0" w:color="FFFFFF"/>
              <w:right w:val="none" w:sz="0" w:space="0" w:color="FFFFFF"/>
            </w:tcBorders>
            <w:shd w:val="clear" w:color="auto" w:fill="F4F8FF"/>
            <w:tcMar>
              <w:top w:w="70" w:type="dxa"/>
              <w:left w:w="100" w:type="dxa"/>
              <w:bottom w:w="70" w:type="dxa"/>
              <w:right w:w="80" w:type="dxa"/>
            </w:tcMar>
          </w:tcPr>
          <w:p w14:paraId="0930458C" w14:textId="77777777" w:rsidR="00C4623A" w:rsidRDefault="00000000">
            <w:r>
              <w:rPr>
                <w:b/>
                <w:bCs/>
                <w:sz w:val="17"/>
                <w:szCs w:val="17"/>
              </w:rPr>
              <w:t xml:space="preserve">Rénovation plateformes Perenco</w:t>
            </w:r>
          </w:p>
        </w:tc>
        <w:tc>
          <w:tcPr>
            <w:tcW w:w="2400" w:type="dxa"/>
            <w:tcBorders>
              <w:top w:val="none" w:sz="0" w:space="0" w:color="FFFFFF"/>
              <w:left w:val="none" w:sz="0" w:space="0" w:color="FFFFFF"/>
              <w:bottom w:val="none" w:sz="0" w:space="0" w:color="FFFFFF"/>
              <w:right w:val="none" w:sz="0" w:space="0" w:color="FFFFFF"/>
            </w:tcBorders>
            <w:shd w:val="clear" w:color="auto" w:fill="F4F8FF"/>
            <w:tcMar>
              <w:top w:w="70" w:type="dxa"/>
              <w:left w:w="100" w:type="dxa"/>
              <w:bottom w:w="70" w:type="dxa"/>
              <w:right w:w="80" w:type="dxa"/>
            </w:tcMar>
          </w:tcPr>
          <w:p w14:paraId="1BE8CED9" w14:textId="77777777" w:rsidR="00C4623A" w:rsidRDefault="00000000">
            <w:r>
              <w:rPr>
                <w:sz w:val="17"/>
                <w:szCs w:val="17"/>
              </w:rPr>
              <w:t xml:space="preserve">Foure Lagadec / Perenco</w:t>
            </w:r>
          </w:p>
        </w:tc>
        <w:tc>
          <w:tcPr>
            <w:tcW w:w="1300" w:type="dxa"/>
            <w:tcBorders>
              <w:top w:val="none" w:sz="0" w:space="0" w:color="FFFFFF"/>
              <w:left w:val="none" w:sz="0" w:space="0" w:color="FFFFFF"/>
              <w:bottom w:val="none" w:sz="0" w:space="0" w:color="FFFFFF"/>
              <w:right w:val="none" w:sz="0" w:space="0" w:color="FFFFFF"/>
            </w:tcBorders>
            <w:shd w:val="clear" w:color="auto" w:fill="F4F8FF"/>
            <w:tcMar>
              <w:top w:w="70" w:type="dxa"/>
              <w:left w:w="100" w:type="dxa"/>
              <w:bottom w:w="70" w:type="dxa"/>
              <w:right w:w="80" w:type="dxa"/>
            </w:tcMar>
          </w:tcPr>
          <w:p w14:paraId="4D541D25" w14:textId="77777777" w:rsidR="00C4623A" w:rsidRDefault="00000000">
            <w:r>
              <w:rPr>
                <w:sz w:val="17"/>
                <w:szCs w:val="17"/>
              </w:rPr>
              <w:t>300 M USD</w:t>
            </w:r>
          </w:p>
        </w:tc>
        <w:tc>
          <w:tcPr>
            <w:tcW w:w="2406" w:type="dxa"/>
            <w:tcBorders>
              <w:top w:val="none" w:sz="0" w:space="0" w:color="FFFFFF"/>
              <w:left w:val="none" w:sz="0" w:space="0" w:color="FFFFFF"/>
              <w:bottom w:val="none" w:sz="0" w:space="0" w:color="FFFFFF"/>
              <w:right w:val="none" w:sz="0" w:space="0" w:color="FFFFFF"/>
            </w:tcBorders>
            <w:shd w:val="clear" w:color="auto" w:fill="F4F8FF"/>
            <w:tcMar>
              <w:top w:w="70" w:type="dxa"/>
              <w:left w:w="100" w:type="dxa"/>
              <w:bottom w:w="70" w:type="dxa"/>
              <w:right w:w="80" w:type="dxa"/>
            </w:tcMar>
          </w:tcPr>
          <w:p w14:paraId="2EEEE4C4" w14:textId="77777777" w:rsidR="00C4623A" w:rsidRDefault="00000000">
            <w:r>
              <w:rPr>
                <w:sz w:val="17"/>
                <w:szCs w:val="17"/>
              </w:rPr>
              <w:t>Planning Engineer</w:t>
            </w:r>
          </w:p>
        </w:tc>
        <w:tc>
          <w:tcPr>
            <w:tcW w:w="1200" w:type="dxa"/>
            <w:tcBorders>
              <w:top w:val="none" w:sz="0" w:space="0" w:color="FFFFFF"/>
              <w:left w:val="none" w:sz="0" w:space="0" w:color="FFFFFF"/>
              <w:bottom w:val="none" w:sz="0" w:space="0" w:color="FFFFFF"/>
              <w:right w:val="none" w:sz="0" w:space="0" w:color="FFFFFF"/>
            </w:tcBorders>
            <w:shd w:val="clear" w:color="auto" w:fill="F4F8FF"/>
            <w:tcMar>
              <w:top w:w="70" w:type="dxa"/>
              <w:left w:w="100" w:type="dxa"/>
              <w:bottom w:w="70" w:type="dxa"/>
              <w:right w:w="80" w:type="dxa"/>
            </w:tcMar>
          </w:tcPr>
          <w:p w14:paraId="1DCB0241" w14:textId="77777777" w:rsidR="00C4623A" w:rsidRDefault="00000000">
            <w:r>
              <w:rPr>
                <w:sz w:val="17"/>
                <w:szCs w:val="17"/>
              </w:rPr>
              <w:t>Offshore Brownfield</w:t>
            </w:r>
          </w:p>
        </w:tc>
      </w:tr>
      <w:tr w:rsidR="00C4623A" w14:paraId="7293C96B" w14:textId="77777777">
        <w:tblPrEx>
          <w:tblCellMar>
            <w:top w:w="0" w:type="dxa"/>
            <w:bottom w:w="0" w:type="dxa"/>
          </w:tblCellMar>
        </w:tblPrEx>
        <w:tc>
          <w:tcPr>
            <w:tcW w:w="2900" w:type="dxa"/>
            <w:tcBorders>
              <w:top w:val="none" w:sz="0" w:space="0" w:color="FFFFFF"/>
              <w:left w:val="none" w:sz="0" w:space="0" w:color="FFFFFF"/>
              <w:bottom w:val="none" w:sz="0" w:space="0" w:color="FFFFFF"/>
              <w:right w:val="none" w:sz="0" w:space="0" w:color="FFFFFF"/>
            </w:tcBorders>
            <w:shd w:val="clear" w:color="auto" w:fill="FFFFFF"/>
            <w:tcMar>
              <w:top w:w="70" w:type="dxa"/>
              <w:left w:w="100" w:type="dxa"/>
              <w:bottom w:w="70" w:type="dxa"/>
              <w:right w:w="80" w:type="dxa"/>
            </w:tcMar>
          </w:tcPr>
          <w:p w14:paraId="0D7C5942" w14:textId="77777777" w:rsidR="00C4623A" w:rsidRDefault="00000000">
            <w:r>
              <w:rPr>
                <w:b/>
                <w:bCs/>
                <w:sz w:val="17"/>
                <w:szCs w:val="17"/>
              </w:rPr>
              <w:t>FPSO MV21 Kwame Nkrumah</w:t>
            </w:r>
          </w:p>
        </w:tc>
        <w:tc>
          <w:tcPr>
            <w:tcW w:w="2400" w:type="dxa"/>
            <w:tcBorders>
              <w:top w:val="none" w:sz="0" w:space="0" w:color="FFFFFF"/>
              <w:left w:val="none" w:sz="0" w:space="0" w:color="FFFFFF"/>
              <w:bottom w:val="none" w:sz="0" w:space="0" w:color="FFFFFF"/>
              <w:right w:val="none" w:sz="0" w:space="0" w:color="FFFFFF"/>
            </w:tcBorders>
            <w:shd w:val="clear" w:color="auto" w:fill="FFFFFF"/>
            <w:tcMar>
              <w:top w:w="70" w:type="dxa"/>
              <w:left w:w="100" w:type="dxa"/>
              <w:bottom w:w="70" w:type="dxa"/>
              <w:right w:w="80" w:type="dxa"/>
            </w:tcMar>
          </w:tcPr>
          <w:p w14:paraId="7678F79D" w14:textId="77777777" w:rsidR="00C4623A" w:rsidRDefault="00000000">
            <w:r>
              <w:rPr>
                <w:sz w:val="17"/>
                <w:szCs w:val="17"/>
              </w:rPr>
              <w:t>MODEC (Japon) / ORSAM</w:t>
            </w:r>
          </w:p>
        </w:tc>
        <w:tc>
          <w:tcPr>
            <w:tcW w:w="1300" w:type="dxa"/>
            <w:tcBorders>
              <w:top w:val="none" w:sz="0" w:space="0" w:color="FFFFFF"/>
              <w:left w:val="none" w:sz="0" w:space="0" w:color="FFFFFF"/>
              <w:bottom w:val="none" w:sz="0" w:space="0" w:color="FFFFFF"/>
              <w:right w:val="none" w:sz="0" w:space="0" w:color="FFFFFF"/>
            </w:tcBorders>
            <w:shd w:val="clear" w:color="auto" w:fill="FFFFFF"/>
            <w:tcMar>
              <w:top w:w="70" w:type="dxa"/>
              <w:left w:w="100" w:type="dxa"/>
              <w:bottom w:w="70" w:type="dxa"/>
              <w:right w:w="80" w:type="dxa"/>
            </w:tcMar>
          </w:tcPr>
          <w:p w14:paraId="19C03C8C" w14:textId="77777777" w:rsidR="00C4623A" w:rsidRDefault="00000000">
            <w:r>
              <w:rPr>
                <w:sz w:val="17"/>
                <w:szCs w:val="17"/>
              </w:rPr>
              <w:t>250 M USD</w:t>
            </w:r>
          </w:p>
        </w:tc>
        <w:tc>
          <w:tcPr>
            <w:tcW w:w="2406" w:type="dxa"/>
            <w:tcBorders>
              <w:top w:val="none" w:sz="0" w:space="0" w:color="FFFFFF"/>
              <w:left w:val="none" w:sz="0" w:space="0" w:color="FFFFFF"/>
              <w:bottom w:val="none" w:sz="0" w:space="0" w:color="FFFFFF"/>
              <w:right w:val="none" w:sz="0" w:space="0" w:color="FFFFFF"/>
            </w:tcBorders>
            <w:shd w:val="clear" w:color="auto" w:fill="FFFFFF"/>
            <w:tcMar>
              <w:top w:w="70" w:type="dxa"/>
              <w:left w:w="100" w:type="dxa"/>
              <w:bottom w:w="70" w:type="dxa"/>
              <w:right w:w="80" w:type="dxa"/>
            </w:tcMar>
          </w:tcPr>
          <w:p w14:paraId="7EDF79BB" w14:textId="77777777" w:rsidR="00C4623A" w:rsidRDefault="00000000">
            <w:r>
              <w:rPr>
                <w:sz w:val="17"/>
                <w:szCs w:val="17"/>
              </w:rPr>
              <w:t>Ingénieur Projet &amp; Planning</w:t>
            </w:r>
          </w:p>
        </w:tc>
        <w:tc>
          <w:tcPr>
            <w:tcW w:w="1200" w:type="dxa"/>
            <w:tcBorders>
              <w:top w:val="none" w:sz="0" w:space="0" w:color="FFFFFF"/>
              <w:left w:val="none" w:sz="0" w:space="0" w:color="FFFFFF"/>
              <w:bottom w:val="none" w:sz="0" w:space="0" w:color="FFFFFF"/>
              <w:right w:val="none" w:sz="0" w:space="0" w:color="FFFFFF"/>
            </w:tcBorders>
            <w:shd w:val="clear" w:color="auto" w:fill="FFFFFF"/>
            <w:tcMar>
              <w:top w:w="70" w:type="dxa"/>
              <w:left w:w="100" w:type="dxa"/>
              <w:bottom w:w="70" w:type="dxa"/>
              <w:right w:w="80" w:type="dxa"/>
            </w:tcMar>
          </w:tcPr>
          <w:p w14:paraId="5E4E07F2" w14:textId="77777777" w:rsidR="00C4623A" w:rsidRDefault="00000000">
            <w:r>
              <w:rPr>
                <w:sz w:val="17"/>
                <w:szCs w:val="17"/>
              </w:rPr>
              <w:t>Offshore FPSO</w:t>
            </w:r>
          </w:p>
        </w:tc>
      </w:tr>
    </w:tbl>
    <w:p w14:paraId="2AA30D67" w14:textId="77777777" w:rsidR="00C4623A" w:rsidRDefault="00000000">
      <w:pPr>
        <w:pBdr>
          <w:bottom w:val="thick" w:sz="8" w:space="4" w:color="C8860A"/>
        </w:pBdr>
        <w:spacing w:before="320" w:after="120"/>
      </w:pPr>
      <w:r>
        <w:rPr>
          <w:b/>
          <w:bCs/>
          <w:color w:val="0D2B45"/>
          <w:sz w:val="24"/>
          <w:szCs w:val="24"/>
        </w:rPr>
        <w:t>FORMATION</w:t>
      </w:r>
    </w:p>
    <w:p w14:paraId="4C45E1E3" w14:textId="77777777" w:rsidR="00C4623A" w:rsidRDefault="00000000">
      <w:pPr>
        <w:pStyle w:val="Paragraphedeliste"/>
        <w:numPr>
          <w:ilvl w:val="0"/>
          <w:numId w:val="2"/>
        </w:numPr>
        <w:spacing w:before="55" w:after="55"/>
      </w:pPr>
      <w:r>
        <w:rPr>
          <w:b/>
          <w:bCs/>
        </w:rPr>
        <w:t>MBA — Ingénierie d'Affaires &amp; Management Stratégique</w:t>
      </w:r>
      <w:r>
        <w:rPr>
          <w:color w:val="5D6D7E"/>
          <w:sz w:val="19"/>
          <w:szCs w:val="19"/>
        </w:rPr>
        <w:t xml:space="preserve"> — EPIM Afrique — En cours — 2026</w:t>
      </w:r>
    </w:p>
    <w:p w14:paraId="2FF7A785" w14:textId="77777777" w:rsidR="00C4623A" w:rsidRDefault="00000000">
      <w:pPr>
        <w:pStyle w:val="Paragraphedeliste"/>
        <w:numPr>
          <w:ilvl w:val="0"/>
          <w:numId w:val="2"/>
        </w:numPr>
        <w:spacing w:before="55" w:after="55"/>
      </w:pPr>
      <w:r>
        <w:rPr>
          <w:b/>
          <w:bCs/>
        </w:rPr>
        <w:t>Licence / HND — Génie Mécanique</w:t>
      </w:r>
      <w:r>
        <w:rPr>
          <w:color w:val="5D6D7E"/>
          <w:sz w:val="19"/>
          <w:szCs w:val="19"/>
        </w:rPr>
        <w:t xml:space="preserve"> — Université de Douala / ENSET, Cameroun — 2007–2008</w:t>
      </w:r>
    </w:p>
    <w:p w14:paraId="4AE25BED" w14:textId="77777777" w:rsidR="00C4623A" w:rsidRPr="00346FD7" w:rsidRDefault="00000000">
      <w:pPr>
        <w:pStyle w:val="Paragraphedeliste"/>
        <w:numPr>
          <w:ilvl w:val="0"/>
          <w:numId w:val="2"/>
        </w:numPr>
        <w:spacing w:before="55" w:after="55"/>
        <w:rPr>
          <w:lang w:val="en-GB"/>
        </w:rPr>
      </w:pPr>
      <w:r>
        <w:rPr>
          <w:b/>
          <w:bCs/>
          <w:lang w:val="en-GB"/>
        </w:rPr>
        <w:t>Diplôme Postgraduate — Process Design Engineering</w:t>
      </w:r>
      <w:r>
        <w:rPr>
          <w:color w:val="5D6D7E"/>
          <w:sz w:val="19"/>
          <w:szCs w:val="19"/>
          <w:lang w:val="en-GB"/>
        </w:rPr>
        <w:t xml:space="preserve"> — Magnus Global Tech, Inde — 2013–2014</w:t>
      </w:r>
    </w:p>
    <w:p w14:paraId="68ED7F4B" w14:textId="77777777" w:rsidR="00C4623A" w:rsidRPr="00346FD7" w:rsidRDefault="00000000">
      <w:pPr>
        <w:pStyle w:val="Paragraphedeliste"/>
        <w:numPr>
          <w:ilvl w:val="0"/>
          <w:numId w:val="2"/>
        </w:numPr>
        <w:spacing w:before="55" w:after="55"/>
        <w:rPr>
          <w:lang w:val="en-GB"/>
        </w:rPr>
      </w:pPr>
      <w:r>
        <w:rPr>
          <w:b/>
          <w:bCs/>
          <w:lang w:val="en-GB"/>
        </w:rPr>
        <w:t>Diplôme Postgraduate — Piping Design Engineering</w:t>
      </w:r>
      <w:r>
        <w:rPr>
          <w:color w:val="5D6D7E"/>
          <w:sz w:val="19"/>
          <w:szCs w:val="19"/>
          <w:lang w:val="en-GB"/>
        </w:rPr>
        <w:t xml:space="preserve"> — Magnus Global Tech, Inde — 2013–2014</w:t>
      </w:r>
    </w:p>
    <w:p w14:paraId="7A39452C" w14:textId="77777777" w:rsidR="00C4623A" w:rsidRDefault="00000000">
      <w:pPr>
        <w:pBdr>
          <w:bottom w:val="thick" w:sz="8" w:space="4" w:color="C8860A"/>
        </w:pBdr>
        <w:spacing w:before="320" w:after="120"/>
      </w:pPr>
      <w:r>
        <w:rPr>
          <w:b/>
          <w:bCs/>
          <w:color w:val="0D2B45"/>
          <w:sz w:val="24"/>
          <w:szCs w:val="24"/>
        </w:rPr>
        <w:t>CERTIFICATIONS</w:t>
      </w:r>
    </w:p>
    <w:p w14:paraId="021F9C87" w14:textId="77777777" w:rsidR="00C4623A" w:rsidRDefault="00000000">
      <w:pPr>
        <w:pStyle w:val="Paragraphedeliste"/>
        <w:numPr>
          <w:ilvl w:val="0"/>
          <w:numId w:val="2"/>
        </w:numPr>
        <w:spacing w:before="50" w:after="50"/>
      </w:pPr>
      <w:r>
        <w:rPr>
          <w:b/>
          <w:bCs/>
        </w:rPr>
        <w:t>PMP® — Project Management Professional</w:t>
      </w:r>
      <w:r>
        <w:rPr>
          <w:color w:val="5D6D7E"/>
          <w:sz w:val="19"/>
          <w:szCs w:val="19"/>
        </w:rPr>
        <w:t xml:space="preserve"> — Project Management Institute (PMI, USA)</w:t>
      </w:r>
      <w:r>
        <w:rPr>
          <w:i/>
          <w:iCs/>
          <w:color w:val="5D6D7E"/>
          <w:sz w:val="18"/>
          <w:szCs w:val="18"/>
        </w:rPr>
        <w:t xml:space="preserve"> (Cert. N° 4125591)</w:t>
      </w:r>
    </w:p>
    <w:p w14:paraId="11C49E1E" w14:textId="77777777" w:rsidR="00C4623A" w:rsidRDefault="00000000">
      <w:pPr>
        <w:pStyle w:val="Paragraphedeliste"/>
        <w:numPr>
          <w:ilvl w:val="0"/>
          <w:numId w:val="2"/>
        </w:numPr>
        <w:spacing w:before="50" w:after="50"/>
      </w:pPr>
      <w:r>
        <w:rPr>
          <w:b/>
          <w:bCs/>
        </w:rPr>
        <w:t>Oracle Primavera P6 Certifié</w:t>
      </w:r>
      <w:r>
        <w:rPr>
          <w:color w:val="5D6D7E"/>
          <w:sz w:val="19"/>
          <w:szCs w:val="19"/>
        </w:rPr>
        <w:t xml:space="preserve"> — TMR Project Consulting</w:t>
      </w:r>
    </w:p>
    <w:p w14:paraId="3EF2ABC9" w14:textId="77777777" w:rsidR="00C4623A" w:rsidRPr="00346FD7" w:rsidRDefault="00000000">
      <w:pPr>
        <w:pStyle w:val="Paragraphedeliste"/>
        <w:numPr>
          <w:ilvl w:val="0"/>
          <w:numId w:val="2"/>
        </w:numPr>
        <w:spacing w:before="50" w:after="50"/>
        <w:rPr>
          <w:lang w:val="en-GB"/>
        </w:rPr>
      </w:pPr>
      <w:r>
        <w:rPr>
          <w:b/>
          <w:bCs/>
          <w:lang w:val="en-GB"/>
        </w:rPr>
        <w:t>Professional Planning Engineer (PPE)</w:t>
      </w:r>
      <w:r>
        <w:rPr>
          <w:color w:val="5D6D7E"/>
          <w:sz w:val="19"/>
          <w:szCs w:val="19"/>
          <w:lang w:val="en-GB"/>
        </w:rPr>
        <w:t xml:space="preserve"> — Planning Engineer EST, Égypte</w:t>
      </w:r>
      <w:r>
        <w:rPr>
          <w:i/>
          <w:iCs/>
          <w:color w:val="5D6D7E"/>
          <w:sz w:val="18"/>
          <w:szCs w:val="18"/>
          <w:lang w:val="en-GB"/>
        </w:rPr>
        <w:t xml:space="preserve"> (ID 1882)</w:t>
      </w:r>
    </w:p>
    <w:p w14:paraId="7EB5020D" w14:textId="77777777" w:rsidR="00C4623A" w:rsidRPr="00346FD7" w:rsidRDefault="00000000">
      <w:pPr>
        <w:pStyle w:val="Paragraphedeliste"/>
        <w:numPr>
          <w:ilvl w:val="0"/>
          <w:numId w:val="2"/>
        </w:numPr>
        <w:spacing w:before="50" w:after="50"/>
        <w:rPr>
          <w:lang w:val="en-GB"/>
        </w:rPr>
      </w:pPr>
      <w:r>
        <w:rPr>
          <w:b/>
          <w:bCs/>
          <w:lang w:val="en-GB"/>
        </w:rPr>
        <w:t>Claims Management, EOT &amp; Delay Analysis</w:t>
      </w:r>
      <w:r>
        <w:rPr>
          <w:color w:val="5D6D7E"/>
          <w:sz w:val="19"/>
          <w:szCs w:val="19"/>
          <w:lang w:val="en-GB"/>
        </w:rPr>
        <w:t xml:space="preserve"> — Planning Engineer EST, Égypte</w:t>
      </w:r>
      <w:r>
        <w:rPr>
          <w:i/>
          <w:iCs/>
          <w:color w:val="5D6D7E"/>
          <w:sz w:val="18"/>
          <w:szCs w:val="18"/>
          <w:lang w:val="en-GB"/>
        </w:rPr>
        <w:t xml:space="preserve"> (ID 1907)</w:t>
      </w:r>
    </w:p>
    <w:p w14:paraId="011CAA3B" w14:textId="77777777" w:rsidR="00C4623A" w:rsidRDefault="00000000">
      <w:pPr>
        <w:pStyle w:val="Paragraphedeliste"/>
        <w:numPr>
          <w:ilvl w:val="0"/>
          <w:numId w:val="2"/>
        </w:numPr>
        <w:spacing w:before="50" w:after="50"/>
      </w:pPr>
      <w:r>
        <w:rPr>
          <w:b/>
          <w:bCs/>
        </w:rPr>
        <w:t>Primavera Risk Analysis — Monte Carlo (QSRA)</w:t>
      </w:r>
      <w:r>
        <w:rPr>
          <w:color w:val="5D6D7E"/>
          <w:sz w:val="19"/>
          <w:szCs w:val="19"/>
        </w:rPr>
        <w:t xml:space="preserve"> — Planification probabiliste avancée</w:t>
      </w:r>
    </w:p>
    <w:p w14:paraId="43BB5680" w14:textId="77777777" w:rsidR="00C4623A" w:rsidRDefault="00000000">
      <w:pPr>
        <w:pStyle w:val="Paragraphedeliste"/>
        <w:numPr>
          <w:ilvl w:val="0"/>
          <w:numId w:val="2"/>
        </w:numPr>
        <w:spacing w:before="50" w:after="50"/>
      </w:pPr>
      <w:r>
        <w:rPr>
          <w:b/>
          <w:bCs/>
        </w:rPr>
        <w:t>Power BI &amp; Data Analytics</w:t>
      </w:r>
      <w:r>
        <w:rPr>
          <w:color w:val="5D6D7E"/>
          <w:sz w:val="19"/>
          <w:szCs w:val="19"/>
        </w:rPr>
        <w:t xml:space="preserve"> — Tableaux de bord exécutifs &amp; reporting</w:t>
      </w:r>
    </w:p>
    <w:p w14:paraId="04F247C5" w14:textId="77777777" w:rsidR="00C4623A" w:rsidRPr="00346FD7" w:rsidRDefault="00000000">
      <w:pPr>
        <w:pStyle w:val="Paragraphedeliste"/>
        <w:numPr>
          <w:ilvl w:val="0"/>
          <w:numId w:val="2"/>
        </w:numPr>
        <w:spacing w:before="50" w:after="50"/>
        <w:rPr>
          <w:lang w:val="en-GB"/>
        </w:rPr>
      </w:pPr>
      <w:r>
        <w:rPr>
          <w:b/>
          <w:bCs/>
          <w:lang w:val="en-GB"/>
        </w:rPr>
        <w:t>Excel Business Intelligence</w:t>
      </w:r>
      <w:r>
        <w:rPr>
          <w:color w:val="5D6D7E"/>
          <w:sz w:val="19"/>
          <w:szCs w:val="19"/>
          <w:lang w:val="en-GB"/>
        </w:rPr>
        <w:t xml:space="preserve"> — Power Query, Power Pivot, DAX</w:t>
      </w:r>
    </w:p>
    <w:p w14:paraId="5DB7F248" w14:textId="77777777" w:rsidR="00C4623A" w:rsidRDefault="00000000">
      <w:pPr>
        <w:pBdr>
          <w:bottom w:val="thick" w:sz="8" w:space="4" w:color="C8860A"/>
        </w:pBdr>
        <w:spacing w:before="320" w:after="120"/>
      </w:pPr>
      <w:r>
        <w:rPr>
          <w:b/>
          <w:bCs/>
          <w:color w:val="0D2B45"/>
          <w:sz w:val="24"/>
          <w:szCs w:val="24"/>
        </w:rPr>
        <w:t>LANGUES &amp; QUALITÉS DE LEADERSHIP</w:t>
      </w:r>
    </w:p>
    <w:p w14:paraId="74D6AA51" w14:textId="77777777" w:rsidR="00C4623A" w:rsidRDefault="00000000">
      <w:pPr>
        <w:spacing w:before="60" w:after="50"/>
      </w:pPr>
      <w:r>
        <w:rPr>
          <w:b/>
          <w:bCs/>
          <w:color w:val="0D2B45"/>
        </w:rPr>
        <w:t xml:space="preserve">Langues : </w:t>
      </w:r>
      <w:r>
        <w:t xml:space="preserve">Français — Langue maternelle   |   Anglais — Professionnel courant (environnements internationaux depuis 2006 : GE Vernova, MODEC Japon, Foster Wheeler UK/USA)</w:t>
      </w:r>
    </w:p>
    <w:p w14:paraId="6A50D06C" w14:textId="77777777" w:rsidR="00C4623A" w:rsidRDefault="00000000">
      <w:pPr>
        <w:spacing w:before="50" w:after="50"/>
      </w:pPr>
      <w:r>
        <w:rPr>
          <w:b/>
          <w:bCs/>
          <w:color w:val="0D2B45"/>
        </w:rPr>
        <w:t xml:space="preserve">Qualités de leadership : </w:t>
      </w:r>
      <w:r>
        <w:t xml:space="preserve">Pilote la gouvernance project controls sur portefeuilles complexes  ·  Conseiller de confiance des Directeurs de Projet  ·  Encadre et fait monter en compétences des équipes pluridisciplinaires  ·  Pilote les stratégies de rattrapage et d'accélération  ·  Gouverne le reporting exécutif et l'interface Client  ·  Opère efficacement en environnements distants et multiculturels  ·  Disponible immédiatement pour déploiement international</w:t>
      </w:r>
    </w:p>
    <w:p w14:paraId="3958A7C3" w14:textId="77777777" w:rsidR="00C4623A" w:rsidRDefault="00C4623A">
      <w:pPr>
        <w:spacing w:before="100"/>
      </w:pPr>
    </w:p>
    <w:sectPr w:rsidR="00C4623A">
      <w:pgSz w:w="11906" w:h="16838"/>
      <w:pgMar w:top="800" w:right="800" w:bottom="800" w:left="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5850C6"/>
    <w:multiLevelType w:val="hybridMultilevel"/>
    <w:tmpl w:val="23DE8252"/>
    <w:lvl w:ilvl="0" w:tplc="1FD824A4">
      <w:start w:val="1"/>
      <w:numFmt w:val="bullet"/>
      <w:lvlText w:val="•"/>
      <w:lvlJc w:val="left"/>
      <w:pPr>
        <w:ind w:left="400" w:hanging="220"/>
      </w:pPr>
    </w:lvl>
    <w:lvl w:ilvl="1" w:tplc="0ECCECB6">
      <w:numFmt w:val="decimal"/>
      <w:lvlText w:val=""/>
      <w:lvlJc w:val="left"/>
    </w:lvl>
    <w:lvl w:ilvl="2" w:tplc="BAF03A06">
      <w:numFmt w:val="decimal"/>
      <w:lvlText w:val=""/>
      <w:lvlJc w:val="left"/>
    </w:lvl>
    <w:lvl w:ilvl="3" w:tplc="7AE28CCE">
      <w:numFmt w:val="decimal"/>
      <w:lvlText w:val=""/>
      <w:lvlJc w:val="left"/>
    </w:lvl>
    <w:lvl w:ilvl="4" w:tplc="3C888B5A">
      <w:numFmt w:val="decimal"/>
      <w:lvlText w:val=""/>
      <w:lvlJc w:val="left"/>
    </w:lvl>
    <w:lvl w:ilvl="5" w:tplc="9A30B4B4">
      <w:numFmt w:val="decimal"/>
      <w:lvlText w:val=""/>
      <w:lvlJc w:val="left"/>
    </w:lvl>
    <w:lvl w:ilvl="6" w:tplc="DB6A22C8">
      <w:numFmt w:val="decimal"/>
      <w:lvlText w:val=""/>
      <w:lvlJc w:val="left"/>
    </w:lvl>
    <w:lvl w:ilvl="7" w:tplc="986AAE1A">
      <w:numFmt w:val="decimal"/>
      <w:lvlText w:val=""/>
      <w:lvlJc w:val="left"/>
    </w:lvl>
    <w:lvl w:ilvl="8" w:tplc="A7166C96">
      <w:numFmt w:val="decimal"/>
      <w:lvlText w:val=""/>
      <w:lvlJc w:val="left"/>
    </w:lvl>
  </w:abstractNum>
  <w:abstractNum w:abstractNumId="1" w15:restartNumberingAfterBreak="0">
    <w:nsid w:val="61D904B5"/>
    <w:multiLevelType w:val="hybridMultilevel"/>
    <w:tmpl w:val="6360E346"/>
    <w:lvl w:ilvl="0" w:tplc="86EECF8C">
      <w:start w:val="1"/>
      <w:numFmt w:val="bullet"/>
      <w:lvlText w:val="●"/>
      <w:lvlJc w:val="left"/>
      <w:pPr>
        <w:ind w:left="720" w:hanging="360"/>
      </w:pPr>
    </w:lvl>
    <w:lvl w:ilvl="1" w:tplc="EE664EE0">
      <w:start w:val="1"/>
      <w:numFmt w:val="bullet"/>
      <w:lvlText w:val="○"/>
      <w:lvlJc w:val="left"/>
      <w:pPr>
        <w:ind w:left="1440" w:hanging="360"/>
      </w:pPr>
    </w:lvl>
    <w:lvl w:ilvl="2" w:tplc="70862DC6">
      <w:start w:val="1"/>
      <w:numFmt w:val="bullet"/>
      <w:lvlText w:val="■"/>
      <w:lvlJc w:val="left"/>
      <w:pPr>
        <w:ind w:left="2160" w:hanging="360"/>
      </w:pPr>
    </w:lvl>
    <w:lvl w:ilvl="3" w:tplc="7EF61D9C">
      <w:start w:val="1"/>
      <w:numFmt w:val="bullet"/>
      <w:lvlText w:val="●"/>
      <w:lvlJc w:val="left"/>
      <w:pPr>
        <w:ind w:left="2880" w:hanging="360"/>
      </w:pPr>
    </w:lvl>
    <w:lvl w:ilvl="4" w:tplc="706085D8">
      <w:start w:val="1"/>
      <w:numFmt w:val="bullet"/>
      <w:lvlText w:val="○"/>
      <w:lvlJc w:val="left"/>
      <w:pPr>
        <w:ind w:left="3600" w:hanging="360"/>
      </w:pPr>
    </w:lvl>
    <w:lvl w:ilvl="5" w:tplc="50F6641A">
      <w:start w:val="1"/>
      <w:numFmt w:val="bullet"/>
      <w:lvlText w:val="■"/>
      <w:lvlJc w:val="left"/>
      <w:pPr>
        <w:ind w:left="4320" w:hanging="360"/>
      </w:pPr>
    </w:lvl>
    <w:lvl w:ilvl="6" w:tplc="9FAABF46">
      <w:start w:val="1"/>
      <w:numFmt w:val="bullet"/>
      <w:lvlText w:val="●"/>
      <w:lvlJc w:val="left"/>
      <w:pPr>
        <w:ind w:left="5040" w:hanging="360"/>
      </w:pPr>
    </w:lvl>
    <w:lvl w:ilvl="7" w:tplc="758E42F8">
      <w:start w:val="1"/>
      <w:numFmt w:val="bullet"/>
      <w:lvlText w:val="●"/>
      <w:lvlJc w:val="left"/>
      <w:pPr>
        <w:ind w:left="5760" w:hanging="360"/>
      </w:pPr>
    </w:lvl>
    <w:lvl w:ilvl="8" w:tplc="70E21318">
      <w:start w:val="1"/>
      <w:numFmt w:val="bullet"/>
      <w:lvlText w:val="●"/>
      <w:lvlJc w:val="left"/>
      <w:pPr>
        <w:ind w:left="6480" w:hanging="360"/>
      </w:pPr>
    </w:lvl>
  </w:abstractNum>
  <w:num w:numId="1" w16cid:durableId="1284382587">
    <w:abstractNumId w:val="1"/>
    <w:lvlOverride w:ilvl="0">
      <w:startOverride w:val="1"/>
    </w:lvlOverride>
  </w:num>
  <w:num w:numId="2" w16cid:durableId="16153569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23A"/>
    <w:rsid w:val="00346FD7"/>
    <w:rsid w:val="00C4623A"/>
    <w:rsid w:val="00F4663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44D089"/>
  <w15:docId w15:val="{77C2C267-55C6-4001-A91E-30303C0218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2147</Words>
  <Characters>11810</Characters>
  <Application>Microsoft Office Word</Application>
  <DocSecurity>0</DocSecurity>
  <Lines>98</Lines>
  <Paragraphs>27</Paragraphs>
  <ScaleCrop>false</ScaleCrop>
  <Company/>
  <LinksUpToDate>false</LinksUpToDate>
  <CharactersWithSpaces>13930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philippe.nougoue</cp:lastModifiedBy>
  <cp:revision>2</cp:revision>
  <dcterms:created xsi:type="dcterms:W3CDTF">2026-07-13T14:07:00Z</dcterms:created>
  <dcterms:modified xsi:type="dcterms:W3CDTF">2026-07-13T14:07:00Z</dcterms:modified>
</cp:coreProperties>
</file>