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notes.xml" ContentType="application/vnd.openxmlformats-officedocument.wordprocessingml.foot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09A24C" w:rsidP="4809A24C" w:rsidRDefault="4809A24C" w14:paraId="5009FC51" w14:textId="24D9842A">
      <w:pPr>
        <w:pStyle w:val="Title"/>
      </w:pPr>
      <w:r w:rsidR="4809A24C">
        <w:rPr/>
        <w:t>Corporate Travel Policy — Contoso Manufacturing</w:t>
      </w:r>
    </w:p>
    <w:p w:rsidR="4809A24C" w:rsidP="4809A24C" w:rsidRDefault="4809A24C" w14:paraId="4BFD2219" w14:textId="43578D99">
      <w:pPr>
        <w:pStyle w:val="Subtitle"/>
        <w:rPr/>
      </w:pPr>
      <w:r w:rsidR="4809A24C">
        <w:rPr/>
        <w:t>Corporate document effective as of March 2023</w:t>
      </w:r>
    </w:p>
    <w:p w:rsidR="4809A24C" w:rsidP="4809A24C" w:rsidRDefault="4809A24C" w14:paraId="08855BAD" w14:textId="45FDE18D">
      <w:pPr>
        <w:pStyle w:val="Heading1"/>
      </w:pPr>
      <w:r w:rsidR="4809A24C">
        <w:rPr/>
        <w:t>1. Objective</w:t>
      </w:r>
    </w:p>
    <w:p w:rsidR="4809A24C" w:rsidP="4809A24C" w:rsidRDefault="4809A24C" w14:paraId="327BB0E9" w14:textId="6A0F9D9D">
      <w:pPr>
        <w:pStyle w:val="Normal"/>
      </w:pPr>
      <w:r w:rsidR="4809A24C">
        <w:rPr/>
        <w:t>This Corporate Travel Policy establishes the guidelines applicable to the planning, approval, execution, and expense reporting of business travel conducted on behalf of Contoso Manufacturing. The objective is to ensure that travel is conducted with transparency, financial control, operational safety, and compliance with the company’s internal procedures.</w:t>
      </w:r>
    </w:p>
    <w:p w:rsidR="4809A24C" w:rsidP="4809A24C" w:rsidRDefault="4809A24C" w14:paraId="2E862CEE" w14:textId="629CBF45">
      <w:pPr>
        <w:pStyle w:val="Normal"/>
      </w:pPr>
      <w:r w:rsidR="4809A24C">
        <w:rPr/>
        <w:t>This policy seeks to standardize decisions related to transportation, lodging, meals, reimbursements, and documentation, ensuring that employees have clear guidance before, during, and after travel. It also aims to reduce interpretation differences across departments, preserve corporate resources, and reinforce individual responsibility in the use of company funds.</w:t>
      </w:r>
    </w:p>
    <w:p w:rsidR="4809A24C" w:rsidP="4809A24C" w:rsidRDefault="4809A24C" w14:paraId="0698F7D2" w14:textId="74CD25E1">
      <w:pPr>
        <w:pStyle w:val="Heading1"/>
      </w:pPr>
      <w:r w:rsidR="4809A24C">
        <w:rPr/>
        <w:t>2. Scope</w:t>
      </w:r>
    </w:p>
    <w:p w:rsidR="4809A24C" w:rsidP="4809A24C" w:rsidRDefault="4809A24C" w14:paraId="63F926C7" w14:textId="7B19112B">
      <w:pPr>
        <w:pStyle w:val="Normal"/>
      </w:pPr>
      <w:r w:rsidR="4809A24C">
        <w:rPr/>
        <w:t>This policy applies to all employees, interns, consultants, and authorized third parties who travel on behalf of Contoso Manufacturing, regardless of their originating unit, functional area, or destination. It includes travel for customer meetings, supplier visits, in-person training, audits, support for manufacturing plants, technical events, and other activities previously authorized by the company.</w:t>
      </w:r>
    </w:p>
    <w:p w:rsidR="4809A24C" w:rsidP="4809A24C" w:rsidRDefault="4809A24C" w14:paraId="14BF7182" w14:textId="02439031">
      <w:pPr>
        <w:pStyle w:val="Normal"/>
      </w:pPr>
      <w:r w:rsidR="4809A24C">
        <w:rPr/>
        <w:t>The rules set forth herein cover domestic and international travel, except where local law, contractual requirements, or specific Compliance guidance establishes a different procedure. In the event of any conflict between this policy and applicable legal requirements, the legal obligation shall prevail, without prejudice to immediate communication to the responsible department.</w:t>
      </w:r>
    </w:p>
    <w:p w:rsidR="4809A24C" w:rsidP="4809A24C" w:rsidRDefault="4809A24C" w14:paraId="43AF4CAC" w14:textId="4D27C234">
      <w:pPr>
        <w:pStyle w:val="Heading1"/>
      </w:pPr>
      <w:r w:rsidR="4809A24C">
        <w:rPr/>
        <w:t>3. Travel Rules</w:t>
      </w:r>
    </w:p>
    <w:p w:rsidR="4809A24C" w:rsidP="4809A24C" w:rsidRDefault="4809A24C" w14:paraId="2944164F" w14:textId="33D9F1CD">
      <w:pPr>
        <w:pStyle w:val="Heading2"/>
      </w:pPr>
      <w:r w:rsidR="4809A24C">
        <w:rPr/>
        <w:t>3.1 Travel Request</w:t>
      </w:r>
    </w:p>
    <w:p w:rsidR="4809A24C" w:rsidP="4809A24C" w:rsidRDefault="4809A24C" w14:paraId="25099D13" w14:textId="0EDA0D7D">
      <w:pPr>
        <w:pStyle w:val="Normal"/>
      </w:pPr>
      <w:r w:rsidR="4809A24C">
        <w:rPr/>
        <w:t>All business travel must be requested in advance using the PDF forms made available by the administrative department. The employee must complete the applicable form in full, including the purpose of the trip, destination, expected travel period, estimated costs, cost center, business justification, and confirmation of alignment with the direct manager.</w:t>
      </w:r>
    </w:p>
    <w:p w:rsidR="4809A24C" w:rsidP="4809A24C" w:rsidRDefault="4809A24C" w14:paraId="6822F2AF" w14:textId="0B0776D7">
      <w:pPr>
        <w:pStyle w:val="Normal"/>
      </w:pPr>
      <w:r w:rsidR="4809A24C">
        <w:rPr/>
        <w:t>Incomplete requests, requests without a business justification, or requests without a minimum expense estimate may be returned to the requester for correction. Submission of the form does not constitute automatic approval; travel may only take place after express approval by the direct manager and completion of reservations through the channels defined in this policy.</w:t>
      </w:r>
    </w:p>
    <w:p w:rsidR="4809A24C" w:rsidP="4809A24C" w:rsidRDefault="4809A24C" w14:paraId="6EE11552" w14:textId="46287FBA">
      <w:pPr>
        <w:pStyle w:val="Heading2"/>
      </w:pPr>
      <w:r w:rsidR="4809A24C">
        <w:rPr/>
        <w:t>3.2 Hotel Reservations</w:t>
      </w:r>
    </w:p>
    <w:p w:rsidR="4809A24C" w:rsidP="4809A24C" w:rsidRDefault="4809A24C" w14:paraId="7A30463C" w14:textId="54E87E87">
      <w:pPr>
        <w:pStyle w:val="Normal"/>
      </w:pPr>
      <w:r w:rsidR="4809A24C">
        <w:rPr/>
        <w:t>Hotel reservations must be made exclusively through the partner agency designated by Contoso Manufacturing. Use of the agency is intended to ensure negotiated rates, standardized cancellation conditions, traveler support, and centralized control of lodging-related expenses.</w:t>
      </w:r>
    </w:p>
    <w:p w:rsidR="4809A24C" w:rsidP="4809A24C" w:rsidRDefault="4809A24C" w14:paraId="108625F7" w14:textId="2C34AF42">
      <w:pPr>
        <w:pStyle w:val="Normal"/>
      </w:pPr>
      <w:r w:rsidR="4809A24C">
        <w:rPr/>
        <w:t>Employees must not book directly through hotel websites, intermediary platforms, or third-party applications, except in exceptional circumstances previously authorized by the direct manager and communicated to the administrative department. In such cases, the justification must be attached to the expense report.</w:t>
      </w:r>
    </w:p>
    <w:p w:rsidR="4809A24C" w:rsidP="4809A24C" w:rsidRDefault="4809A24C" w14:paraId="323BC262" w14:textId="5D256081">
      <w:pPr>
        <w:pStyle w:val="Heading2"/>
      </w:pPr>
      <w:r w:rsidR="4809A24C">
        <w:rPr/>
        <w:t>3.3 Ground Transportation</w:t>
      </w:r>
    </w:p>
    <w:p w:rsidR="4809A24C" w:rsidP="4809A24C" w:rsidRDefault="4809A24C" w14:paraId="02FFF8CE" w14:textId="153FBAAD">
      <w:pPr>
        <w:pStyle w:val="Normal"/>
      </w:pPr>
      <w:r w:rsidR="4809A24C">
        <w:rPr/>
        <w:t>For urban transportation during travel, taxis should be used preferentially, especially for routes between the airport, hotel, customer site, supplier location, manufacturing plant, or event venue. Taxi use is recommended because it provides predictable charges, formal receipts, and availability in urban centers served by the company’s usual travel routes.</w:t>
      </w:r>
    </w:p>
    <w:p w:rsidR="4809A24C" w:rsidP="4809A24C" w:rsidRDefault="4809A24C" w14:paraId="5879A2ED" w14:textId="4CB354D7">
      <w:pPr>
        <w:pStyle w:val="Normal"/>
      </w:pPr>
      <w:r w:rsidR="4809A24C">
        <w:rPr/>
        <w:t>Vehicle rental should occur only when there is an operational justification, such as recurring travel between multiple locations, areas with limited taxi availability, transportation of authorized materials, or a demonstrated need to access manufacturing units. Expenses related to fines, traffic violations, damage caused by negligence, or personal use of the vehicle will not be reimbursed.</w:t>
      </w:r>
    </w:p>
    <w:p w:rsidR="4809A24C" w:rsidP="4809A24C" w:rsidRDefault="4809A24C" w14:paraId="61C2C1EF" w14:textId="04C8D68D">
      <w:pPr>
        <w:pStyle w:val="Heading2"/>
      </w:pPr>
      <w:r w:rsidR="4809A24C">
        <w:rPr/>
        <w:t>3.4 Meals</w:t>
      </w:r>
    </w:p>
    <w:p w:rsidR="4809A24C" w:rsidP="4809A24C" w:rsidRDefault="4809A24C" w14:paraId="1A116FF1" w14:textId="47183D0D">
      <w:pPr>
        <w:pStyle w:val="Normal"/>
      </w:pPr>
      <w:r w:rsidR="4809A24C">
        <w:rPr/>
        <w:t>The daily meal allowance for business travel is US$ 40, including breakfast, lunch, dinner, snacks, and non-alcoholic beverages consumed during the travel period. This limit represents the maximum reimbursable amount per travel day and may not be accumulated across days, transferred to another employee, or used for personal expenses.</w:t>
      </w:r>
    </w:p>
    <w:p w:rsidR="4809A24C" w:rsidP="4809A24C" w:rsidRDefault="4809A24C" w14:paraId="3CF79AD3" w14:textId="7EAF7473">
      <w:pPr>
        <w:pStyle w:val="Normal"/>
      </w:pPr>
      <w:r w:rsidR="4809A24C">
        <w:rPr/>
        <w:t>When lodging includes breakfast or when meals are provided by customers, suppliers, events, or training programs, employees are expected to use those options whenever reasonable. Expenses for alcoholic beverages, personal convenience items, minibar charges without business justification, or meals for accompanying individuals are not reimbursable.</w:t>
      </w:r>
    </w:p>
    <w:p w:rsidR="4809A24C" w:rsidP="4809A24C" w:rsidRDefault="4809A24C" w14:paraId="5FF1E98A" w14:textId="1AFA1541">
      <w:pPr>
        <w:pStyle w:val="Heading1"/>
      </w:pPr>
      <w:r w:rsidR="4809A24C">
        <w:rPr/>
        <w:t>4. Approval Process</w:t>
      </w:r>
    </w:p>
    <w:p w:rsidR="4809A24C" w:rsidP="4809A24C" w:rsidRDefault="4809A24C" w14:paraId="1D659B86" w14:textId="3AC7768F">
      <w:pPr>
        <w:pStyle w:val="Normal"/>
      </w:pPr>
      <w:r w:rsidR="4809A24C">
        <w:rPr/>
        <w:t>Travel approval must be provided by the requesting employee’s direct manager. The manager is responsible for assessing the business need, the appropriateness of the requested period, the estimated costs, the budget availability of the cost center, and the travel’s alignment with the guidelines in this policy.</w:t>
      </w:r>
    </w:p>
    <w:p w:rsidR="4809A24C" w:rsidP="4809A24C" w:rsidRDefault="4809A24C" w14:paraId="294370EA" w14:textId="2B3E3CEF">
      <w:pPr>
        <w:pStyle w:val="Normal"/>
      </w:pPr>
      <w:r w:rsidR="4809A24C">
        <w:rPr/>
        <w:t>The standard workflow must follow this sequence: completion of the PDF form by the employee; submission to the direct manager; review and formal approval; forwarding to the administrative department or partner agency; completion of reservations; confirmation to the traveler; execution of the trip; and submission of the expense report within the established deadline.</w:t>
      </w:r>
    </w:p>
    <w:p w:rsidR="4809A24C" w:rsidP="4809A24C" w:rsidRDefault="4809A24C" w14:paraId="5B1C1DED" w14:textId="612456B6">
      <w:pPr>
        <w:pStyle w:val="Normal"/>
      </w:pPr>
      <w:r w:rsidR="4809A24C">
        <w:rPr/>
        <w:t>Travel requested on short notice, changes in destination, extensions of stay, or significant budget increases must be revalidated by the direct manager before new reservations are issued. Verbal approval may be accepted only in emergency situations, provided it is formalized in writing as soon as possible.</w:t>
      </w:r>
    </w:p>
    <w:p w:rsidR="4809A24C" w:rsidP="4809A24C" w:rsidRDefault="4809A24C" w14:paraId="6742C0AA" w14:textId="403B8C81">
      <w:pPr>
        <w:pStyle w:val="Heading1"/>
      </w:pPr>
      <w:r w:rsidR="4809A24C">
        <w:rPr/>
        <w:t>5. Expense Reimbursement</w:t>
      </w:r>
    </w:p>
    <w:p w:rsidR="4809A24C" w:rsidP="4809A24C" w:rsidRDefault="4809A24C" w14:paraId="05C6EE1D" w14:textId="6F959930">
      <w:pPr>
        <w:pStyle w:val="Normal"/>
      </w:pPr>
      <w:r w:rsidR="4809A24C">
        <w:rPr/>
        <w:t>Expense reports must be submitted within 15 calendar days after return from travel. The employee must attach legible supporting documents, receipts, invoices, tickets, taxi receipts, lodging statements, and any other evidence required to validate the expenses. Failure to submit the report within the deadline may result in suspension of reimbursement until the documentation is regularized.</w:t>
      </w:r>
    </w:p>
    <w:p w:rsidR="4809A24C" w:rsidP="4809A24C" w:rsidRDefault="4809A24C" w14:paraId="44D12606" w14:textId="76FD1211">
      <w:pPr>
        <w:pStyle w:val="Normal"/>
      </w:pPr>
      <w:r w:rsidR="4809A24C">
        <w:rPr/>
        <w:t>Only expenses directly related to the approved corporate activity will be reimbursed. Personal expenses, unauthorized upgrades, recreational services, private purchases, fees for lost documents, penalties due to individual delay, or expenses without adequate supporting documentation will not be eligible for reimbursement.</w:t>
      </w:r>
    </w:p>
    <w:p w:rsidR="4809A24C" w:rsidP="4809A24C" w:rsidRDefault="4809A24C" w14:paraId="1807698B" w14:textId="049A8A92">
      <w:pPr>
        <w:pStyle w:val="Normal"/>
      </w:pPr>
      <w:r w:rsidR="4809A24C">
        <w:rPr/>
        <w:t>When expenses are incurred in foreign currency, the amount must be converted using the exchange rate applied by the corporate card or, in its absence, the reference rate available on the date of the expense. The finance department may request additional documentation whenever there is a discrepancy, inconsistency, or indication of an expense incompatible with the purpose of the trip.</w:t>
      </w:r>
    </w:p>
    <w:tbl>
      <w:tblPr>
        <w:tblStyle w:val="GridTable4-Accent1"/>
        <w:tblW w:w="0" w:type="auto"/>
      </w:tblPr>
      <w:tblGrid>
        <w:gridCol w:w="3009"/>
        <w:gridCol w:w="3009"/>
        <w:gridCol w:w="3009"/>
      </w:tblGrid>
      <w:tr w:rsidR="4809A24C" w:rsidTr="4809A24C" w14:paraId="1D6664D2">
        <w:tc>
          <w:tcPr>
            <w:tcW w:w="3009" w:type="dxa"/>
            <w:tcMar/>
          </w:tcPr>
          <w:p w:rsidR="4809A24C" w:rsidP="4809A24C" w:rsidRDefault="4809A24C" w14:paraId="0ABFC6AC" w14:textId="2AD65359">
            <w:pPr>
              <w:pStyle w:val="Normal"/>
            </w:pPr>
            <w:r w:rsidRPr="4809A24C" w:rsidR="4809A24C">
              <w:rPr>
                <w:b w:val="1"/>
                <w:bCs w:val="1"/>
              </w:rPr>
              <w:t>Category</w:t>
            </w:r>
          </w:p>
        </w:tc>
        <w:tc>
          <w:tcPr>
            <w:tcW w:w="3009" w:type="dxa"/>
            <w:tcMar/>
          </w:tcPr>
          <w:p w:rsidR="4809A24C" w:rsidP="4809A24C" w:rsidRDefault="4809A24C" w14:paraId="01F93704" w14:textId="2280BD0E">
            <w:pPr>
              <w:pStyle w:val="Normal"/>
            </w:pPr>
            <w:r w:rsidRPr="4809A24C" w:rsidR="4809A24C">
              <w:rPr>
                <w:b w:val="1"/>
                <w:bCs w:val="1"/>
              </w:rPr>
              <w:t>Reimbursement rule</w:t>
            </w:r>
          </w:p>
        </w:tc>
        <w:tc>
          <w:tcPr>
            <w:tcW w:w="3009" w:type="dxa"/>
            <w:tcMar/>
          </w:tcPr>
          <w:p w:rsidR="4809A24C" w:rsidP="4809A24C" w:rsidRDefault="4809A24C" w14:paraId="21C25675" w14:textId="08E04739">
            <w:pPr>
              <w:pStyle w:val="Normal"/>
            </w:pPr>
            <w:r w:rsidRPr="4809A24C" w:rsidR="4809A24C">
              <w:rPr>
                <w:b w:val="1"/>
                <w:bCs w:val="1"/>
              </w:rPr>
              <w:t>Required documentation</w:t>
            </w:r>
          </w:p>
        </w:tc>
      </w:tr>
      <w:tr w:rsidR="4809A24C" w:rsidTr="4809A24C" w14:paraId="0426EF4A">
        <w:tc>
          <w:tcPr>
            <w:tcW w:w="3009" w:type="dxa"/>
            <w:tcMar/>
          </w:tcPr>
          <w:p w:rsidR="4809A24C" w:rsidP="4809A24C" w:rsidRDefault="4809A24C" w14:paraId="3CE53FAC" w14:textId="4F950837">
            <w:pPr>
              <w:pStyle w:val="Normal"/>
            </w:pPr>
            <w:r w:rsidR="4809A24C">
              <w:rPr/>
              <w:t>Meals</w:t>
            </w:r>
          </w:p>
        </w:tc>
        <w:tc>
          <w:tcPr>
            <w:tcW w:w="3009" w:type="dxa"/>
            <w:tcMar/>
          </w:tcPr>
          <w:p w:rsidR="4809A24C" w:rsidP="4809A24C" w:rsidRDefault="4809A24C" w14:paraId="3CCD4F72" w14:textId="579AFD2D">
            <w:pPr>
              <w:pStyle w:val="Normal"/>
            </w:pPr>
            <w:r w:rsidR="4809A24C">
              <w:rPr/>
              <w:t>Up to US$ 40 per travel day</w:t>
            </w:r>
          </w:p>
        </w:tc>
        <w:tc>
          <w:tcPr>
            <w:tcW w:w="3009" w:type="dxa"/>
            <w:tcMar/>
          </w:tcPr>
          <w:p w:rsidR="4809A24C" w:rsidP="4809A24C" w:rsidRDefault="4809A24C" w14:paraId="51A1979E" w14:textId="1E987C6B">
            <w:pPr>
              <w:pStyle w:val="Normal"/>
            </w:pPr>
            <w:r w:rsidR="4809A24C">
              <w:rPr/>
              <w:t>Invoice or detailed receipt</w:t>
            </w:r>
          </w:p>
        </w:tc>
      </w:tr>
      <w:tr w:rsidR="4809A24C" w:rsidTr="4809A24C" w14:paraId="01E399DE">
        <w:tc>
          <w:tcPr>
            <w:tcW w:w="3009" w:type="dxa"/>
            <w:tcMar/>
          </w:tcPr>
          <w:p w:rsidR="4809A24C" w:rsidP="4809A24C" w:rsidRDefault="4809A24C" w14:paraId="7FFB8BDF" w14:textId="2C42890E">
            <w:pPr>
              <w:pStyle w:val="Normal"/>
            </w:pPr>
            <w:r w:rsidR="4809A24C">
              <w:rPr/>
              <w:t>Taxi</w:t>
            </w:r>
          </w:p>
        </w:tc>
        <w:tc>
          <w:tcPr>
            <w:tcW w:w="3009" w:type="dxa"/>
            <w:tcMar/>
          </w:tcPr>
          <w:p w:rsidR="4809A24C" w:rsidP="4809A24C" w:rsidRDefault="4809A24C" w14:paraId="5C065C98" w14:textId="18E6A9BC">
            <w:pPr>
              <w:pStyle w:val="Normal"/>
            </w:pPr>
            <w:r w:rsidR="4809A24C">
              <w:rPr/>
              <w:t>Preferred for urban business transportation</w:t>
            </w:r>
          </w:p>
        </w:tc>
        <w:tc>
          <w:tcPr>
            <w:tcW w:w="3009" w:type="dxa"/>
            <w:tcMar/>
          </w:tcPr>
          <w:p w:rsidR="4809A24C" w:rsidP="4809A24C" w:rsidRDefault="4809A24C" w14:paraId="70D52349" w14:textId="79859EBC">
            <w:pPr>
              <w:pStyle w:val="Normal"/>
            </w:pPr>
            <w:r w:rsidR="4809A24C">
              <w:rPr/>
              <w:t>Receipt, electronic proof, or trip report</w:t>
            </w:r>
          </w:p>
        </w:tc>
      </w:tr>
      <w:tr w:rsidR="4809A24C" w:rsidTr="4809A24C" w14:paraId="5D37C5B0">
        <w:tc>
          <w:tcPr>
            <w:tcW w:w="3009" w:type="dxa"/>
            <w:tcMar/>
          </w:tcPr>
          <w:p w:rsidR="4809A24C" w:rsidP="4809A24C" w:rsidRDefault="4809A24C" w14:paraId="2F4A272A" w14:textId="57FD45D2">
            <w:pPr>
              <w:pStyle w:val="Normal"/>
            </w:pPr>
            <w:r w:rsidR="4809A24C">
              <w:rPr/>
              <w:t>Hotel</w:t>
            </w:r>
          </w:p>
        </w:tc>
        <w:tc>
          <w:tcPr>
            <w:tcW w:w="3009" w:type="dxa"/>
            <w:tcMar/>
          </w:tcPr>
          <w:p w:rsidR="4809A24C" w:rsidP="4809A24C" w:rsidRDefault="4809A24C" w14:paraId="240113C2" w14:textId="1AD635B7">
            <w:pPr>
              <w:pStyle w:val="Normal"/>
            </w:pPr>
            <w:r w:rsidR="4809A24C">
              <w:rPr/>
              <w:t>Reservation through partner agency</w:t>
            </w:r>
          </w:p>
        </w:tc>
        <w:tc>
          <w:tcPr>
            <w:tcW w:w="3009" w:type="dxa"/>
            <w:tcMar/>
          </w:tcPr>
          <w:p w:rsidR="4809A24C" w:rsidP="4809A24C" w:rsidRDefault="4809A24C" w14:paraId="5FF5A677" w14:textId="2A07A4E8">
            <w:pPr>
              <w:pStyle w:val="Normal"/>
            </w:pPr>
            <w:r w:rsidR="4809A24C">
              <w:rPr/>
              <w:t>Lodging invoice or agency confirmation</w:t>
            </w:r>
          </w:p>
        </w:tc>
      </w:tr>
      <w:tr w:rsidR="4809A24C" w:rsidTr="4809A24C" w14:paraId="03D09A49">
        <w:tc>
          <w:tcPr>
            <w:tcW w:w="3009" w:type="dxa"/>
            <w:tcMar/>
          </w:tcPr>
          <w:p w:rsidR="4809A24C" w:rsidP="4809A24C" w:rsidRDefault="4809A24C" w14:paraId="06625F72" w14:textId="581FB591">
            <w:pPr>
              <w:pStyle w:val="Normal"/>
            </w:pPr>
            <w:r w:rsidR="4809A24C">
              <w:rPr/>
              <w:t>Other expenses</w:t>
            </w:r>
          </w:p>
        </w:tc>
        <w:tc>
          <w:tcPr>
            <w:tcW w:w="3009" w:type="dxa"/>
            <w:tcMar/>
          </w:tcPr>
          <w:p w:rsidR="4809A24C" w:rsidP="4809A24C" w:rsidRDefault="4809A24C" w14:paraId="095F239E" w14:textId="76AC85C8">
            <w:pPr>
              <w:pStyle w:val="Normal"/>
            </w:pPr>
            <w:r w:rsidR="4809A24C">
              <w:rPr/>
              <w:t>Only if related to the approved objective</w:t>
            </w:r>
          </w:p>
        </w:tc>
        <w:tc>
          <w:tcPr>
            <w:tcW w:w="3009" w:type="dxa"/>
            <w:tcMar/>
          </w:tcPr>
          <w:p w:rsidR="4809A24C" w:rsidP="4809A24C" w:rsidRDefault="4809A24C" w14:paraId="1E079602" w14:textId="03A8874F">
            <w:pPr>
              <w:pStyle w:val="Normal"/>
            </w:pPr>
            <w:r w:rsidR="4809A24C">
              <w:rPr/>
              <w:t>Receipt and business justification</w:t>
            </w:r>
          </w:p>
        </w:tc>
      </w:tr>
    </w:tbl>
    <w:p w:rsidR="4809A24C" w:rsidP="4809A24C" w:rsidRDefault="4809A24C" w14:paraId="65ADBF54" w14:textId="76C50860">
      <w:pPr>
        <w:pStyle w:val="Normal"/>
      </w:pPr>
    </w:p>
    <w:p w:rsidR="4809A24C" w:rsidP="4809A24C" w:rsidRDefault="4809A24C" w14:paraId="67113FE7" w14:textId="0960B80E">
      <w:pPr>
        <w:pStyle w:val="Heading1"/>
      </w:pPr>
      <w:r w:rsidR="4809A24C">
        <w:rPr/>
        <w:t>6. FAQ</w:t>
      </w:r>
    </w:p>
    <w:p w:rsidR="4809A24C" w:rsidP="4809A24C" w:rsidRDefault="4809A24C" w14:paraId="6A0EBBC9" w14:textId="3C9BB283">
      <w:pPr>
        <w:pStyle w:val="Normal"/>
      </w:pPr>
      <w:r w:rsidRPr="4809A24C" w:rsidR="4809A24C">
        <w:rPr>
          <w:b w:val="1"/>
          <w:bCs w:val="1"/>
        </w:rPr>
        <w:t>1. May I book a hotel directly through a travel website?</w:t>
      </w:r>
      <w:r>
        <w:br/>
      </w:r>
      <w:r w:rsidR="4809A24C">
        <w:rPr/>
        <w:t>No. Hotel reservations must be made through Contoso Manufacturing’s partner agency, except where a prior exception has been approved by the direct manager and duly justified in the expense report.</w:t>
      </w:r>
    </w:p>
    <w:p w:rsidR="4809A24C" w:rsidP="4809A24C" w:rsidRDefault="4809A24C" w14:paraId="6D56A74E" w14:textId="7FD4ABA0">
      <w:pPr>
        <w:pStyle w:val="Normal"/>
      </w:pPr>
      <w:r w:rsidRPr="4809A24C" w:rsidR="4809A24C">
        <w:rPr>
          <w:b w:val="1"/>
          <w:bCs w:val="1"/>
        </w:rPr>
        <w:t>2. Who approves my travel?</w:t>
      </w:r>
      <w:r>
        <w:br/>
      </w:r>
      <w:r w:rsidR="4809A24C">
        <w:rPr/>
        <w:t>Approval must be provided by the requesting employee’s direct manager, who will assess the business need, estimated budget, and alignment with corporate travel rules.</w:t>
      </w:r>
    </w:p>
    <w:p w:rsidR="4809A24C" w:rsidP="4809A24C" w:rsidRDefault="4809A24C" w14:paraId="14625744" w14:textId="5507FBDD">
      <w:pPr>
        <w:pStyle w:val="Normal"/>
      </w:pPr>
      <w:r w:rsidRPr="4809A24C" w:rsidR="4809A24C">
        <w:rPr>
          <w:b w:val="1"/>
          <w:bCs w:val="1"/>
        </w:rPr>
        <w:t>3. What is the deadline for submitting an expense report?</w:t>
      </w:r>
      <w:r>
        <w:br/>
      </w:r>
      <w:r w:rsidR="4809A24C">
        <w:rPr/>
        <w:t>The expense report must be submitted within 15 calendar days after return from travel, together with the required supporting documents and applicable form.</w:t>
      </w:r>
    </w:p>
    <w:p w:rsidR="4809A24C" w:rsidP="4809A24C" w:rsidRDefault="4809A24C" w14:paraId="5EB6E0F6" w14:textId="009F7DB8">
      <w:pPr>
        <w:pStyle w:val="Normal"/>
      </w:pPr>
      <w:r w:rsidRPr="4809A24C" w:rsidR="4809A24C">
        <w:rPr>
          <w:b w:val="1"/>
          <w:bCs w:val="1"/>
        </w:rPr>
        <w:t>4. May I exceed the daily meal allowance?</w:t>
      </w:r>
      <w:r>
        <w:br/>
      </w:r>
      <w:r w:rsidR="4809A24C">
        <w:rPr/>
        <w:t>Expenses above US$ 40 per day will not be reimbursed, except in cases of exceptional approval and documented justification before submission of the expense report.</w:t>
      </w:r>
    </w:p>
    <w:p w:rsidR="4809A24C" w:rsidP="4809A24C" w:rsidRDefault="4809A24C" w14:paraId="6E36780F" w14:textId="54C8B7F9">
      <w:pPr>
        <w:pStyle w:val="Normal"/>
      </w:pPr>
      <w:r w:rsidRPr="4809A24C" w:rsidR="4809A24C">
        <w:rPr>
          <w:b w:val="1"/>
          <w:bCs w:val="1"/>
        </w:rPr>
        <w:t>5. Is ride-hailing transportation permitted?</w:t>
      </w:r>
      <w:r>
        <w:br/>
      </w:r>
      <w:r w:rsidR="4809A24C">
        <w:rPr/>
        <w:t>This version of the policy establishes taxis as the preferred means of urban transportation. Alternatives must be previously authorized when there is an operational need, taxi unavailability, or specific local guidance.</w:t>
      </w:r>
    </w:p>
    <w:p w:rsidR="4809A24C" w:rsidP="4809A24C" w:rsidRDefault="4809A24C" w14:paraId="13AC43DA" w14:textId="4EF3B4A2">
      <w:pPr>
        <w:pStyle w:val="Heading1"/>
      </w:pPr>
      <w:r w:rsidR="4809A24C">
        <w:rPr/>
        <w:t>7. References and Related Documents</w:t>
      </w:r>
    </w:p>
    <w:p w:rsidR="4809A24C" w:rsidP="4809A24C" w:rsidRDefault="4809A24C" w14:paraId="75813BA1" w14:textId="7BFC6933">
      <w:pPr>
        <w:pStyle w:val="ListParagraph"/>
        <w:numPr>
          <w:ilvl w:val="0"/>
          <w:numId w:val="1"/>
        </w:numPr>
        <w:rPr/>
      </w:pPr>
      <w:r w:rsidR="4809A24C">
        <w:rPr/>
        <w:t>Contoso Manufacturing Internal Corporate Expense Manual, March 2023 edition.</w:t>
      </w:r>
    </w:p>
    <w:p w:rsidR="4809A24C" w:rsidP="4809A24C" w:rsidRDefault="4809A24C" w14:paraId="2D85BC7A" w14:textId="0EEF73DB">
      <w:pPr>
        <w:pStyle w:val="ListParagraph"/>
        <w:numPr>
          <w:ilvl w:val="0"/>
          <w:numId w:val="1"/>
        </w:numPr>
        <w:rPr/>
      </w:pPr>
      <w:r w:rsidR="4809A24C">
        <w:rPr/>
        <w:t>PDF Form TRV-001 — Corporate Travel Request, version 2023.03.</w:t>
      </w:r>
    </w:p>
    <w:p w:rsidR="4809A24C" w:rsidP="4809A24C" w:rsidRDefault="4809A24C" w14:paraId="1EBC1E7E" w14:textId="5CC24750">
      <w:pPr>
        <w:pStyle w:val="ListParagraph"/>
        <w:numPr>
          <w:ilvl w:val="0"/>
          <w:numId w:val="1"/>
        </w:numPr>
        <w:rPr/>
      </w:pPr>
      <w:r w:rsidR="4809A24C">
        <w:rPr/>
        <w:t>PDF Form EXP-014 — Travel Expense Report, version 2023.03.</w:t>
      </w:r>
    </w:p>
    <w:p w:rsidR="4809A24C" w:rsidP="4809A24C" w:rsidRDefault="4809A24C" w14:paraId="7F5DD437" w14:textId="7A4F79D9">
      <w:pPr>
        <w:pStyle w:val="ListParagraph"/>
        <w:numPr>
          <w:ilvl w:val="0"/>
          <w:numId w:val="1"/>
        </w:numPr>
        <w:rPr/>
      </w:pPr>
      <w:r w:rsidR="4809A24C">
        <w:rPr/>
        <w:t>Operational agreement with partner corporate travel agency, valid for lodging reservations in 2023.</w:t>
      </w:r>
    </w:p>
    <w:p w:rsidR="4809A24C" w:rsidP="4809A24C" w:rsidRDefault="4809A24C" w14:paraId="5671B650" w14:textId="6C801D3A">
      <w:pPr>
        <w:pStyle w:val="ListParagraph"/>
        <w:numPr>
          <w:ilvl w:val="0"/>
          <w:numId w:val="1"/>
        </w:numPr>
        <w:rPr/>
      </w:pPr>
      <w:r w:rsidR="4809A24C">
        <w:rPr/>
        <w:t>Internal finance guidelines for reimbursement of field expenses and technical visits, reference 2023-FIN-07.</w:t>
      </w:r>
    </w:p>
    <w:p w:rsidR="4809A24C" w:rsidP="4809A24C" w:rsidRDefault="4809A24C" w14:paraId="2DD68453" w14:textId="5C5B507F">
      <w:pPr>
        <w:pStyle w:val="ListParagraph"/>
        <w:numPr>
          <w:ilvl w:val="0"/>
          <w:numId w:val="1"/>
        </w:numPr>
        <w:rPr/>
      </w:pPr>
      <w:r w:rsidR="4809A24C">
        <w:rPr/>
        <w:t>Corporate travel models published in 2023 indicated the need to define standards for booking, lodging, and expense reimbursement.</w:t>
      </w:r>
    </w:p>
    <w:p w:rsidR="4809A24C" w:rsidP="4809A24C" w:rsidRDefault="4809A24C" w14:paraId="7BE208FB" w14:textId="6015E7C5">
      <w:pPr>
        <w:pStyle w:val="ListParagraph"/>
        <w:numPr>
          <w:ilvl w:val="0"/>
          <w:numId w:val="1"/>
        </w:numPr>
        <w:rPr/>
      </w:pPr>
      <w:r w:rsidR="4809A24C">
        <w:rPr/>
        <w:t>Travel and expense policy materials available in 2023 highlighted the benefits of organizing reservations, reimbursement processes, and business travel rules.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4809A24C" w:rsidRDefault="4809A24C" w14:paraId="17867A93" w14:textId="58678BA7">
      <w:pPr>
        <w:spacing w:after="0" w:line="240" w:lineRule="auto"/>
      </w:pPr>
      <w:r>
        <w:separator/>
      </w:r>
    </w:p>
  </w:footnote>
  <w:footnote w:type="continuationSeparator" w:id="0">
    <w:p w:rsidR="4809A24C" w:rsidRDefault="4809A24C" w14:paraId="5E06C26A" w14:textId="191B6C9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1">
    <w:nsid w:val="10f57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694077"/>
    <w:rsid w:val="26ADC16C"/>
    <w:rsid w:val="355BF2F0"/>
    <w:rsid w:val="3E00B76C"/>
    <w:rsid w:val="3F1B410E"/>
    <w:rsid w:val="42313669"/>
    <w:rsid w:val="476B3BA0"/>
    <w:rsid w:val="4809A24C"/>
    <w:rsid w:val="522EEA2A"/>
    <w:rsid w:val="5C694077"/>
    <w:rsid w:val="5D46F345"/>
    <w:rsid w:val="5D46F345"/>
    <w:rsid w:val="67B68F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375D"/>
  <w15:chartTrackingRefBased/>
  <w15:docId w15:val="{98301C28-1AB6-4F06-8524-24BBBFD2117F}"/>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w:type="paragraph" w:styleId="ListParagraph">
    <w:uiPriority w:val="34"/>
    <w:name w:val="List Paragraph"/>
    <w:basedOn w:val="Normal"/>
    <w:qFormat/>
    <w:rsid w:val="4809A24C"/>
    <w:pPr>
      <w:spacing/>
      <w:ind w:left="720"/>
      <w:contextualSpacing/>
    </w:pPr>
  </w:style>
  <w:style w:type="character" w:styleId="Hyperlink">
    <w:uiPriority w:val="99"/>
    <w:name w:val="Hyperlink"/>
    <w:basedOn w:val="DefaultParagraphFont"/>
    <w:unhideWhenUsed/>
    <w:rsid w:val="4809A24C"/>
    <w:rPr>
      <w:color w:val="467886"/>
      <w:u w:val="single"/>
    </w:rPr>
  </w:style>
  <w:style w:type="paragraph" w:styleId="FootnoteText">
    <w:uiPriority w:val="99"/>
    <w:name w:val="footnote text"/>
    <w:basedOn w:val="Normal"/>
    <w:semiHidden/>
    <w:unhideWhenUsed/>
    <w:rsid w:val="4809A24C"/>
    <w:rPr>
      <w:sz w:val="20"/>
      <w:szCs w:val="20"/>
    </w:rPr>
    <w:pPr>
      <w:spacing w:after="0" w:line="240" w:lineRule="auto"/>
    </w:pPr>
  </w:style>
  <w:style w:type="character" w:styleId="FootnoteReference">
    <w:uiPriority w:val="99"/>
    <w:name w:val="footnote reference"/>
    <w:basedOn w:val="DefaultParagraphFont"/>
    <w:semiHidden/>
    <w:unhideWhenUsed/>
    <w:rsid w:val="4809A24C"/>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1b7d813b0669405d" /><Relationship Type="http://schemas.openxmlformats.org/officeDocument/2006/relationships/numbering" Target="numbering.xml" Id="R799bfb8935bb4e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55178FDEE62747A8E04F5CC82F912C" ma:contentTypeVersion="3" ma:contentTypeDescription="Crie um novo documento." ma:contentTypeScope="" ma:versionID="ef664e743b30f4350fda449d96b4e802">
  <xsd:schema xmlns:xsd="http://www.w3.org/2001/XMLSchema" xmlns:xs="http://www.w3.org/2001/XMLSchema" xmlns:p="http://schemas.microsoft.com/office/2006/metadata/properties" xmlns:ns2="b43934aa-279a-4dd7-ab9d-2bdedb1923ab" targetNamespace="http://schemas.microsoft.com/office/2006/metadata/properties" ma:root="true" ma:fieldsID="5a330d6f80b34e7a9bf2fa6b5a41b42b" ns2:_="">
    <xsd:import namespace="b43934aa-279a-4dd7-ab9d-2bdedb1923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934aa-279a-4dd7-ab9d-2bdedb192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C0569C-2EEF-4510-A495-5DE57478BCDF}"/>
</file>

<file path=customXml/itemProps2.xml><?xml version="1.0" encoding="utf-8"?>
<ds:datastoreItem xmlns:ds="http://schemas.openxmlformats.org/officeDocument/2006/customXml" ds:itemID="{E5FD31C1-511D-4A34-83A9-24E0A7C2DEBC}"/>
</file>

<file path=customXml/itemProps3.xml><?xml version="1.0" encoding="utf-8"?>
<ds:datastoreItem xmlns:ds="http://schemas.openxmlformats.org/officeDocument/2006/customXml" ds:itemID="{A6981AD9-D5D6-4BF1-BDF6-35DF7DD798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Maycon Batista</dc:creator>
  <cp:keywords/>
  <dc:description/>
  <cp:lastModifiedBy>Maycon Batista</cp:lastModifiedBy>
  <dcterms:created xsi:type="dcterms:W3CDTF">2026-09-30T13:26:25Z</dcterms:created>
  <dcterms:modified xsi:type="dcterms:W3CDTF">2026-09-30T13:30:05Z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0x0101002C55178FDEE62747A8E04F5CC82F912C</vt:lpwstr>
  </property>
  <property fmtid="{D5CDD505-2E9C-101B-9397-08002B2CF9AE}" pid="4" name="docLang">
    <vt:lpwstr>en</vt:lpwstr>
  </property>
</Properties>
</file>