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Phương pháp thực nghiệm Bloxorz</w:t>
      </w:r>
    </w:p>
    <w:p>
      <w:r>
        <w:t>Nguyễn Lê Minh Quân  |  MSSV 24120219  |  Q05 bàn giao Phúc và Nam</w:t>
      </w:r>
    </w:p>
    <w:p>
      <w:r>
        <w:t>Ngày cập nhật 31/10/2026. Tài liệu quy định phạm vi bộ đo Q04, cách ghi bốn chỉ số bắt buộc, xử lý lượt thất bại và tổng hợp dữ liệu cho bảng, biểu đồ. Đợt Q04 đã chạy đủ 300 lượt, có 300 SOLVED; Q05 tạo 100 dòng tổng hợp từ chính dữ liệu này, không chạy lại solver hoặc thay số đo.</w:t>
      </w:r>
    </w:p>
    <w:p>
      <w:pPr>
        <w:pStyle w:val="Heading1"/>
      </w:pPr>
      <w:r>
        <w:t>1 Bộ dữ liệu và phiên bản đo</w:t>
      </w:r>
    </w:p>
    <w:p>
      <w:r>
        <w:t>Bộ đo có 25 màn chơi ID 1–25, mỗi màn chạy BFS, DFS, UCS và A* ba lần, tổng 300 lượt. Các màn có fragile, soft/heavy switch, cầu, tách/ghép, teleport và nhãn stress. Mười hai ca biên T1–T12 thuộc bộ kiểm thử chức năng riêng; không cộng thành 37 màn hiệu năng. Phân nhóm theo level-groups.csv: ưu tiên tách/ghép, rồi công tắc–cầu, rồi fragile, còn lại cơ bản; stress là nhãn phụ.</w:t>
      </w:r>
    </w:p>
    <w:p>
      <w:r>
        <w:t>Snapshot dùng để đo được cố định trước khi chạy. Metadata ghi git_dirty=false trong Src và lưu SHA-256 các file engine, solver, profiler, CLI cùng hash bộ màn. Source đo là:</w:t>
      </w:r>
    </w:p>
    <w:p>
      <w:pPr>
        <w:spacing w:line="240" w:lineRule="auto"/>
      </w:pPr>
      <w:r>
        <w:rPr>
          <w:rFonts w:ascii="Consolas" w:hAnsi="Consolas"/>
          <w:sz w:val="18"/>
        </w:rPr>
        <w:t>0d7adc5bcf4960cb53f855aa0f2082bb6ea710b0</w:t>
      </w:r>
    </w:p>
    <w:p>
      <w:r>
        <w:t>Môi trường thực tế: Intel Core i5-12450HX, RAM 24 GB, Windows 11 build 26200 và Python 3.14.6 64-bit. Timestamp dùng giờ SE Asia Standard Time, UTC+07:00. Các giá trị chi tiết nằm trong environment.json; không thay metadata Q04 bằng môi trường của lần tổng hợp sau này.</w:t>
      </w:r>
    </w:p>
    <w:p>
      <w:pPr>
        <w:pStyle w:val="Heading1"/>
      </w:pPr>
      <w:r>
        <w:t>2 Quy trình đo từng lượt</w:t>
      </w:r>
    </w:p>
    <w:p>
      <w:r>
        <w:t>Lượt đo chạy tuần tự trên cùng máy: ID màn tăng dần, lần lặp 1–3 trong mỗi màn, sau đó bfs → dfs → ucs → astar. Không xáo thứ tự và không có lượt warm-up riêng. Các core solver, thứ tự successor và cost giữ nguyên trong suốt đợt; không dùng walkthrough để làm lời giải.</w:t>
      </w:r>
    </w:p>
    <w:p>
      <w:r>
        <w:t>1. CLI tạo worker mới cho mỗi lượt. Worker khởi tạo board mới từ cùng JSON màn, rồi gọi hàm solve_* công khai. Trạng thái cầu, khối điều khiển hoặc dữ liệu của lượt trước không được dùng lại.</w:t>
      </w:r>
    </w:p>
    <w:p>
      <w:r>
        <w:t>2. run_with_profiler() bật tracemalloc rồi bắt đầu perf_counter() ngay trước core tìm kiếm. Phép đo gồm xử lý frontier, trạng thái đã gặp, successor, truy vết và tiền xử lý heuristic của A*. Sau core, profiler lấy elapsed time và đỉnh cấp phát Python rồi dừng tracing.</w:t>
      </w:r>
    </w:p>
    <w:p>
      <w:r>
        <w:t>3. Cha chờ pipe với poll(120) sau proc.start(). Phần khởi động/import/khởi tạo worker còn diễn ra lúc chờ cũng tiêu tốn ngân sách này. Đây không phải ngưỡng 120 giây riêng cho profiler. Worker quá hạn bị dừng, ghi TIMEOUT và để trống metric chưa đo.</w:t>
      </w:r>
    </w:p>
    <w:p>
      <w:r>
        <w:t>4. Sau khi nhận kết quả, cha replay trên board riêng, xác nhận tới đích, tính cost chung và ghi ngay CSV cùng JSON moves. Khởi động, giao tiếp, replay, ghi file và animation nằm ngoài search_time_ms. Dữ liệu được giữ theo từng lượt, không chọn lại lượt đẹp hơn.</w:t>
      </w:r>
    </w:p>
    <w:p>
      <w:r>
        <w:br w:type="page"/>
      </w:r>
    </w:p>
    <w:p>
      <w:pPr>
        <w:pStyle w:val="Heading1"/>
      </w:pPr>
      <w:r>
        <w:t>3 Định nghĩa chỉ số</w:t>
      </w:r>
    </w:p>
    <w:tbl>
      <w:tblPr>
        <w:tblStyle w:val="TableGrid"/>
        <w:tblW w:type="auto" w:w="0"/>
        <w:tblLayout w:type="fixed"/>
        <w:tblLook w:firstColumn="1" w:firstRow="1" w:lastColumn="0" w:lastRow="0" w:noHBand="0" w:noVBand="1" w:val="04A0"/>
      </w:tblPr>
      <w:tblGrid>
        <w:gridCol w:w="2069"/>
        <w:gridCol w:w="992"/>
        <w:gridCol w:w="6775"/>
      </w:tblGrid>
      <w:tr>
        <w:trPr>
          <w:tblHeader/>
          <w:cantSplit/>
        </w:trPr>
        <w:tc>
          <w:tcPr>
            <w:tcW w:type="dxa" w:w="2069"/>
            <w:shd w:fill="DCE6EE"/>
            <w:vAlign w:val="center"/>
            <w:tcMar>
              <w:top w:w="85" w:type="dxa"/>
              <w:left w:w="85" w:type="dxa"/>
              <w:bottom w:w="85" w:type="dxa"/>
              <w:right w:w="85" w:type="dxa"/>
            </w:tcMar>
          </w:tcPr>
          <w:p>
            <w:pPr>
              <w:spacing w:after="60" w:line="247" w:lineRule="auto"/>
            </w:pPr>
            <w:r>
              <w:rPr>
                <w:b/>
                <w:sz w:val="21"/>
              </w:rPr>
              <w:t>Trường dữ liệu</w:t>
            </w:r>
          </w:p>
        </w:tc>
        <w:tc>
          <w:tcPr>
            <w:tcW w:type="dxa" w:w="992"/>
            <w:shd w:fill="DCE6EE"/>
            <w:vAlign w:val="center"/>
            <w:tcMar>
              <w:top w:w="85" w:type="dxa"/>
              <w:left w:w="85" w:type="dxa"/>
              <w:bottom w:w="85" w:type="dxa"/>
              <w:right w:w="85" w:type="dxa"/>
            </w:tcMar>
          </w:tcPr>
          <w:p>
            <w:pPr>
              <w:spacing w:after="60" w:line="247" w:lineRule="auto"/>
              <w:jc w:val="center"/>
            </w:pPr>
            <w:r>
              <w:rPr>
                <w:b/>
                <w:sz w:val="21"/>
              </w:rPr>
              <w:t>Đơn vị</w:t>
            </w:r>
          </w:p>
        </w:tc>
        <w:tc>
          <w:tcPr>
            <w:tcW w:type="dxa" w:w="6775"/>
            <w:shd w:fill="DCE6EE"/>
            <w:vAlign w:val="center"/>
            <w:tcMar>
              <w:top w:w="85" w:type="dxa"/>
              <w:left w:w="85" w:type="dxa"/>
              <w:bottom w:w="85" w:type="dxa"/>
              <w:right w:w="85" w:type="dxa"/>
            </w:tcMar>
          </w:tcPr>
          <w:p>
            <w:pPr>
              <w:spacing w:after="60" w:line="247" w:lineRule="auto"/>
            </w:pPr>
            <w:r>
              <w:rPr>
                <w:b/>
                <w:sz w:val="21"/>
              </w:rPr>
              <w:t>Cách hiểu và phạm vi</w:t>
            </w:r>
          </w:p>
        </w:tc>
      </w:tr>
      <w:tr>
        <w:trPr>
          <w:cantSplit/>
        </w:trPr>
        <w:tc>
          <w:tcPr>
            <w:tcW w:type="dxa" w:w="2069"/>
            <w:vAlign w:val="center"/>
            <w:tcMar>
              <w:top w:w="85" w:type="dxa"/>
              <w:left w:w="85" w:type="dxa"/>
              <w:bottom w:w="85" w:type="dxa"/>
              <w:right w:w="85" w:type="dxa"/>
            </w:tcMar>
          </w:tcPr>
          <w:p>
            <w:pPr>
              <w:spacing w:after="60" w:line="247" w:lineRule="auto"/>
            </w:pPr>
            <w:r>
              <w:rPr>
                <w:sz w:val="21"/>
              </w:rPr>
              <w:t>search_time_ms</w:t>
            </w:r>
          </w:p>
        </w:tc>
        <w:tc>
          <w:tcPr>
            <w:tcW w:type="dxa" w:w="992"/>
            <w:vAlign w:val="center"/>
            <w:tcMar>
              <w:top w:w="85" w:type="dxa"/>
              <w:left w:w="85" w:type="dxa"/>
              <w:bottom w:w="85" w:type="dxa"/>
              <w:right w:w="85" w:type="dxa"/>
            </w:tcMar>
          </w:tcPr>
          <w:p>
            <w:pPr>
              <w:spacing w:after="60" w:line="247" w:lineRule="auto"/>
              <w:jc w:val="center"/>
            </w:pPr>
            <w:r>
              <w:rPr>
                <w:sz w:val="21"/>
              </w:rPr>
              <w:t>ms</w:t>
            </w:r>
          </w:p>
        </w:tc>
        <w:tc>
          <w:tcPr>
            <w:tcW w:type="dxa" w:w="6775"/>
            <w:vAlign w:val="center"/>
            <w:tcMar>
              <w:top w:w="85" w:type="dxa"/>
              <w:left w:w="85" w:type="dxa"/>
              <w:bottom w:w="85" w:type="dxa"/>
              <w:right w:w="85" w:type="dxa"/>
            </w:tcMar>
          </w:tcPr>
          <w:p>
            <w:pPr>
              <w:spacing w:after="60" w:line="247" w:lineRule="auto"/>
            </w:pPr>
            <w:r>
              <w:rPr>
                <w:sz w:val="21"/>
              </w:rPr>
              <w:t>Thời gian core tìm kiếm trong wrapper có bật tracemalloc; không phải thời gian animation hoặc toàn bộ ứng dụng.</w:t>
            </w:r>
          </w:p>
        </w:tc>
      </w:tr>
      <w:tr>
        <w:trPr>
          <w:cantSplit/>
        </w:trPr>
        <w:tc>
          <w:tcPr>
            <w:tcW w:type="dxa" w:w="2069"/>
            <w:vAlign w:val="center"/>
            <w:tcMar>
              <w:top w:w="85" w:type="dxa"/>
              <w:left w:w="85" w:type="dxa"/>
              <w:bottom w:w="85" w:type="dxa"/>
              <w:right w:w="85" w:type="dxa"/>
            </w:tcMar>
          </w:tcPr>
          <w:p>
            <w:pPr>
              <w:spacing w:after="60" w:line="247" w:lineRule="auto"/>
            </w:pPr>
            <w:r>
              <w:rPr>
                <w:sz w:val="21"/>
              </w:rPr>
              <w:t>memory_kb</w:t>
            </w:r>
          </w:p>
        </w:tc>
        <w:tc>
          <w:tcPr>
            <w:tcW w:type="dxa" w:w="992"/>
            <w:vAlign w:val="center"/>
            <w:tcMar>
              <w:top w:w="85" w:type="dxa"/>
              <w:left w:w="85" w:type="dxa"/>
              <w:bottom w:w="85" w:type="dxa"/>
              <w:right w:w="85" w:type="dxa"/>
            </w:tcMar>
          </w:tcPr>
          <w:p>
            <w:pPr>
              <w:spacing w:after="60" w:line="247" w:lineRule="auto"/>
              <w:jc w:val="center"/>
            </w:pPr>
            <w:r>
              <w:rPr>
                <w:sz w:val="21"/>
              </w:rPr>
              <w:t>KiB</w:t>
            </w:r>
          </w:p>
        </w:tc>
        <w:tc>
          <w:tcPr>
            <w:tcW w:type="dxa" w:w="6775"/>
            <w:vAlign w:val="center"/>
            <w:tcMar>
              <w:top w:w="85" w:type="dxa"/>
              <w:left w:w="85" w:type="dxa"/>
              <w:bottom w:w="85" w:type="dxa"/>
              <w:right w:w="85" w:type="dxa"/>
            </w:tcMar>
          </w:tcPr>
          <w:p>
            <w:pPr>
              <w:spacing w:after="60" w:line="247" w:lineRule="auto"/>
            </w:pPr>
            <w:r>
              <w:rPr>
                <w:sz w:val="21"/>
              </w:rPr>
              <w:t>Đỉnh cấp phát Python được tracemalloc theo dõi, bytes chia 1024. Không phải RSS, tổng RAM hoặc bộ nhớ GPU.</w:t>
            </w:r>
          </w:p>
        </w:tc>
      </w:tr>
      <w:tr>
        <w:trPr>
          <w:cantSplit/>
        </w:trPr>
        <w:tc>
          <w:tcPr>
            <w:tcW w:type="dxa" w:w="2069"/>
            <w:vAlign w:val="center"/>
            <w:tcMar>
              <w:top w:w="85" w:type="dxa"/>
              <w:left w:w="85" w:type="dxa"/>
              <w:bottom w:w="85" w:type="dxa"/>
              <w:right w:w="85" w:type="dxa"/>
            </w:tcMar>
          </w:tcPr>
          <w:p>
            <w:pPr>
              <w:spacing w:after="60" w:line="247" w:lineRule="auto"/>
            </w:pPr>
            <w:r>
              <w:rPr>
                <w:sz w:val="21"/>
              </w:rPr>
              <w:t>expanded_nodes</w:t>
            </w:r>
          </w:p>
        </w:tc>
        <w:tc>
          <w:tcPr>
            <w:tcW w:type="dxa" w:w="992"/>
            <w:vAlign w:val="center"/>
            <w:tcMar>
              <w:top w:w="85" w:type="dxa"/>
              <w:left w:w="85" w:type="dxa"/>
              <w:bottom w:w="85" w:type="dxa"/>
              <w:right w:w="85" w:type="dxa"/>
            </w:tcMar>
          </w:tcPr>
          <w:p>
            <w:pPr>
              <w:spacing w:after="60" w:line="247" w:lineRule="auto"/>
              <w:jc w:val="center"/>
            </w:pPr>
            <w:r>
              <w:rPr>
                <w:sz w:val="21"/>
              </w:rPr>
              <w:t>node</w:t>
            </w:r>
          </w:p>
        </w:tc>
        <w:tc>
          <w:tcPr>
            <w:tcW w:type="dxa" w:w="6775"/>
            <w:vAlign w:val="center"/>
            <w:tcMar>
              <w:top w:w="85" w:type="dxa"/>
              <w:left w:w="85" w:type="dxa"/>
              <w:bottom w:w="85" w:type="dxa"/>
              <w:right w:w="85" w:type="dxa"/>
            </w:tcMar>
          </w:tcPr>
          <w:p>
            <w:pPr>
              <w:spacing w:after="60" w:line="247" w:lineRule="auto"/>
            </w:pPr>
            <w:r>
              <w:rPr>
                <w:sz w:val="21"/>
              </w:rPr>
              <w:t>Lượt mở rộng state để sinh successor. Không đồng nghĩa số state đã phát hiện hoặc kích thước frontier.</w:t>
            </w:r>
          </w:p>
        </w:tc>
      </w:tr>
      <w:tr>
        <w:trPr>
          <w:cantSplit/>
        </w:trPr>
        <w:tc>
          <w:tcPr>
            <w:tcW w:type="dxa" w:w="2069"/>
            <w:vAlign w:val="center"/>
            <w:tcMar>
              <w:top w:w="85" w:type="dxa"/>
              <w:left w:w="85" w:type="dxa"/>
              <w:bottom w:w="85" w:type="dxa"/>
              <w:right w:w="85" w:type="dxa"/>
            </w:tcMar>
          </w:tcPr>
          <w:p>
            <w:pPr>
              <w:spacing w:after="60" w:line="247" w:lineRule="auto"/>
            </w:pPr>
            <w:r>
              <w:rPr>
                <w:sz w:val="21"/>
              </w:rPr>
              <w:t>solution_length</w:t>
            </w:r>
          </w:p>
        </w:tc>
        <w:tc>
          <w:tcPr>
            <w:tcW w:type="dxa" w:w="992"/>
            <w:vAlign w:val="center"/>
            <w:tcMar>
              <w:top w:w="85" w:type="dxa"/>
              <w:left w:w="85" w:type="dxa"/>
              <w:bottom w:w="85" w:type="dxa"/>
              <w:right w:w="85" w:type="dxa"/>
            </w:tcMar>
          </w:tcPr>
          <w:p>
            <w:pPr>
              <w:spacing w:after="60" w:line="247" w:lineRule="auto"/>
              <w:jc w:val="center"/>
            </w:pPr>
            <w:r>
              <w:rPr>
                <w:sz w:val="21"/>
              </w:rPr>
              <w:t>hành động</w:t>
            </w:r>
          </w:p>
        </w:tc>
        <w:tc>
          <w:tcPr>
            <w:tcW w:type="dxa" w:w="6775"/>
            <w:vAlign w:val="center"/>
            <w:tcMar>
              <w:top w:w="85" w:type="dxa"/>
              <w:left w:w="85" w:type="dxa"/>
              <w:bottom w:w="85" w:type="dxa"/>
              <w:right w:w="85" w:type="dxa"/>
            </w:tcMar>
          </w:tcPr>
          <w:p>
            <w:pPr>
              <w:spacing w:after="60" w:line="247" w:lineRule="auto"/>
            </w:pPr>
            <w:r>
              <w:rPr>
                <w:sz w:val="21"/>
              </w:rPr>
              <w:t>len(moves). Mỗi hướng thường hoặc hướng tiền tố S đều lăn một bước; rolling_steps có cùng giá trị.</w:t>
            </w:r>
          </w:p>
        </w:tc>
      </w:tr>
      <w:tr>
        <w:trPr>
          <w:cantSplit/>
        </w:trPr>
        <w:tc>
          <w:tcPr>
            <w:tcW w:type="dxa" w:w="2069"/>
            <w:vAlign w:val="center"/>
            <w:tcMar>
              <w:top w:w="85" w:type="dxa"/>
              <w:left w:w="85" w:type="dxa"/>
              <w:bottom w:w="85" w:type="dxa"/>
              <w:right w:w="85" w:type="dxa"/>
            </w:tcMar>
          </w:tcPr>
          <w:p>
            <w:pPr>
              <w:spacing w:after="60" w:line="247" w:lineRule="auto"/>
            </w:pPr>
            <w:r>
              <w:rPr>
                <w:sz w:val="21"/>
              </w:rPr>
              <w:t>path_cost</w:t>
            </w:r>
          </w:p>
        </w:tc>
        <w:tc>
          <w:tcPr>
            <w:tcW w:type="dxa" w:w="992"/>
            <w:vAlign w:val="center"/>
            <w:tcMar>
              <w:top w:w="85" w:type="dxa"/>
              <w:left w:w="85" w:type="dxa"/>
              <w:bottom w:w="85" w:type="dxa"/>
              <w:right w:w="85" w:type="dxa"/>
            </w:tcMar>
          </w:tcPr>
          <w:p>
            <w:pPr>
              <w:spacing w:after="60" w:line="247" w:lineRule="auto"/>
              <w:jc w:val="center"/>
            </w:pPr>
            <w:r>
              <w:rPr>
                <w:sz w:val="21"/>
              </w:rPr>
              <w:t>cost</w:t>
            </w:r>
          </w:p>
        </w:tc>
        <w:tc>
          <w:tcPr>
            <w:tcW w:type="dxa" w:w="6775"/>
            <w:vAlign w:val="center"/>
            <w:tcMar>
              <w:top w:w="85" w:type="dxa"/>
              <w:left w:w="85" w:type="dxa"/>
              <w:bottom w:w="85" w:type="dxa"/>
              <w:right w:w="85" w:type="dxa"/>
            </w:tcMar>
          </w:tcPr>
          <w:p>
            <w:pPr>
              <w:spacing w:after="60" w:line="247" w:lineRule="auto"/>
            </w:pPr>
            <w:r>
              <w:rPr>
                <w:sz w:val="21"/>
              </w:rPr>
              <w:t>Chi phí chung do replay tính lại trên trạng thái đến, dùng để so chéo cả bốn solver.</w:t>
            </w:r>
          </w:p>
        </w:tc>
      </w:tr>
      <w:tr>
        <w:trPr>
          <w:cantSplit/>
        </w:trPr>
        <w:tc>
          <w:tcPr>
            <w:tcW w:type="dxa" w:w="2069"/>
            <w:vAlign w:val="center"/>
            <w:tcMar>
              <w:top w:w="85" w:type="dxa"/>
              <w:left w:w="85" w:type="dxa"/>
              <w:bottom w:w="85" w:type="dxa"/>
              <w:right w:w="85" w:type="dxa"/>
            </w:tcMar>
          </w:tcPr>
          <w:p>
            <w:pPr>
              <w:spacing w:after="60" w:line="247" w:lineRule="auto"/>
            </w:pPr>
            <w:r>
              <w:rPr>
                <w:sz w:val="21"/>
              </w:rPr>
              <w:t>total_cost</w:t>
            </w:r>
          </w:p>
        </w:tc>
        <w:tc>
          <w:tcPr>
            <w:tcW w:type="dxa" w:w="992"/>
            <w:vAlign w:val="center"/>
            <w:tcMar>
              <w:top w:w="85" w:type="dxa"/>
              <w:left w:w="85" w:type="dxa"/>
              <w:bottom w:w="85" w:type="dxa"/>
              <w:right w:w="85" w:type="dxa"/>
            </w:tcMar>
          </w:tcPr>
          <w:p>
            <w:pPr>
              <w:spacing w:after="60" w:line="247" w:lineRule="auto"/>
              <w:jc w:val="center"/>
            </w:pPr>
            <w:r>
              <w:rPr>
                <w:sz w:val="21"/>
              </w:rPr>
              <w:t>cost gốc</w:t>
            </w:r>
          </w:p>
        </w:tc>
        <w:tc>
          <w:tcPr>
            <w:tcW w:type="dxa" w:w="6775"/>
            <w:vAlign w:val="center"/>
            <w:tcMar>
              <w:top w:w="85" w:type="dxa"/>
              <w:left w:w="85" w:type="dxa"/>
              <w:bottom w:w="85" w:type="dxa"/>
              <w:right w:w="85" w:type="dxa"/>
            </w:tcMar>
          </w:tcPr>
          <w:p>
            <w:pPr>
              <w:spacing w:after="60" w:line="247" w:lineRule="auto"/>
            </w:pPr>
            <w:r>
              <w:rPr>
                <w:sz w:val="21"/>
              </w:rPr>
              <w:t>BFS/DFS trả số hành động; UCS/A* trả cost có trọng số. Không so trực tiếp hai ý nghĩa khác nhau.</w:t>
            </w:r>
          </w:p>
        </w:tc>
      </w:tr>
    </w:tbl>
    <w:p>
      <w:r>
        <w:t>Định nghĩa bốn chỉ số bắt buộc là bốn hàng đầu; cost là chỉ số bổ sung cho chất lượng đường đi. Một bước có chi phí cơ bản 1, cộng 0,5 cho mỗi ô fragile mà toàn bộ khối chiếm sau bước đó. Khi SPLIT, tính cả hai cube, kể cả cube không di chuyển; hiệu ứng teleport đã được xử lý trước khi tính cost.</w:t>
      </w:r>
    </w:p>
    <w:p>
      <w:r>
        <w:t>Tìm kiếm có UP, LEFT, RIGHT, DOWN, SUP, SLEFT, SRIGHT, SDOWN. Tiền tố S đổi cube rồi lăn trong cùng một cạnh. SPACE chỉ chọn cube miễn phí khi chơi tay, không có trong moves của solver. Không dùng dữ liệu cũ có cạnh SPACE riêng để so với đợt này.</w:t>
      </w:r>
    </w:p>
    <w:p>
      <w:r>
        <w:t>Cách đếm expanded_nodes cần được giữ đúng khi phân tích: BFS/DFS kiểm tra goal lúc sinh con, nên không mở rộng goal đó. UCS/A* kiểm tra goal lúc lấy khỏi heap và bỏ entry lỗi thời trước khi đếm mở rộng. Do đó không đồng nhất expanded_nodes với tổng số lần pop hoặc discovered states.</w:t>
      </w:r>
    </w:p>
    <w:p>
      <w:pPr>
        <w:pStyle w:val="Heading1"/>
      </w:pPr>
      <w:r>
        <w:t>4 Trạng thái và mẫu được tổng hợp</w:t>
      </w:r>
    </w:p>
    <w:p>
      <w:r>
        <w:t>SOLVED: đường đi replay hợp lệ tới đích. Đưa thời gian, memory, node và chất lượng nghiệm vào các tập mẫu tương ứng. Chi phí UCS/A* phải khớp cost chung; BFS/DFS giữ cost gốc riêng.</w:t>
      </w:r>
    </w:p>
    <w:p>
      <w:r>
        <w:t>NO_SOLUTION: tìm kiếm hoàn tất nhưng không tìm thấy nghiệm. Thời gian, memory và node vẫn là phép đo hợp lệ. Không có mẫu độ dài hoặc cost lời giải; total_cost=0 của solver không được đưa vào thống kê chất lượng đường đi.</w:t>
      </w:r>
    </w:p>
    <w:p>
      <w:r>
        <w:t>TIMEOUT và ERROR: đếm riêng, giữ lý do và để trống metric chưa đo. Không thay timeout bằng 0 hoặc 120.000 ms, vì không có phép đo hoàn tất tương ứng. Timeout không chứng minh vô nghiệm.</w:t>
      </w:r>
    </w:p>
    <w:p>
      <w:r>
        <w:t>INVALID_PATH: solver khai báo có nghiệm nhưng replay thất bại. Giữ nguyên bản ghi, đếm riêng và loại khỏi mọi tập metric tổng hợp. Trạng thái này không được tính thành SOLVED hoặc NO_SOLUTION.</w:t>
      </w:r>
    </w:p>
    <w:p>
      <w:r>
        <w:t>Tỷ lệ thành công là số SOLVED chia toàn bộ runs, kể cả timeout/lỗi. measured_runs là số SOLVED cộng NO_SOLUTION. Q04 hiện tại: 300 SOLVED, 0 NO_SOLUTION, 0 TIMEOUT, 0 ERROR, 0 INVALID_PATH. Từng dòng CSV ghi số mẫu thực tế; không suy mặc định mọi chỉ số đều có đủ ba mẫu.</w:t>
      </w:r>
    </w:p>
    <w:p>
      <w:r>
        <w:br w:type="page"/>
      </w:r>
    </w:p>
    <w:p>
      <w:pPr>
        <w:pStyle w:val="Heading1"/>
      </w:pPr>
      <w:r>
        <w:t>5 Quy tắc tạo CSV tổng hợp</w:t>
      </w:r>
    </w:p>
    <w:p>
      <w:r>
        <w:t>Src/benchmarks/cli.py (chế độ summarize) chỉ đọc một đợt CLI đầy đủ. Công cụ đối chiếu run-config.json với environment.json, kiểm tra schema 16 cột, đủ tích màn × solver × repeat, run_id không trùng và mọi dòng CSV khớp JSON tương ứng. Thiếu/trùng lượt, tên màn lệch nhóm, số âm/NaN hoặc metric giả cho timeout làm lệnh thất bại trước khi tạo summary.csv.</w:t>
      </w:r>
    </w:p>
    <w:p>
      <w:r>
        <w:t>Mỗi dòng đầu ra ứng với một cặp level_id–solver; đợt hiện tại có 25 × 4 = 100 dòng. Các dòng giữ nhóm màn, stress, số lượt, từng bộ đếm trạng thái, tỷ lệ thành công, timeout, commit đã đo, hash bộ màn và SHA-256 của raw.csv. CSV dùng UTF-8 có BOM để giữ tiếng Việt khi mở trong Excel.</w:t>
      </w:r>
    </w:p>
    <w:p>
      <w:r>
        <w:t>Mỗi metric có bốn cột hậu tố _median, _min, _max, _iqr. IQR là Q3 trừ Q1, tính bằng statistics.quantiles(..., n=4, method="inclusive"). Không có mẫu thì cả bốn ô trống; chỉ một mẫu thì median/min/max có giá trị còn IQR trống. Kết quả trung gian không bị làm tròn trước khi tính; median/IQR được ghi tối đa sáu chữ số thập phân, không hàm ý độ chính xác vật lý tương ứng.</w:t>
      </w:r>
    </w:p>
    <w:p>
      <w:r>
        <w:t>Ba metric tìm kiếm dùng các lượt SOLVED hoặc NO_SOLUTION. Ba metric solution_length, total_cost, path_cost chỉ dùng SOLVED. Số mẫu của ba metric tìm kiếm là measured_runs; số mẫu chất lượng nghiệm là solved. Không gộp các màn khác nhau vào một median chung rồi gọi đó là độ khó đại diện.</w:t>
      </w:r>
    </w:p>
    <w:p>
      <w:r>
        <w:t>Với ba mẫu, median là giá trị giữa sau khi sắp tăng dần; IQR inclusive bằng nửa khoảng min–max. Ví dụ màn 18 / DFS trong dữ liệu thật có thời gian min 19.106 ms, median 20.242 ms, max 28.285 ms và IQR 4.5895 ms. Giữ cả min/max để thấy dao động của ba lượt.</w:t>
      </w:r>
    </w:p>
    <w:p>
      <w:pPr>
        <w:pStyle w:val="Heading1"/>
      </w:pPr>
      <w:r>
        <w:t>6 Tái lập và kiểm tra kết quả</w:t>
      </w:r>
    </w:p>
    <w:p>
      <w:r>
        <w:t>Chạy từ Src. Mặc định, lệnh tổng hợp chỉ tạo summary.csv nếu file chưa tồn tại; công cụ từ chối ghi đè. Với gói đã bàn giao, dùng --output tới một file mới để đối chiếu, không chạy lại solver:</w:t>
      </w:r>
    </w:p>
    <w:p>
      <w:pPr>
        <w:spacing w:line="240" w:lineRule="auto"/>
      </w:pPr>
      <w:r>
        <w:rPr>
          <w:rFonts w:ascii="Consolas" w:hAnsi="Consolas"/>
          <w:sz w:val="18"/>
        </w:rPr>
        <w:t>$batch = "../handoff/quan/benchmarks/q04"</w:t>
        <w:br/>
        <w:t>python -m benchmarks.cli summarize $batch `</w:t>
        <w:br/>
        <w:t xml:space="preserve">  --output "$env:TEMP/bloxorz-summary-recheck.csv"</w:t>
      </w:r>
    </w:p>
    <w:p>
      <w:r>
        <w:t>Bộ kiểm tra mới có sáu test cho median/IQR với outlier, mẫu số khi đủ năm trạng thái, nhóm không đo được, phát hiện thiếu/trùng/mâu thuẫn CSV–JSON, NaN/metric timeout giả và chống ghi đè. Kiểm tra độc lập toàn bộ Q04 dùng công thức sắp ba mẫu để đối chiếu mọi dòng và mọi metric:</w:t>
      </w:r>
    </w:p>
    <w:p>
      <w:pPr>
        <w:spacing w:line="240" w:lineRule="auto"/>
      </w:pPr>
      <w:r>
        <w:rPr>
          <w:rFonts w:ascii="Consolas" w:hAnsi="Consolas"/>
          <w:sz w:val="18"/>
        </w:rPr>
        <w:t>python -m unittest tests.test_summary -v</w:t>
      </w:r>
    </w:p>
    <w:p>
      <w:r>
        <w:t>Q04 đã replay và đối chiếu schema/cost cho 300 lời giải SOLVED, kiểm tra mốc BFS ít bước và UCS/A* ít cost trên testcase. Q05 kiểm tra lại tính nhất quán đầu vào và các phép tổng hợp; không dùng lời giải mẫu để điền số liệu, không sửa raw.csv, JSON hoặc metadata.</w:t>
      </w:r>
    </w:p>
    <w:p>
      <w:r>
        <w:br w:type="page"/>
      </w:r>
    </w:p>
    <w:p>
      <w:pPr>
        <w:pStyle w:val="Heading1"/>
      </w:pPr>
      <w:r>
        <w:t>7 Giới hạn khi diễn giải</w:t>
      </w:r>
    </w:p>
    <w:p>
      <w:r>
        <w:t>Ba lần lặp là cấu hình của đợt này, không phải số mẫu lớn. Thời gian có thể dao động theo scheduler, tác vụ nền, xung nhịp và nhiệt độ; đợt đo không ghi lại power plan, nhiệt độ hoặc tải nền cho từng lượt. Vì vậy, median/IQR mô tả ba phép đo đã có, không tạo bằng chứng về ý nghĩa thống kê hay bảo đảm thứ hạng trên máy khác.</w:t>
      </w:r>
    </w:p>
    <w:p>
      <w:r>
        <w:t>Thứ tự thuật toán cố định và không có warm-up riêng có thể gây ảnh hưởng thứ tự/cache. Không tự ghi phương pháp là randomized hoặc coi ba lần lặp là các thí nghiệm độc lập hoàn toàn. Các chênh lệch dưới mili giây cần được đọc cùng node và chất lượng nghiệm. Profiler bật tracemalloc cũng tạo overhead, nên số đo không đại diện tốc độ core khi tắt công cụ theo dõi bộ nhớ.</w:t>
      </w:r>
    </w:p>
    <w:p>
      <w:r>
        <w:t>Bộ màn được chọn có chủ đích để giữ cơ chế và tạo đối chứng, không lấy mẫu ngẫu nhiên từ mọi bài toán Bloxorz. Màn 17–20 là bốn góc xoay của cùng thiết kế; 21–22 và 24–25 cũng là cặp xoay. Giữ chúng cùng nhau khi phân tích độ nhạy thứ tự duyệt; không gọi chúng là các bài toán độc lập hoặc dùng một tỷ lệ thắng tổng quát để khẳng định một thuật toán thống trị.</w:t>
      </w:r>
    </w:p>
    <w:p>
      <w:r>
        <w:t>Tốc độ tìm nghiệm đầu tiên, độ dài và cost là các mục tiêu khác nhau. So BFS/DFS với UCS/A* bằng path_cost chung khi xét cost; nêu rõ tiêu chí khi chọn solver. Mọi màn Q04 đều có nghiệm, nên tỷ lệ SOLVED của Q04 không đánh giá hiệu năng trên toàn bộ lớp vô nghiệm hoặc chứng minh tính tối ưu tổng quát của A*. Kiểm tra mốc tối ưu của bộ ca không thay chứng minh admissible/consistent.</w:t>
      </w:r>
    </w:p>
    <w:p>
      <w:r>
        <w:t>Cấu hình Q04 do Quân yêu cầu chốt ngày 31/10/2026. Các xác nhận nội dung cost/heuristic và nghiệm thu nhóm còn để riêng trong baseline; tài liệu heuristic của Thiện cần khớp source dùng để đo. Nếu thay engine, hành động, cost, heuristic hoặc phép đo, giữ đợt này theo đúng phiên bản và xác định phần cần chạy lại. Không gán dữ liệu cũ cho code mới.</w:t>
      </w:r>
    </w:p>
    <w:p>
      <w:pPr>
        <w:pStyle w:val="Heading1"/>
      </w:pPr>
      <w:r>
        <w:t>8 Nguồn bàn giao và sử dụng AI</w:t>
      </w:r>
    </w:p>
    <w:p>
      <w:r>
        <w:t>[1] handoff/quan/benchmarks/q04: raw.csv, runs/*.json, environment.json, run-config.json; source đo được ghi đầy đủ tại mục 1. Nguồn trực tiếp của 300 phép đo và metadata. SHA-256 của raw.csv:</w:t>
      </w:r>
    </w:p>
    <w:p>
      <w:pPr>
        <w:spacing w:line="240" w:lineRule="auto"/>
      </w:pPr>
      <w:r>
        <w:rPr>
          <w:rFonts w:ascii="Consolas" w:hAnsi="Consolas"/>
          <w:sz w:val="18"/>
        </w:rPr>
        <w:t>7ba64d75de825a365637dda1288e582b2714c8ebcb1bec468f0f91065d1a91aa</w:t>
      </w:r>
    </w:p>
    <w:p>
      <w:r>
        <w:t>[2] Src/benchmarks/cli.py; Src/solvers/base.py; Src/core/board.py; Src/core/replay.py; Src/solvers/costs.py và bốn solver ở snapshot đo. Đây là căn cứ cho vùng đo, timeout, expanded_nodes, hành động và hai cách hiểu cost. Src/tests/test_cases.json cung cấp các mốc kiểm chứng.</w:t>
      </w:r>
    </w:p>
    <w:p>
      <w:r>
        <w:t>[3] Src/benchmarks/cli.py (chế độ summarize) và Src/tests/test_summary.py: quy tắc kiểm tra batch, tổng hợp, IQR inclusive và test của Q05. handoff/quan/level-groups.csv cùng Src/tests/test_level_contrasts.py xác nhận nhóm và các đối chứng của bộ màn.</w:t>
      </w:r>
    </w:p>
    <w:p>
      <w:r>
        <w:t>Khai báo AI: Codex hỗ trợ viết công cụ tổng hợp/test, đối chiếu số liệu và soạn tài liệu này. Các giá trị hiệu năng lấy từ solver Python trong Q04; AI không thay solver, tạo số đo giả hoặc điền lượt thất bại bằng suy đoán. Phúc dùng CSV để làm bảng/biểu đồ, Nam dùng nội dung phương pháp cho báo cáo; các nhận xét kết quả phải truy được về đúng dòng CSV và phiên bản nguồn.</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line="257" w:lineRule="auto"/>
      <w:outlineLvl w:val="0"/>
    </w:pPr>
    <w:rPr>
      <w:rFonts w:asciiTheme="majorHAnsi" w:eastAsiaTheme="majorEastAsia" w:hAnsiTheme="majorHAnsi" w:cstheme="majorBidi" w:ascii="Times New Roman" w:hAnsi="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7"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7" w:lineRule="auto"/>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pháp thực nghiệm Bloxorz</dc:title>
  <dc:subject>Q05 Tổng hợp Q04 và định nghĩa phép đo</dc:subject>
  <dc:creator>Nguyễn Lê Minh Quân</dc:creator>
  <cp:keywords/>
  <dc:description>generated by python-docx</dc:description>
  <cp:lastModifiedBy/>
  <cp:revision>1</cp:revision>
  <dcterms:created xsi:type="dcterms:W3CDTF">2013-12-23T23:15:00Z</dcterms:created>
  <dcterms:modified xsi:type="dcterms:W3CDTF">2013-12-23T23:15:00Z</dcterms:modified>
  <cp:category/>
</cp:coreProperties>
</file>