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</w:pPr>
      <w:r>
        <w:t>TMAI</w:t>
      </w:r>
    </w:p>
    <w:p>
      <w:pPr>
        <w:pStyle w:val="CoverSub"/>
      </w:pPr>
      <w:r>
        <w:t>Private AI Infrastructure for the SME Market</w:t>
      </w:r>
    </w:p>
    <w:p>
      <w:pPr>
        <w:pStyle w:val="CoverSub"/>
      </w:pPr>
      <w:r>
        <w:t>Business Plan &amp; Investment Opportunity</w:t>
      </w:r>
    </w:p>
    <w:p>
      <w:r/>
    </w:p>
    <w:p>
      <w:pPr>
        <w:pStyle w:val="Highlight"/>
      </w:pPr>
      <w:r>
        <w:t>Cognitive Sovereignty — Stop Renting AI. Own Your Intelligence.</w:t>
      </w:r>
    </w:p>
    <w:p>
      <w:r/>
    </w:p>
    <w:p>
      <w:pPr>
        <w:pStyle w:val="SmallText"/>
      </w:pPr>
      <w:r>
        <w:t>CONFIDENTIAL — For qualified investors only</w:t>
      </w:r>
    </w:p>
    <w:p>
      <w:pPr>
        <w:pStyle w:val="SmallText"/>
      </w:pPr>
      <w:r>
        <w:t>August 2026 | ceo@tmai.ltd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TMAI deploys private AI infrastructure for small and medium businesses that cannot afford black-box cloud AI with unpredictable costs and data leakage risks. Our Glass Box architecture — on-premises NVIDIA hardware running open-weight LLMs — delivers zero data leakage, fixed capital expenditure, and unlimited agent loops at zero marginal cost.</w:t>
      </w:r>
    </w:p>
    <w:p>
      <w:r/>
    </w:p>
    <w:p>
      <w:r>
        <w:t>Founded by Pete Brooke-Sumner (CEO, TMI Digital — Google Partner since 2015), TMAI brings 20+ years of digital marketing infrastructure experience and a built-in channel of 20+ client accounts to its go-to-market strategy.</w:t>
      </w:r>
    </w:p>
    <w:p>
      <w:r/>
    </w:p>
    <w:p>
      <w:r>
        <w:t>The Ask: $5-10 million Seed Round to procure NVIDIA hardware, build the engineering team, and launch in the South African SME market. Path to R145 million ARR by Year 3.</w:t>
      </w:r>
    </w:p>
    <w:p>
      <w:r/>
    </w:p>
    <w:p>
      <w:pPr>
        <w:pStyle w:val="ListNumber"/>
      </w:pPr>
      <w:r>
        <w:t>Global AI Infrastructure Market: $394.46 billion by 2030 (CAGR 30.4%)</w:t>
      </w:r>
    </w:p>
    <w:p>
      <w:pPr>
        <w:pStyle w:val="ListNumber"/>
      </w:pPr>
      <w:r>
        <w:t>Token costs increased 30x since 2023 — from $0.04 to $1.20 per agentic interaction (EY)</w:t>
      </w:r>
    </w:p>
    <w:p>
      <w:pPr>
        <w:pStyle w:val="ListNumber"/>
      </w:pPr>
      <w:r>
        <w:t>Goldman Sachs projects 24x token consumption growth by 2030</w:t>
      </w:r>
    </w:p>
    <w:p>
      <w:pPr>
        <w:pStyle w:val="ListNumber"/>
      </w:pPr>
      <w:r>
        <w:t>Microsoft investing $329 million in South African AI infrastructure</w:t>
      </w:r>
    </w:p>
    <w:p>
      <w:pPr>
        <w:pStyle w:val="ListNumber"/>
      </w:pPr>
      <w:r>
        <w:t>Refiant AI (South African startup) raised $5 million in 2025 — investor appetite proven</w:t>
      </w:r>
    </w:p>
    <w:p>
      <w:r>
        <w:br w:type="page"/>
      </w:r>
    </w:p>
    <w:p>
      <w:pPr>
        <w:pStyle w:val="Heading1"/>
      </w:pPr>
      <w:r>
        <w:t>2. The Problem: Cloud AI Fragility</w:t>
      </w:r>
    </w:p>
    <w:p>
      <w:r>
        <w:t>Every SME deploying cloud AI faces the same risks — and the costs are spiraling.</w:t>
      </w:r>
    </w:p>
    <w:p>
      <w:r/>
    </w:p>
    <w:p>
      <w:pPr>
        <w:pStyle w:val="Heading2"/>
      </w:pPr>
      <w:r>
        <w:t>2.1 IP Leakage</w:t>
      </w:r>
    </w:p>
    <w:p>
      <w:r>
        <w:t>Training data sent to cloud providers becomes part of their future models. Your proprietary data, client information, and competitive insights leave your organisation and enter the training sets of third-party models. There is no audit trail and no opt-out mechanism.</w:t>
      </w:r>
    </w:p>
    <w:p>
      <w:r/>
    </w:p>
    <w:p>
      <w:pPr>
        <w:pStyle w:val="Heading2"/>
      </w:pPr>
      <w:r>
        <w:t>2.2 Unpredictable Costs</w:t>
      </w:r>
    </w:p>
    <w:p>
      <w:r>
        <w:t>Per-token pricing creates opaque, ever-expanding bills. EY found that agentic customer service interaction costs rose from $0.04 in 2023 to $1.20 in 2026 — a 30x increase. Goldman Sachs projects a 24x increase in token consumption by 2030, driven by enterprise AI agents. The more efficient you make AI, the greater the demand — the Jevons Paradox at work.</w:t>
      </w:r>
    </w:p>
    <w:p>
      <w:r/>
    </w:p>
    <w:p>
      <w:pPr>
        <w:pStyle w:val="Heading2"/>
      </w:pPr>
      <w:r>
        <w:t>2.3 Regulatory Risk</w:t>
      </w:r>
    </w:p>
    <w:p>
      <w:r>
        <w:t>POPIA and GDPR compliance become impossible when data crosses third-party boundaries. The BBC and BCS have documented the SME AI adoption gap explicitly — thin margins, scarce skills, and no time to experiment with infrastructure that may violate data protection mandates.</w:t>
      </w:r>
    </w:p>
    <w:p>
      <w:r/>
    </w:p>
    <w:p>
      <w:pPr>
        <w:pStyle w:val="Heading2"/>
      </w:pPr>
      <w:r>
        <w:t>2.4 Model Drift</w:t>
      </w:r>
    </w:p>
    <w:p>
      <w:r>
        <w:t>Black-box updates from cloud providers break production workflows without warning. No audit trail. No version control. No ability to roll back to a known-good model state.</w:t>
      </w:r>
    </w:p>
    <w:p>
      <w:r>
        <w:br w:type="page"/>
      </w:r>
    </w:p>
    <w:p>
      <w:pPr>
        <w:pStyle w:val="Heading1"/>
      </w:pPr>
      <w:r>
        <w:t>3. The Solution: Glass Box Architecture</w:t>
      </w:r>
    </w:p>
    <w:p>
      <w:r>
        <w:t>Not a black box. Every decision traceable. Every weight yours. Every byte stays on your hardware.</w:t>
      </w:r>
    </w:p>
    <w:p>
      <w:r/>
    </w:p>
    <w:p>
      <w:r>
        <w:t>Think of it like buying a generator instead of renting electricity. You pay once, you control the output, you never get surprise bills.</w:t>
      </w:r>
    </w:p>
    <w:p>
      <w:r/>
    </w:p>
    <w:p>
      <w:pPr>
        <w:pStyle w:val="Heading2"/>
      </w:pPr>
      <w:r>
        <w:t>3.1 Six Core Modules</w:t>
      </w:r>
    </w:p>
    <w:p>
      <w:pPr>
        <w:pStyle w:val="ListNumber"/>
      </w:pPr>
      <w:r>
        <w:t>Core Compute — Optimised GPU clusters for LLM inference and training workloads</w:t>
      </w:r>
    </w:p>
    <w:p>
      <w:pPr>
        <w:pStyle w:val="ListNumber"/>
      </w:pPr>
      <w:r>
        <w:t>Vector Hub — Ultra-fast RAG retrieval for your entire document corpus</w:t>
      </w:r>
    </w:p>
    <w:p>
      <w:pPr>
        <w:pStyle w:val="ListNumber"/>
      </w:pPr>
      <w:r>
        <w:t>Guardrails — Automated PII filtering and hallucination detection built into every model call</w:t>
      </w:r>
    </w:p>
    <w:p>
      <w:pPr>
        <w:pStyle w:val="ListNumber"/>
      </w:pPr>
      <w:r>
        <w:t>Control Plane — Unified dashboard for managing model versions, fine-tuning, and users</w:t>
      </w:r>
    </w:p>
    <w:p>
      <w:pPr>
        <w:pStyle w:val="ListNumber"/>
      </w:pPr>
      <w:r>
        <w:t>Agentic Runtime — Purpose-built for AI agents that think, loop, and act. Unlimited loops at zero marginal cost</w:t>
      </w:r>
    </w:p>
    <w:p>
      <w:pPr>
        <w:pStyle w:val="ListNumber"/>
      </w:pPr>
      <w:r>
        <w:t>Cost Intelligence — Built-in token tracking and cost comparison dashboard</w:t>
      </w:r>
    </w:p>
    <w:p>
      <w:r/>
    </w:p>
    <w:p>
      <w:pPr>
        <w:pStyle w:val="Heading2"/>
      </w:pPr>
      <w:r>
        <w:t>3.2 Hardware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882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882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882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1882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1882"/>
          </w:tcPr>
          <w:p>
            <w:r>
              <w:t>Starter</w:t>
            </w:r>
          </w:p>
        </w:tc>
        <w:tc>
          <w:tcPr>
            <w:tcW w:type="dxa" w:w="1882"/>
          </w:tcPr>
          <w:p>
            <w:r>
              <w:t>ASUS Ascent GX10</w:t>
            </w:r>
          </w:p>
        </w:tc>
        <w:tc>
          <w:tcPr>
            <w:tcW w:type="dxa" w:w="1882"/>
          </w:tcPr>
          <w:p>
            <w:r>
              <w:t>$2,999</w:t>
            </w:r>
          </w:p>
        </w:tc>
        <w:tc>
          <w:tcPr>
            <w:tcW w:type="dxa" w:w="1882"/>
          </w:tcPr>
          <w:p>
            <w:r>
              <w:t>1 petaflop AI (GB10)</w:t>
            </w:r>
          </w:p>
        </w:tc>
        <w:tc>
          <w:tcPr>
            <w:tcW w:type="dxa" w:w="1882"/>
          </w:tcPr>
          <w:p>
            <w:r>
              <w:t>7B-70B parameter models</w:t>
            </w:r>
          </w:p>
        </w:tc>
      </w:tr>
      <w:tr>
        <w:tc>
          <w:tcPr>
            <w:tcW w:type="dxa" w:w="1882"/>
          </w:tcPr>
          <w:p>
            <w:r>
              <w:t>Enterprise</w:t>
            </w:r>
          </w:p>
        </w:tc>
        <w:tc>
          <w:tcPr>
            <w:tcW w:type="dxa" w:w="1882"/>
          </w:tcPr>
          <w:p>
            <w:r>
              <w:t>DGX Station A100</w:t>
            </w:r>
          </w:p>
        </w:tc>
        <w:tc>
          <w:tcPr>
            <w:tcW w:type="dxa" w:w="1882"/>
          </w:tcPr>
          <w:p>
            <w:r>
              <w:t>$100-120K</w:t>
            </w:r>
          </w:p>
        </w:tc>
        <w:tc>
          <w:tcPr>
            <w:tcW w:type="dxa" w:w="1882"/>
          </w:tcPr>
          <w:p>
            <w:r>
              <w:t>2.5 petaflops (A100 80GB x4)</w:t>
            </w:r>
          </w:p>
        </w:tc>
        <w:tc>
          <w:tcPr>
            <w:tcW w:type="dxa" w:w="1882"/>
          </w:tcPr>
          <w:p>
            <w:r>
              <w:t>Multi-model concurrent inference</w:t>
            </w:r>
          </w:p>
        </w:tc>
      </w:tr>
      <w:tr>
        <w:tc>
          <w:tcPr>
            <w:tcW w:type="dxa" w:w="1882"/>
          </w:tcPr>
          <w:p>
            <w:r>
              <w:t>Scale-Out</w:t>
            </w:r>
          </w:p>
        </w:tc>
        <w:tc>
          <w:tcPr>
            <w:tcW w:type="dxa" w:w="1882"/>
          </w:tcPr>
          <w:p>
            <w:r>
              <w:t>Multi-Node Cluster</w:t>
            </w:r>
          </w:p>
        </w:tc>
        <w:tc>
          <w:tcPr>
            <w:tcW w:type="dxa" w:w="1882"/>
          </w:tcPr>
          <w:p>
            <w:r>
              <w:t>Custom</w:t>
            </w:r>
          </w:p>
        </w:tc>
        <w:tc>
          <w:tcPr>
            <w:tcW w:type="dxa" w:w="1882"/>
          </w:tcPr>
          <w:p>
            <w:r>
              <w:t>Unbounded with InfiniBand</w:t>
            </w:r>
          </w:p>
        </w:tc>
        <w:tc>
          <w:tcPr>
            <w:tcW w:type="dxa" w:w="1882"/>
          </w:tcPr>
          <w:p>
            <w:r>
              <w:t>Multi-tenant, 50+ users</w:t>
            </w:r>
          </w:p>
        </w:tc>
      </w:tr>
    </w:tbl>
    <w:p>
      <w:r>
        <w:br w:type="page"/>
      </w:r>
    </w:p>
    <w:p>
      <w:pPr>
        <w:pStyle w:val="Heading1"/>
      </w:pPr>
      <w:r>
        <w:t>4. Market Opportunity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37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7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37"/>
          </w:tcPr>
          <w:p>
            <w:r>
              <w:t>TAM</w:t>
            </w:r>
          </w:p>
        </w:tc>
        <w:tc>
          <w:tcPr>
            <w:tcW w:type="dxa" w:w="3137"/>
          </w:tcPr>
          <w:p>
            <w:r>
              <w:t>$394.46 billion by 2030</w:t>
            </w:r>
          </w:p>
        </w:tc>
        <w:tc>
          <w:tcPr>
            <w:tcW w:type="dxa" w:w="3137"/>
          </w:tcPr>
          <w:p>
            <w:r>
              <w:t>MarketsandMarkets</w:t>
            </w:r>
          </w:p>
        </w:tc>
      </w:tr>
      <w:tr>
        <w:tc>
          <w:tcPr>
            <w:tcW w:type="dxa" w:w="3137"/>
          </w:tcPr>
          <w:p>
            <w:r>
              <w:t>SAM</w:t>
            </w:r>
          </w:p>
        </w:tc>
        <w:tc>
          <w:tcPr>
            <w:tcW w:type="dxa" w:w="3137"/>
          </w:tcPr>
          <w:p>
            <w:r>
              <w:t>$15-25 billion</w:t>
            </w:r>
          </w:p>
        </w:tc>
        <w:tc>
          <w:tcPr>
            <w:tcW w:type="dxa" w:w="3137"/>
          </w:tcPr>
          <w:p>
            <w:r>
              <w:t>SME private AI segment</w:t>
            </w:r>
          </w:p>
        </w:tc>
      </w:tr>
      <w:tr>
        <w:tc>
          <w:tcPr>
            <w:tcW w:type="dxa" w:w="3137"/>
          </w:tcPr>
          <w:p>
            <w:r>
              <w:t>SOM</w:t>
            </w:r>
          </w:p>
        </w:tc>
        <w:tc>
          <w:tcPr>
            <w:tcW w:type="dxa" w:w="3137"/>
          </w:tcPr>
          <w:p>
            <w:r>
              <w:t>5.5M+ SMEs</w:t>
            </w:r>
          </w:p>
        </w:tc>
        <w:tc>
          <w:tcPr>
            <w:tcW w:type="dxa" w:w="3137"/>
          </w:tcPr>
          <w:p>
            <w:r>
              <w:t>South Africa alone</w:t>
            </w:r>
          </w:p>
        </w:tc>
      </w:tr>
    </w:tbl>
    <w:p>
      <w:r/>
    </w:p>
    <w:p>
      <w:pPr>
        <w:pStyle w:val="Heading2"/>
      </w:pPr>
      <w:r>
        <w:t>4.1 Why Now</w:t>
      </w:r>
    </w:p>
    <w:p>
      <w:pPr>
        <w:pStyle w:val="ListNumber"/>
      </w:pPr>
      <w:r>
        <w:t>Token costs up 30x since 2023 (EY)</w:t>
      </w:r>
    </w:p>
    <w:p>
      <w:pPr>
        <w:pStyle w:val="ListNumber"/>
      </w:pPr>
      <w:r>
        <w:t>24x token consumption increase projected by 2030 (Goldman Sachs)</w:t>
      </w:r>
    </w:p>
    <w:p>
      <w:pPr>
        <w:pStyle w:val="ListNumber"/>
      </w:pPr>
      <w:r>
        <w:t>ASUS GX10 at $2,999 — enterprise AI on a desktop budget</w:t>
      </w:r>
    </w:p>
    <w:p>
      <w:pPr>
        <w:pStyle w:val="ListNumber"/>
      </w:pPr>
      <w:r>
        <w:t>Microsoft investing $329M in SA AI infrastructure</w:t>
      </w:r>
    </w:p>
    <w:p>
      <w:pPr>
        <w:pStyle w:val="ListNumber"/>
      </w:pPr>
      <w:r>
        <w:t>Refiant AI raised $5M in 2025 — proving investor appetite</w:t>
      </w:r>
    </w:p>
    <w:p>
      <w:pPr>
        <w:pStyle w:val="ListNumber"/>
      </w:pPr>
      <w:r>
        <w:t>SA government targeting January 2027 for revised AI policy</w:t>
      </w:r>
    </w:p>
    <w:p>
      <w:r>
        <w:br w:type="page"/>
      </w:r>
    </w:p>
    <w:p>
      <w:pPr>
        <w:pStyle w:val="Heading1"/>
      </w:pPr>
      <w:r>
        <w:t>5. Business Model</w:t>
      </w:r>
    </w:p>
    <w:p>
      <w:pPr>
        <w:pStyle w:val="Heading2"/>
      </w:pPr>
      <w:r>
        <w:t>5.1 Three Revenue Streams</w:t>
      </w:r>
    </w:p>
    <w:p>
      <w:pPr>
        <w:pStyle w:val="Highlight"/>
      </w:pPr>
      <w:r>
        <w:t>Stream 1: Private LLM Hosting for SMEs</w:t>
      </w:r>
    </w:p>
    <w:p>
      <w:r>
        <w:t>On-premises or local data centre deployment for SMEs in regulated sectors — legal, healthcare, finance. Monthly subscription of R15,000-R75,000 per client.</w:t>
      </w:r>
    </w:p>
    <w:p>
      <w:r/>
    </w:p>
    <w:p>
      <w:pPr>
        <w:pStyle w:val="Highlight"/>
      </w:pPr>
      <w:r>
        <w:t>Stream 2: TMI Digital Agency Integration</w:t>
      </w:r>
    </w:p>
    <w:p>
      <w:r>
        <w:t>Private LLM automation for TMI Digital's 20+ existing client accounts. Monthly retainer uplift of R20,000-R50,000 per client.</w:t>
      </w:r>
    </w:p>
    <w:p>
      <w:r/>
    </w:p>
    <w:p>
      <w:pPr>
        <w:pStyle w:val="Highlight"/>
      </w:pPr>
      <w:r>
        <w:t>Stream 3: Subscription / Managed Service Platform</w:t>
      </w:r>
    </w:p>
    <w:p>
      <w:r>
        <w:t>Tiered SaaS: Starter (R5,000/month), Professional (R25,000/month), Enterprise (R75,000/month).</w:t>
      </w:r>
    </w:p>
    <w:p>
      <w:r/>
    </w:p>
    <w:p>
      <w:pPr>
        <w:pStyle w:val="Heading2"/>
      </w:pPr>
      <w:r>
        <w:t>5.2 Unit Economics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6"/>
          </w:tcPr>
          <w:p>
            <w:r>
              <w:t>GX10 unit cost</w:t>
            </w:r>
          </w:p>
        </w:tc>
        <w:tc>
          <w:tcPr>
            <w:tcW w:type="dxa" w:w="4706"/>
          </w:tcPr>
          <w:p>
            <w:r>
              <w:t>$2,999</w:t>
            </w:r>
          </w:p>
        </w:tc>
      </w:tr>
      <w:tr>
        <w:tc>
          <w:tcPr>
            <w:tcW w:type="dxa" w:w="4706"/>
          </w:tcPr>
          <w:p>
            <w:r>
              <w:t>Monthly revenue per unit</w:t>
            </w:r>
          </w:p>
        </w:tc>
        <w:tc>
          <w:tcPr>
            <w:tcW w:type="dxa" w:w="4706"/>
          </w:tcPr>
          <w:p>
            <w:r>
              <w:t>$1,500-$4,250</w:t>
            </w:r>
          </w:p>
        </w:tc>
      </w:tr>
      <w:tr>
        <w:tc>
          <w:tcPr>
            <w:tcW w:type="dxa" w:w="4706"/>
          </w:tcPr>
          <w:p>
            <w:r>
              <w:t>GX10 payback period</w:t>
            </w:r>
          </w:p>
        </w:tc>
        <w:tc>
          <w:tcPr>
            <w:tcW w:type="dxa" w:w="4706"/>
          </w:tcPr>
          <w:p>
            <w:r>
              <w:t>3-8 months</w:t>
            </w:r>
          </w:p>
        </w:tc>
      </w:tr>
      <w:tr>
        <w:tc>
          <w:tcPr>
            <w:tcW w:type="dxa" w:w="4706"/>
          </w:tcPr>
          <w:p>
            <w:r>
              <w:t>DGX Station payback period</w:t>
            </w:r>
          </w:p>
        </w:tc>
        <w:tc>
          <w:tcPr>
            <w:tcW w:type="dxa" w:w="4706"/>
          </w:tcPr>
          <w:p>
            <w:r>
              <w:t>12-24 months</w:t>
            </w:r>
          </w:p>
        </w:tc>
      </w:tr>
      <w:tr>
        <w:tc>
          <w:tcPr>
            <w:tcW w:type="dxa" w:w="4706"/>
          </w:tcPr>
          <w:p>
            <w:r>
              <w:t>CAC payback</w:t>
            </w:r>
          </w:p>
        </w:tc>
        <w:tc>
          <w:tcPr>
            <w:tcW w:type="dxa" w:w="4706"/>
          </w:tcPr>
          <w:p>
            <w:r>
              <w:t>&lt; 12 months</w:t>
            </w:r>
          </w:p>
        </w:tc>
      </w:tr>
      <w:tr>
        <w:tc>
          <w:tcPr>
            <w:tcW w:type="dxa" w:w="4706"/>
          </w:tcPr>
          <w:p>
            <w:r>
              <w:t>LTV:CAC ratio</w:t>
            </w:r>
          </w:p>
        </w:tc>
        <w:tc>
          <w:tcPr>
            <w:tcW w:type="dxa" w:w="4706"/>
          </w:tcPr>
          <w:p>
            <w:r>
              <w:t>&gt; 4:1</w:t>
            </w:r>
          </w:p>
        </w:tc>
      </w:tr>
    </w:tbl>
    <w:p>
      <w:r>
        <w:br w:type="page"/>
      </w:r>
    </w:p>
    <w:p>
      <w:pPr>
        <w:pStyle w:val="Heading1"/>
      </w:pPr>
      <w:r>
        <w:t>6. Go-to-Market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353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353"/>
          </w:tcPr>
          <w:p>
            <w:r>
              <w:rPr>
                <w:b/>
              </w:rPr>
              <w:t>Actions</w:t>
            </w:r>
          </w:p>
        </w:tc>
        <w:tc>
          <w:tcPr>
            <w:tcW w:type="dxa" w:w="2353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353"/>
          </w:tcPr>
          <w:p>
            <w:r>
              <w:t>Phase 1</w:t>
            </w:r>
          </w:p>
        </w:tc>
        <w:tc>
          <w:tcPr>
            <w:tcW w:type="dxa" w:w="2353"/>
          </w:tcPr>
          <w:p>
            <w:r>
              <w:t>Months 1-6</w:t>
            </w:r>
          </w:p>
        </w:tc>
        <w:tc>
          <w:tcPr>
            <w:tcW w:type="dxa" w:w="2353"/>
          </w:tcPr>
          <w:p>
            <w:r>
              <w:t>Deploy hardware; TMI Digital integration; launch case study</w:t>
            </w:r>
          </w:p>
        </w:tc>
        <w:tc>
          <w:tcPr>
            <w:tcW w:type="dxa" w:w="2353"/>
          </w:tcPr>
          <w:p>
            <w:r>
              <w:t>20 existing clients</w:t>
            </w:r>
          </w:p>
        </w:tc>
      </w:tr>
      <w:tr>
        <w:tc>
          <w:tcPr>
            <w:tcW w:type="dxa" w:w="2353"/>
          </w:tcPr>
          <w:p>
            <w:r>
              <w:t>Phase 2</w:t>
            </w:r>
          </w:p>
        </w:tc>
        <w:tc>
          <w:tcPr>
            <w:tcW w:type="dxa" w:w="2353"/>
          </w:tcPr>
          <w:p>
            <w:r>
              <w:t>Months 6-12</w:t>
            </w:r>
          </w:p>
        </w:tc>
        <w:tc>
          <w:tcPr>
            <w:tcW w:type="dxa" w:w="2353"/>
          </w:tcPr>
          <w:p>
            <w:r>
              <w:t>Target SA SME market — legal, healthcare, finance</w:t>
            </w:r>
          </w:p>
        </w:tc>
        <w:tc>
          <w:tcPr>
            <w:tcW w:type="dxa" w:w="2353"/>
          </w:tcPr>
          <w:p>
            <w:r>
              <w:t>50 clients</w:t>
            </w:r>
          </w:p>
        </w:tc>
      </w:tr>
      <w:tr>
        <w:tc>
          <w:tcPr>
            <w:tcW w:type="dxa" w:w="2353"/>
          </w:tcPr>
          <w:p>
            <w:r>
              <w:t>Phase 3</w:t>
            </w:r>
          </w:p>
        </w:tc>
        <w:tc>
          <w:tcPr>
            <w:tcW w:type="dxa" w:w="2353"/>
          </w:tcPr>
          <w:p>
            <w:r>
              <w:t>Months 12-24</w:t>
            </w:r>
          </w:p>
        </w:tc>
        <w:tc>
          <w:tcPr>
            <w:tcW w:type="dxa" w:w="2353"/>
          </w:tcPr>
          <w:p>
            <w:r>
              <w:t>Scale to broader Africa; multi-node clusters</w:t>
            </w:r>
          </w:p>
        </w:tc>
        <w:tc>
          <w:tcPr>
            <w:tcW w:type="dxa" w:w="2353"/>
          </w:tcPr>
          <w:p>
            <w:r>
              <w:t>200+ clients</w:t>
            </w:r>
          </w:p>
        </w:tc>
      </w:tr>
      <w:tr>
        <w:tc>
          <w:tcPr>
            <w:tcW w:type="dxa" w:w="2353"/>
          </w:tcPr>
          <w:p>
            <w:r>
              <w:t>Phase 4</w:t>
            </w:r>
          </w:p>
        </w:tc>
        <w:tc>
          <w:tcPr>
            <w:tcW w:type="dxa" w:w="2353"/>
          </w:tcPr>
          <w:p>
            <w:r>
              <w:t>Months 24-36</w:t>
            </w:r>
          </w:p>
        </w:tc>
        <w:tc>
          <w:tcPr>
            <w:tcW w:type="dxa" w:w="2353"/>
          </w:tcPr>
          <w:p>
            <w:r>
              <w:t>Pan-African expansion; white-label for MSPs</w:t>
            </w:r>
          </w:p>
        </w:tc>
        <w:tc>
          <w:tcPr>
            <w:tcW w:type="dxa" w:w="2353"/>
          </w:tcPr>
          <w:p>
            <w:r>
              <w:t>500+ clients</w:t>
            </w:r>
          </w:p>
        </w:tc>
      </w:tr>
    </w:tbl>
    <w:p>
      <w:r/>
    </w:p>
    <w:p>
      <w:pPr>
        <w:pStyle w:val="Heading2"/>
      </w:pPr>
      <w:r>
        <w:t>6.1 Target Segments</w:t>
      </w:r>
    </w:p>
    <w:p>
      <w:pPr>
        <w:pStyle w:val="ListNumber"/>
      </w:pPr>
      <w:r>
        <w:t>Legal firms — contract analysis, due diligence, compliance review</w:t>
      </w:r>
    </w:p>
    <w:p>
      <w:pPr>
        <w:pStyle w:val="ListNumber"/>
      </w:pPr>
      <w:r>
        <w:t>Healthcare — clinical data analysis, POPIA-compliant processing</w:t>
      </w:r>
    </w:p>
    <w:p>
      <w:pPr>
        <w:pStyle w:val="ListNumber"/>
      </w:pPr>
      <w:r>
        <w:t>Financial services — audit reports, compliance, risk analysis</w:t>
      </w:r>
    </w:p>
    <w:p>
      <w:pPr>
        <w:pStyle w:val="ListNumber"/>
      </w:pPr>
      <w:r>
        <w:t>Marketing agencies — reporting, auditing, creative automation</w:t>
      </w:r>
    </w:p>
    <w:p>
      <w:r>
        <w:br w:type="page"/>
      </w:r>
    </w:p>
    <w:p>
      <w:pPr>
        <w:pStyle w:val="Heading1"/>
      </w:pPr>
      <w:r>
        <w:t>7. Competitive Landscape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882"/>
          </w:tcPr>
          <w:p>
            <w:r>
              <w:rPr>
                <w:b/>
              </w:rPr>
              <w:t>TMAI Glass Box</w:t>
            </w:r>
          </w:p>
        </w:tc>
        <w:tc>
          <w:tcPr>
            <w:tcW w:type="dxa" w:w="1882"/>
          </w:tcPr>
          <w:p>
            <w:r>
              <w:rPr>
                <w:b/>
              </w:rPr>
              <w:t>Cloud APIs</w:t>
            </w:r>
          </w:p>
        </w:tc>
        <w:tc>
          <w:tcPr>
            <w:tcW w:type="dxa" w:w="1882"/>
          </w:tcPr>
          <w:p>
            <w:r>
              <w:rPr>
                <w:b/>
              </w:rPr>
              <w:t>MSP Private AI</w:t>
            </w:r>
          </w:p>
        </w:tc>
        <w:tc>
          <w:tcPr>
            <w:tcW w:type="dxa" w:w="1882"/>
          </w:tcPr>
          <w:p>
            <w:r>
              <w:rPr>
                <w:b/>
              </w:rPr>
              <w:t>DIY Self-Host</w:t>
            </w:r>
          </w:p>
        </w:tc>
      </w:tr>
      <w:tr>
        <w:tc>
          <w:tcPr>
            <w:tcW w:type="dxa" w:w="1882"/>
          </w:tcPr>
          <w:p>
            <w:r>
              <w:t>Data Privacy</w:t>
            </w:r>
          </w:p>
        </w:tc>
        <w:tc>
          <w:tcPr>
            <w:tcW w:type="dxa" w:w="1882"/>
          </w:tcPr>
          <w:p>
            <w:r>
              <w:t>✓ Total Sovereignty</w:t>
            </w:r>
          </w:p>
        </w:tc>
        <w:tc>
          <w:tcPr>
            <w:tcW w:type="dxa" w:w="1882"/>
          </w:tcPr>
          <w:p>
            <w:r>
              <w:t>✗ Third-party</w:t>
            </w:r>
          </w:p>
        </w:tc>
        <w:tc>
          <w:tcPr>
            <w:tcW w:type="dxa" w:w="1882"/>
          </w:tcPr>
          <w:p>
            <w:r>
              <w:t>~ Partial</w:t>
            </w:r>
          </w:p>
        </w:tc>
        <w:tc>
          <w:tcPr>
            <w:tcW w:type="dxa" w:w="1882"/>
          </w:tcPr>
          <w:p>
            <w:r>
              <w:t>✓ Full</w:t>
            </w:r>
          </w:p>
        </w:tc>
      </w:tr>
      <w:tr>
        <w:tc>
          <w:tcPr>
            <w:tcW w:type="dxa" w:w="1882"/>
          </w:tcPr>
          <w:p>
            <w:r>
              <w:t>Cost Predictability</w:t>
            </w:r>
          </w:p>
        </w:tc>
        <w:tc>
          <w:tcPr>
            <w:tcW w:type="dxa" w:w="1882"/>
          </w:tcPr>
          <w:p>
            <w:r>
              <w:t>✓ Fixed CapEx</w:t>
            </w:r>
          </w:p>
        </w:tc>
        <w:tc>
          <w:tcPr>
            <w:tcW w:type="dxa" w:w="1882"/>
          </w:tcPr>
          <w:p>
            <w:r>
              <w:t>✗ Per-token</w:t>
            </w:r>
          </w:p>
        </w:tc>
        <w:tc>
          <w:tcPr>
            <w:tcW w:type="dxa" w:w="1882"/>
          </w:tcPr>
          <w:p>
            <w:r>
              <w:t>~ Semi-predictable</w:t>
            </w:r>
          </w:p>
        </w:tc>
        <w:tc>
          <w:tcPr>
            <w:tcW w:type="dxa" w:w="1882"/>
          </w:tcPr>
          <w:p>
            <w:r>
              <w:t>✓ Fixed</w:t>
            </w:r>
          </w:p>
        </w:tc>
      </w:tr>
      <w:tr>
        <w:tc>
          <w:tcPr>
            <w:tcW w:type="dxa" w:w="1882"/>
          </w:tcPr>
          <w:p>
            <w:r>
              <w:t>Model Ownership</w:t>
            </w:r>
          </w:p>
        </w:tc>
        <w:tc>
          <w:tcPr>
            <w:tcW w:type="dxa" w:w="1882"/>
          </w:tcPr>
          <w:p>
            <w:r>
              <w:t>✓ Full IP</w:t>
            </w:r>
          </w:p>
        </w:tc>
        <w:tc>
          <w:tcPr>
            <w:tcW w:type="dxa" w:w="1882"/>
          </w:tcPr>
          <w:p>
            <w:r>
              <w:t>✗ Rental only</w:t>
            </w:r>
          </w:p>
        </w:tc>
        <w:tc>
          <w:tcPr>
            <w:tcW w:type="dxa" w:w="1882"/>
          </w:tcPr>
          <w:p>
            <w:r>
              <w:t>~ Limited</w:t>
            </w:r>
          </w:p>
        </w:tc>
        <w:tc>
          <w:tcPr>
            <w:tcW w:type="dxa" w:w="1882"/>
          </w:tcPr>
          <w:p>
            <w:r>
              <w:t>✓ Full</w:t>
            </w:r>
          </w:p>
        </w:tc>
      </w:tr>
      <w:tr>
        <w:tc>
          <w:tcPr>
            <w:tcW w:type="dxa" w:w="1882"/>
          </w:tcPr>
          <w:p>
            <w:r>
              <w:t>Compliance</w:t>
            </w:r>
          </w:p>
        </w:tc>
        <w:tc>
          <w:tcPr>
            <w:tcW w:type="dxa" w:w="1882"/>
          </w:tcPr>
          <w:p>
            <w:r>
              <w:t>✓ Sector-specific</w:t>
            </w:r>
          </w:p>
        </w:tc>
        <w:tc>
          <w:tcPr>
            <w:tcW w:type="dxa" w:w="1882"/>
          </w:tcPr>
          <w:p>
            <w:r>
              <w:t>✗ Generic</w:t>
            </w:r>
          </w:p>
        </w:tc>
        <w:tc>
          <w:tcPr>
            <w:tcW w:type="dxa" w:w="1882"/>
          </w:tcPr>
          <w:p>
            <w:r>
              <w:t>~ Provider-dependent</w:t>
            </w:r>
          </w:p>
        </w:tc>
        <w:tc>
          <w:tcPr>
            <w:tcW w:type="dxa" w:w="1882"/>
          </w:tcPr>
          <w:p>
            <w:r>
              <w:t>✓ Self-managed</w:t>
            </w:r>
          </w:p>
        </w:tc>
      </w:tr>
      <w:tr>
        <w:tc>
          <w:tcPr>
            <w:tcW w:type="dxa" w:w="1882"/>
          </w:tcPr>
          <w:p>
            <w:r>
              <w:t>Transparency</w:t>
            </w:r>
          </w:p>
        </w:tc>
        <w:tc>
          <w:tcPr>
            <w:tcW w:type="dxa" w:w="1882"/>
          </w:tcPr>
          <w:p>
            <w:r>
              <w:t>✓ Glass Box audit</w:t>
            </w:r>
          </w:p>
        </w:tc>
        <w:tc>
          <w:tcPr>
            <w:tcW w:type="dxa" w:w="1882"/>
          </w:tcPr>
          <w:p>
            <w:r>
              <w:t>✗ Black box</w:t>
            </w:r>
          </w:p>
        </w:tc>
        <w:tc>
          <w:tcPr>
            <w:tcW w:type="dxa" w:w="1882"/>
          </w:tcPr>
          <w:p>
            <w:r>
              <w:t>~ Limited</w:t>
            </w:r>
          </w:p>
        </w:tc>
        <w:tc>
          <w:tcPr>
            <w:tcW w:type="dxa" w:w="1882"/>
          </w:tcPr>
          <w:p>
            <w:r>
              <w:t>✓ Full</w:t>
            </w:r>
          </w:p>
        </w:tc>
      </w:tr>
      <w:tr>
        <w:tc>
          <w:tcPr>
            <w:tcW w:type="dxa" w:w="1882"/>
          </w:tcPr>
          <w:p>
            <w:r>
              <w:t>Managed Service</w:t>
            </w:r>
          </w:p>
        </w:tc>
        <w:tc>
          <w:tcPr>
            <w:tcW w:type="dxa" w:w="1882"/>
          </w:tcPr>
          <w:p>
            <w:r>
              <w:t>✓ Fully managed</w:t>
            </w:r>
          </w:p>
        </w:tc>
        <w:tc>
          <w:tcPr>
            <w:tcW w:type="dxa" w:w="1882"/>
          </w:tcPr>
          <w:p>
            <w:r>
              <w:t>✓ API handles</w:t>
            </w:r>
          </w:p>
        </w:tc>
        <w:tc>
          <w:tcPr>
            <w:tcW w:type="dxa" w:w="1882"/>
          </w:tcPr>
          <w:p>
            <w:r>
              <w:t>✓ Yes</w:t>
            </w:r>
          </w:p>
        </w:tc>
        <w:tc>
          <w:tcPr>
            <w:tcW w:type="dxa" w:w="1882"/>
          </w:tcPr>
          <w:p>
            <w:r>
              <w:t>✗ DIY</w:t>
            </w:r>
          </w:p>
        </w:tc>
      </w:tr>
      <w:tr>
        <w:tc>
          <w:tcPr>
            <w:tcW w:type="dxa" w:w="1882"/>
          </w:tcPr>
          <w:p>
            <w:r>
              <w:t>Agent Loops</w:t>
            </w:r>
          </w:p>
        </w:tc>
        <w:tc>
          <w:tcPr>
            <w:tcW w:type="dxa" w:w="1882"/>
          </w:tcPr>
          <w:p>
            <w:r>
              <w:t>✓ Zero marginal cost</w:t>
            </w:r>
          </w:p>
        </w:tc>
        <w:tc>
          <w:tcPr>
            <w:tcW w:type="dxa" w:w="1882"/>
          </w:tcPr>
          <w:p>
            <w:r>
              <w:t>✗ 24x cost multiplier</w:t>
            </w:r>
          </w:p>
        </w:tc>
        <w:tc>
          <w:tcPr>
            <w:tcW w:type="dxa" w:w="1882"/>
          </w:tcPr>
          <w:p>
            <w:r>
              <w:t>~ Still pays per call</w:t>
            </w:r>
          </w:p>
        </w:tc>
        <w:tc>
          <w:tcPr>
            <w:tcW w:type="dxa" w:w="1882"/>
          </w:tcPr>
          <w:p>
            <w:r>
              <w:t>✓ Zero</w:t>
            </w:r>
          </w:p>
        </w:tc>
      </w:tr>
    </w:tbl>
    <w:p>
      <w:r/>
    </w:p>
    <w:p>
      <w:r>
        <w:t>TMAI wins on the attributes that matter most to regulated SMEs: data sovereignty, cost predictability, and transparency. Unlike DIY self-hosting, we deliver a managed service. Unlike cloud APIs, we eliminate per-token costs.</w:t>
      </w:r>
    </w:p>
    <w:p>
      <w:r>
        <w:br w:type="page"/>
      </w:r>
    </w:p>
    <w:p>
      <w:pPr>
        <w:pStyle w:val="Heading1"/>
      </w:pPr>
      <w:r>
        <w:t>8. Financial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53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53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53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53"/>
          </w:tcPr>
          <w:p>
            <w:r>
              <w:t>Clients</w:t>
            </w:r>
          </w:p>
        </w:tc>
        <w:tc>
          <w:tcPr>
            <w:tcW w:type="dxa" w:w="2353"/>
          </w:tcPr>
          <w:p>
            <w:r>
              <w:t>25 (20 TMI + 5 new)</w:t>
            </w:r>
          </w:p>
        </w:tc>
        <w:tc>
          <w:tcPr>
            <w:tcW w:type="dxa" w:w="2353"/>
          </w:tcPr>
          <w:p>
            <w:r>
              <w:t>75</w:t>
            </w:r>
          </w:p>
        </w:tc>
        <w:tc>
          <w:tcPr>
            <w:tcW w:type="dxa" w:w="2353"/>
          </w:tcPr>
          <w:p>
            <w:r>
              <w:t>200</w:t>
            </w:r>
          </w:p>
        </w:tc>
      </w:tr>
      <w:tr>
        <w:tc>
          <w:tcPr>
            <w:tcW w:type="dxa" w:w="2353"/>
          </w:tcPr>
          <w:p>
            <w:r>
              <w:t>MRR</w:t>
            </w:r>
          </w:p>
        </w:tc>
        <w:tc>
          <w:tcPr>
            <w:tcW w:type="dxa" w:w="2353"/>
          </w:tcPr>
          <w:p>
            <w:r>
              <w:t>R1,250,000</w:t>
            </w:r>
          </w:p>
        </w:tc>
        <w:tc>
          <w:tcPr>
            <w:tcW w:type="dxa" w:w="2353"/>
          </w:tcPr>
          <w:p>
            <w:r>
              <w:t>R3,750,000</w:t>
            </w:r>
          </w:p>
        </w:tc>
        <w:tc>
          <w:tcPr>
            <w:tcW w:type="dxa" w:w="2353"/>
          </w:tcPr>
          <w:p>
            <w:r>
              <w:t>R10,000,000</w:t>
            </w:r>
          </w:p>
        </w:tc>
      </w:tr>
      <w:tr>
        <w:tc>
          <w:tcPr>
            <w:tcW w:type="dxa" w:w="2353"/>
          </w:tcPr>
          <w:p>
            <w:r>
              <w:t>ARR</w:t>
            </w:r>
          </w:p>
        </w:tc>
        <w:tc>
          <w:tcPr>
            <w:tcW w:type="dxa" w:w="2353"/>
          </w:tcPr>
          <w:p>
            <w:r>
              <w:t>R15,000,000</w:t>
            </w:r>
          </w:p>
        </w:tc>
        <w:tc>
          <w:tcPr>
            <w:tcW w:type="dxa" w:w="2353"/>
          </w:tcPr>
          <w:p>
            <w:r>
              <w:t>R45,000,000</w:t>
            </w:r>
          </w:p>
        </w:tc>
        <w:tc>
          <w:tcPr>
            <w:tcW w:type="dxa" w:w="2353"/>
          </w:tcPr>
          <w:p>
            <w:r>
              <w:t>R120,000,000</w:t>
            </w:r>
          </w:p>
        </w:tc>
      </w:tr>
      <w:tr>
        <w:tc>
          <w:tcPr>
            <w:tcW w:type="dxa" w:w="2353"/>
          </w:tcPr>
          <w:p>
            <w:r>
              <w:t>Hardware Revenue</w:t>
            </w:r>
          </w:p>
        </w:tc>
        <w:tc>
          <w:tcPr>
            <w:tcW w:type="dxa" w:w="2353"/>
          </w:tcPr>
          <w:p>
            <w:r>
              <w:t>R5,000,000</w:t>
            </w:r>
          </w:p>
        </w:tc>
        <w:tc>
          <w:tcPr>
            <w:tcW w:type="dxa" w:w="2353"/>
          </w:tcPr>
          <w:p>
            <w:r>
              <w:t>R10,000,000</w:t>
            </w:r>
          </w:p>
        </w:tc>
        <w:tc>
          <w:tcPr>
            <w:tcW w:type="dxa" w:w="2353"/>
          </w:tcPr>
          <w:p>
            <w:r>
              <w:t>R25,000,000</w:t>
            </w:r>
          </w:p>
        </w:tc>
      </w:tr>
      <w:tr>
        <w:tc>
          <w:tcPr>
            <w:tcW w:type="dxa" w:w="2353"/>
          </w:tcPr>
          <w:p>
            <w:r>
              <w:t>Total Revenue</w:t>
            </w:r>
          </w:p>
        </w:tc>
        <w:tc>
          <w:tcPr>
            <w:tcW w:type="dxa" w:w="2353"/>
          </w:tcPr>
          <w:p>
            <w:r>
              <w:t>R20,000,000</w:t>
            </w:r>
          </w:p>
        </w:tc>
        <w:tc>
          <w:tcPr>
            <w:tcW w:type="dxa" w:w="2353"/>
          </w:tcPr>
          <w:p>
            <w:r>
              <w:t>R55,000,000</w:t>
            </w:r>
          </w:p>
        </w:tc>
        <w:tc>
          <w:tcPr>
            <w:tcW w:type="dxa" w:w="2353"/>
          </w:tcPr>
          <w:p>
            <w:r>
              <w:t>R145,000,000</w:t>
            </w:r>
          </w:p>
        </w:tc>
      </w:tr>
      <w:tr>
        <w:tc>
          <w:tcPr>
            <w:tcW w:type="dxa" w:w="2353"/>
          </w:tcPr>
          <w:p>
            <w:r>
              <w:t>COGS</w:t>
            </w:r>
          </w:p>
        </w:tc>
        <w:tc>
          <w:tcPr>
            <w:tcW w:type="dxa" w:w="2353"/>
          </w:tcPr>
          <w:p>
            <w:r>
              <w:t>R7,000,000 (35%)</w:t>
            </w:r>
          </w:p>
        </w:tc>
        <w:tc>
          <w:tcPr>
            <w:tcW w:type="dxa" w:w="2353"/>
          </w:tcPr>
          <w:p>
            <w:r>
              <w:t>R16,500,000 (30%)</w:t>
            </w:r>
          </w:p>
        </w:tc>
        <w:tc>
          <w:tcPr>
            <w:tcW w:type="dxa" w:w="2353"/>
          </w:tcPr>
          <w:p>
            <w:r>
              <w:t>R34,500,000 (24%)</w:t>
            </w:r>
          </w:p>
        </w:tc>
      </w:tr>
      <w:tr>
        <w:tc>
          <w:tcPr>
            <w:tcW w:type="dxa" w:w="2353"/>
          </w:tcPr>
          <w:p>
            <w:r>
              <w:t>Gross Profit</w:t>
            </w:r>
          </w:p>
        </w:tc>
        <w:tc>
          <w:tcPr>
            <w:tcW w:type="dxa" w:w="2353"/>
          </w:tcPr>
          <w:p>
            <w:r>
              <w:t>R13,000,000 (65%)</w:t>
            </w:r>
          </w:p>
        </w:tc>
        <w:tc>
          <w:tcPr>
            <w:tcW w:type="dxa" w:w="2353"/>
          </w:tcPr>
          <w:p>
            <w:r>
              <w:t>R38,500,000 (70%)</w:t>
            </w:r>
          </w:p>
        </w:tc>
        <w:tc>
          <w:tcPr>
            <w:tcW w:type="dxa" w:w="2353"/>
          </w:tcPr>
          <w:p>
            <w:r>
              <w:t>R110,500,000 (76%)</w:t>
            </w:r>
          </w:p>
        </w:tc>
      </w:tr>
      <w:tr>
        <w:tc>
          <w:tcPr>
            <w:tcW w:type="dxa" w:w="2353"/>
          </w:tcPr>
          <w:p>
            <w:r>
              <w:t>OpEx</w:t>
            </w:r>
          </w:p>
        </w:tc>
        <w:tc>
          <w:tcPr>
            <w:tcW w:type="dxa" w:w="2353"/>
          </w:tcPr>
          <w:p>
            <w:r>
              <w:t>R12,000,000</w:t>
            </w:r>
          </w:p>
        </w:tc>
        <w:tc>
          <w:tcPr>
            <w:tcW w:type="dxa" w:w="2353"/>
          </w:tcPr>
          <w:p>
            <w:r>
              <w:t>R22,000,000</w:t>
            </w:r>
          </w:p>
        </w:tc>
        <w:tc>
          <w:tcPr>
            <w:tcW w:type="dxa" w:w="2353"/>
          </w:tcPr>
          <w:p>
            <w:r>
              <w:t>R45,000,000</w:t>
            </w:r>
          </w:p>
        </w:tc>
      </w:tr>
      <w:tr>
        <w:tc>
          <w:tcPr>
            <w:tcW w:type="dxa" w:w="2353"/>
          </w:tcPr>
          <w:p>
            <w:r>
              <w:t>Net Income</w:t>
            </w:r>
          </w:p>
        </w:tc>
        <w:tc>
          <w:tcPr>
            <w:tcW w:type="dxa" w:w="2353"/>
          </w:tcPr>
          <w:p>
            <w:r>
              <w:t>R1,000,000 (5%)</w:t>
            </w:r>
          </w:p>
        </w:tc>
        <w:tc>
          <w:tcPr>
            <w:tcW w:type="dxa" w:w="2353"/>
          </w:tcPr>
          <w:p>
            <w:r>
              <w:t>R16,500,000 (30%)</w:t>
            </w:r>
          </w:p>
        </w:tc>
        <w:tc>
          <w:tcPr>
            <w:tcW w:type="dxa" w:w="2353"/>
          </w:tcPr>
          <w:p>
            <w:r>
              <w:t>R65,500,000 (45%)</w:t>
            </w:r>
          </w:p>
        </w:tc>
      </w:tr>
    </w:tbl>
    <w:p>
      <w:r/>
    </w:p>
    <w:p>
      <w:r>
        <w:t>Net margin improves from 5% to 45% over three years as hardware amortisation completes and recurring subscription revenue scales.</w:t>
      </w:r>
    </w:p>
    <w:p>
      <w:r>
        <w:br w:type="page"/>
      </w:r>
    </w:p>
    <w:p>
      <w:pPr>
        <w:pStyle w:val="Heading1"/>
      </w:pPr>
      <w:r>
        <w:t>9. Use of Funds</w:t>
      </w:r>
    </w:p>
    <w:p>
      <w:pPr>
        <w:pStyle w:val="Highlight"/>
      </w:pPr>
      <w:r>
        <w:t>Seed Round: $5-10 million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53"/>
          </w:tcPr>
          <w:p>
            <w:r>
              <w:rPr>
                <w:b/>
              </w:rPr>
              <w:t>% of Round</w:t>
            </w:r>
          </w:p>
        </w:tc>
        <w:tc>
          <w:tcPr>
            <w:tcW w:type="dxa" w:w="2353"/>
          </w:tcPr>
          <w:p>
            <w:r>
              <w:rPr>
                <w:b/>
              </w:rPr>
              <w:t>$5M Allocation</w:t>
            </w:r>
          </w:p>
        </w:tc>
        <w:tc>
          <w:tcPr>
            <w:tcW w:type="dxa" w:w="2353"/>
          </w:tcPr>
          <w:p>
            <w:r>
              <w:rPr>
                <w:b/>
              </w:rPr>
              <w:t>$10M Allocation</w:t>
            </w:r>
          </w:p>
        </w:tc>
      </w:tr>
      <w:tr>
        <w:tc>
          <w:tcPr>
            <w:tcW w:type="dxa" w:w="2353"/>
          </w:tcPr>
          <w:p>
            <w:r>
              <w:t>Hardware Procurement</w:t>
            </w:r>
          </w:p>
        </w:tc>
        <w:tc>
          <w:tcPr>
            <w:tcW w:type="dxa" w:w="2353"/>
          </w:tcPr>
          <w:p>
            <w:r>
              <w:t>35-40%</w:t>
            </w:r>
          </w:p>
        </w:tc>
        <w:tc>
          <w:tcPr>
            <w:tcW w:type="dxa" w:w="2353"/>
          </w:tcPr>
          <w:p>
            <w:r>
              <w:t>$2,000,000</w:t>
            </w:r>
          </w:p>
        </w:tc>
        <w:tc>
          <w:tcPr>
            <w:tcW w:type="dxa" w:w="2353"/>
          </w:tcPr>
          <w:p>
            <w:r>
              <w:t>$3,500,000</w:t>
            </w:r>
          </w:p>
        </w:tc>
      </w:tr>
      <w:tr>
        <w:tc>
          <w:tcPr>
            <w:tcW w:type="dxa" w:w="2353"/>
          </w:tcPr>
          <w:p>
            <w:r>
              <w:t>Engineering Team</w:t>
            </w:r>
          </w:p>
        </w:tc>
        <w:tc>
          <w:tcPr>
            <w:tcW w:type="dxa" w:w="2353"/>
          </w:tcPr>
          <w:p>
            <w:r>
              <w:t>25%</w:t>
            </w:r>
          </w:p>
        </w:tc>
        <w:tc>
          <w:tcPr>
            <w:tcW w:type="dxa" w:w="2353"/>
          </w:tcPr>
          <w:p>
            <w:r>
              <w:t>$1,250,000</w:t>
            </w:r>
          </w:p>
        </w:tc>
        <w:tc>
          <w:tcPr>
            <w:tcW w:type="dxa" w:w="2353"/>
          </w:tcPr>
          <w:p>
            <w:r>
              <w:t>$2,500,000</w:t>
            </w:r>
          </w:p>
        </w:tc>
      </w:tr>
      <w:tr>
        <w:tc>
          <w:tcPr>
            <w:tcW w:type="dxa" w:w="2353"/>
          </w:tcPr>
          <w:p>
            <w:r>
              <w:t>Sales &amp; Marketing</w:t>
            </w:r>
          </w:p>
        </w:tc>
        <w:tc>
          <w:tcPr>
            <w:tcW w:type="dxa" w:w="2353"/>
          </w:tcPr>
          <w:p>
            <w:r>
              <w:t>15%</w:t>
            </w:r>
          </w:p>
        </w:tc>
        <w:tc>
          <w:tcPr>
            <w:tcW w:type="dxa" w:w="2353"/>
          </w:tcPr>
          <w:p>
            <w:r>
              <w:t>$750,000</w:t>
            </w:r>
          </w:p>
        </w:tc>
        <w:tc>
          <w:tcPr>
            <w:tcW w:type="dxa" w:w="2353"/>
          </w:tcPr>
          <w:p>
            <w:r>
              <w:t>$1,500,000</w:t>
            </w:r>
          </w:p>
        </w:tc>
      </w:tr>
      <w:tr>
        <w:tc>
          <w:tcPr>
            <w:tcW w:type="dxa" w:w="2353"/>
          </w:tcPr>
          <w:p>
            <w:r>
              <w:t>Operations &amp; Legal</w:t>
            </w:r>
          </w:p>
        </w:tc>
        <w:tc>
          <w:tcPr>
            <w:tcW w:type="dxa" w:w="2353"/>
          </w:tcPr>
          <w:p>
            <w:r>
              <w:t>10%</w:t>
            </w:r>
          </w:p>
        </w:tc>
        <w:tc>
          <w:tcPr>
            <w:tcW w:type="dxa" w:w="2353"/>
          </w:tcPr>
          <w:p>
            <w:r>
              <w:t>$500,000</w:t>
            </w:r>
          </w:p>
        </w:tc>
        <w:tc>
          <w:tcPr>
            <w:tcW w:type="dxa" w:w="2353"/>
          </w:tcPr>
          <w:p>
            <w:r>
              <w:t>$1,000,000</w:t>
            </w:r>
          </w:p>
        </w:tc>
      </w:tr>
      <w:tr>
        <w:tc>
          <w:tcPr>
            <w:tcW w:type="dxa" w:w="2353"/>
          </w:tcPr>
          <w:p>
            <w:r>
              <w:t>Working Capital</w:t>
            </w:r>
          </w:p>
        </w:tc>
        <w:tc>
          <w:tcPr>
            <w:tcW w:type="dxa" w:w="2353"/>
          </w:tcPr>
          <w:p>
            <w:r>
              <w:t>10-15%</w:t>
            </w:r>
          </w:p>
        </w:tc>
        <w:tc>
          <w:tcPr>
            <w:tcW w:type="dxa" w:w="2353"/>
          </w:tcPr>
          <w:p>
            <w:r>
              <w:t>$500,000</w:t>
            </w:r>
          </w:p>
        </w:tc>
        <w:tc>
          <w:tcPr>
            <w:tcW w:type="dxa" w:w="2353"/>
          </w:tcPr>
          <w:p>
            <w:r>
              <w:t>$1,500,000</w:t>
            </w:r>
          </w:p>
        </w:tc>
      </w:tr>
    </w:tbl>
    <w:p>
      <w:r/>
    </w:p>
    <w:p>
      <w:r>
        <w:t>The minimum viable round ($5M) covers hardware procurement, a lean engineering team, and initial GTM through the existing TMI Digital channel. The optimal round ($10M) adds 18 months of working capital runway.</w:t>
      </w:r>
    </w:p>
    <w:p>
      <w:r>
        <w:br w:type="page"/>
      </w:r>
    </w:p>
    <w:p>
      <w:pPr>
        <w:pStyle w:val="Heading1"/>
      </w:pPr>
      <w:r>
        <w:t>10. Team &amp; Advisors</w:t>
      </w:r>
    </w:p>
    <w:p>
      <w:pPr>
        <w:pStyle w:val="Heading2"/>
      </w:pPr>
      <w:r>
        <w:t>10.1 Founding Team</w:t>
      </w:r>
    </w:p>
    <w:p>
      <w:r>
        <w:t>Pete Brooke-Sumner — CEO &amp; Founder. Founder of TMI Digital and TMAI. 20+ years in digital marketing infrastructure. Google Partner (MCC 9060186325). Manages 20+ client accounts across South Africa. Built the TMAI Glass Box architecture.</w:t>
      </w:r>
    </w:p>
    <w:p>
      <w:r/>
    </w:p>
    <w:p>
      <w:pPr>
        <w:pStyle w:val="Heading2"/>
      </w:pPr>
      <w:r>
        <w:t>10.2 Key Hires</w:t>
      </w:r>
    </w:p>
    <w:p>
      <w:pPr>
        <w:pStyle w:val="ListNumber"/>
      </w:pPr>
      <w:r>
        <w:t>CTO — ML/AI infrastructure expertise, model optimisation, GPU cluster architecture</w:t>
      </w:r>
    </w:p>
    <w:p>
      <w:pPr>
        <w:pStyle w:val="ListNumber"/>
      </w:pPr>
      <w:r>
        <w:t>Head of Sales — Africa expansion, enterprise sales background</w:t>
      </w:r>
    </w:p>
    <w:p>
      <w:pPr>
        <w:pStyle w:val="ListNumber"/>
      </w:pPr>
      <w:r>
        <w:t>Lead ML Engineer — RAG pipelines, model fine-tuning, guardrails</w:t>
      </w:r>
    </w:p>
    <w:p>
      <w:r/>
    </w:p>
    <w:p>
      <w:pPr>
        <w:pStyle w:val="Heading2"/>
      </w:pPr>
      <w:r>
        <w:t>10.3 Advisory Gaps</w:t>
      </w:r>
    </w:p>
    <w:p>
      <w:pPr>
        <w:pStyle w:val="ListNumber"/>
      </w:pPr>
      <w:r>
        <w:t>Enterprise AI compliance advisor (POPIA/GDPR)</w:t>
      </w:r>
    </w:p>
    <w:p>
      <w:pPr>
        <w:pStyle w:val="ListNumber"/>
      </w:pPr>
      <w:r>
        <w:t>Healthcare sector advisor (clinical AI workflows)</w:t>
      </w:r>
    </w:p>
    <w:p>
      <w:pPr>
        <w:pStyle w:val="ListNumber"/>
      </w:pPr>
      <w:r>
        <w:t>Financial services advisor (audit and compliance AI)</w:t>
      </w:r>
    </w:p>
    <w:p>
      <w:r>
        <w:br w:type="page"/>
      </w:r>
    </w:p>
    <w:p>
      <w:pPr>
        <w:pStyle w:val="Heading1"/>
      </w:pPr>
      <w:r>
        <w:t>11. Risk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13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13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137"/>
          </w:tcPr>
          <w:p>
            <w:r>
              <w:t>Hardware supply chain delays</w:t>
            </w:r>
          </w:p>
        </w:tc>
        <w:tc>
          <w:tcPr>
            <w:tcW w:type="dxa" w:w="3137"/>
          </w:tcPr>
          <w:p>
            <w:r>
              <w:t>High</w:t>
            </w:r>
          </w:p>
        </w:tc>
        <w:tc>
          <w:tcPr>
            <w:tcW w:type="dxa" w:w="3137"/>
          </w:tcPr>
          <w:p>
            <w:r>
              <w:t>Order from multiple vendors; GX10 ships Aug 2026; DGX available via DataSciences Corp (SA)</w:t>
            </w:r>
          </w:p>
        </w:tc>
      </w:tr>
      <w:tr>
        <w:tc>
          <w:tcPr>
            <w:tcW w:type="dxa" w:w="3137"/>
          </w:tcPr>
          <w:p>
            <w:r>
              <w:t>Competition from hyperscalers</w:t>
            </w:r>
          </w:p>
        </w:tc>
        <w:tc>
          <w:tcPr>
            <w:tcW w:type="dxa" w:w="3137"/>
          </w:tcPr>
          <w:p>
            <w:r>
              <w:t>Medium</w:t>
            </w:r>
          </w:p>
        </w:tc>
        <w:tc>
          <w:tcPr>
            <w:tcW w:type="dxa" w:w="3137"/>
          </w:tcPr>
          <w:p>
            <w:r>
              <w:t>First-mover advantage in SA SME market; regulatory compliance moat</w:t>
            </w:r>
          </w:p>
        </w:tc>
      </w:tr>
      <w:tr>
        <w:tc>
          <w:tcPr>
            <w:tcW w:type="dxa" w:w="3137"/>
          </w:tcPr>
          <w:p>
            <w:r>
              <w:t>Customer education gap</w:t>
            </w:r>
          </w:p>
        </w:tc>
        <w:tc>
          <w:tcPr>
            <w:tcW w:type="dxa" w:w="3137"/>
          </w:tcPr>
          <w:p>
            <w:r>
              <w:t>Medium</w:t>
            </w:r>
          </w:p>
        </w:tc>
        <w:tc>
          <w:tcPr>
            <w:tcW w:type="dxa" w:w="3137"/>
          </w:tcPr>
          <w:p>
            <w:r>
              <w:t>Leverage TMI Digital client trust; case studies; transparent ROI demos</w:t>
            </w:r>
          </w:p>
        </w:tc>
      </w:tr>
      <w:tr>
        <w:tc>
          <w:tcPr>
            <w:tcW w:type="dxa" w:w="3137"/>
          </w:tcPr>
          <w:p>
            <w:r>
              <w:t>Talent shortage</w:t>
            </w:r>
          </w:p>
        </w:tc>
        <w:tc>
          <w:tcPr>
            <w:tcW w:type="dxa" w:w="3137"/>
          </w:tcPr>
          <w:p>
            <w:r>
              <w:t>High</w:t>
            </w:r>
          </w:p>
        </w:tc>
        <w:tc>
          <w:tcPr>
            <w:tcW w:type="dxa" w:w="3137"/>
          </w:tcPr>
          <w:p>
            <w:r>
              <w:t>Remote team; competitive comp; SA ML talent pool (Refiant AI proof)</w:t>
            </w:r>
          </w:p>
        </w:tc>
      </w:tr>
      <w:tr>
        <w:tc>
          <w:tcPr>
            <w:tcW w:type="dxa" w:w="3137"/>
          </w:tcPr>
          <w:p>
            <w:r>
              <w:t>Regulatory uncertainty</w:t>
            </w:r>
          </w:p>
        </w:tc>
        <w:tc>
          <w:tcPr>
            <w:tcW w:type="dxa" w:w="3137"/>
          </w:tcPr>
          <w:p>
            <w:r>
              <w:t>Low-Medium</w:t>
            </w:r>
          </w:p>
        </w:tc>
        <w:tc>
          <w:tcPr>
            <w:tcW w:type="dxa" w:w="3137"/>
          </w:tcPr>
          <w:p>
            <w:r>
              <w:t>SA AI policy targeted Jan 2027; POPIA established; compliance-first design</w:t>
            </w:r>
          </w:p>
        </w:tc>
      </w:tr>
      <w:tr>
        <w:tc>
          <w:tcPr>
            <w:tcW w:type="dxa" w:w="3137"/>
          </w:tcPr>
          <w:p>
            <w:r>
              <w:t>Token cost deflation</w:t>
            </w:r>
          </w:p>
        </w:tc>
        <w:tc>
          <w:tcPr>
            <w:tcW w:type="dxa" w:w="3137"/>
          </w:tcPr>
          <w:p>
            <w:r>
              <w:t>Low</w:t>
            </w:r>
          </w:p>
        </w:tc>
        <w:tc>
          <w:tcPr>
            <w:tcW w:type="dxa" w:w="3137"/>
          </w:tcPr>
          <w:p>
            <w:r>
              <w:t>Volume growth (24x) drives spend up (Jevons Paradox); private infra still wins</w:t>
            </w:r>
          </w:p>
        </w:tc>
      </w:tr>
    </w:tbl>
    <w:p>
      <w:r>
        <w:br w:type="page"/>
      </w:r>
    </w:p>
    <w:p>
      <w:pPr>
        <w:pStyle w:val="Heading1"/>
      </w:pPr>
      <w:r>
        <w:t>12. The Ask</w:t>
      </w:r>
    </w:p>
    <w:p>
      <w:pPr>
        <w:pStyle w:val="Highlight"/>
      </w:pPr>
      <w:r>
        <w:t>Investment: $5-10 million Seed Round</w:t>
      </w:r>
    </w:p>
    <w:p>
      <w:r/>
    </w:p>
    <w:p>
      <w:r>
        <w:t>Use of Funds: NVIDIA hardware procurement, engineering team build, go-to-market launch in the South African SME market.</w:t>
      </w:r>
    </w:p>
    <w:p>
      <w:r/>
    </w:p>
    <w:p>
      <w:r>
        <w:t>Return: Path to R145 million ARR by Year 3 (45% net margins).</w:t>
      </w:r>
    </w:p>
    <w:p>
      <w:r/>
    </w:p>
    <w:p>
      <w:r>
        <w:t>Every SME deserves cognitive sovereignty. TMAI makes private AI infrastructure accessible, affordable, and transparent — the Glass Box standard for the African market and beyond.</w:t>
      </w:r>
    </w:p>
    <w:p>
      <w:r/>
    </w:p>
    <w:p>
      <w:pPr>
        <w:pStyle w:val="Highlight"/>
      </w:pPr>
      <w:r>
        <w:t>Schedule a demo: ceo@tmai.ltd</w:t>
      </w:r>
    </w:p>
    <w:p>
      <w:r>
        <w:br w:type="page"/>
      </w:r>
    </w:p>
    <w:p>
      <w:pPr>
        <w:pStyle w:val="Heading1"/>
      </w:pPr>
      <w:r>
        <w:t>Appendix: Live Demonstration Assets</w:t>
      </w:r>
    </w:p>
    <w:p>
      <w:r>
        <w:t>TMAI has live tracking dashboards showing real-time cost savings against generic LLMs:</w:t>
      </w:r>
    </w:p>
    <w:p>
      <w:pPr>
        <w:pStyle w:val="ListNumber"/>
      </w:pPr>
      <w:r>
        <w:t>TMAI Dashboard: tmai.ltd/tmai-dashboard.html — Account Explorer with live Google Ads data</w:t>
      </w:r>
    </w:p>
    <w:p>
      <w:pPr>
        <w:pStyle w:val="ListNumber"/>
      </w:pPr>
      <w:r>
        <w:t>Aria LLM Monitor: aria-monitor.thevisualvoid.co.za — Live model performance tracking</w:t>
      </w:r>
    </w:p>
    <w:p>
      <w:pPr>
        <w:pStyle w:val="ListNumber"/>
      </w:pPr>
      <w:r>
        <w:t>TMAI Prompts Tool: tmai.ltd/prompts — Google-authenticated prompt library (52 prompts)</w:t>
      </w:r>
    </w:p>
    <w:sectPr w:rsidR="00FC693F" w:rsidRPr="0006063C" w:rsidSect="00034616">
      <w:headerReference w:type="default" r:id="rId9"/>
      <w:footerReference w:type="default" r:id="rId10"/>
      <w:pgSz w:w="12246" w:h="15817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TMAI — Business Plan &amp; Investment Opportunity —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Title"/>
    <w:rPr>
      <w:rFonts w:ascii="Arial" w:hAnsi="Arial"/>
      <w:b/>
      <w:color w:val="0F4C81"/>
      <w:sz w:val="72"/>
    </w:rPr>
  </w:style>
  <w:style w:type="paragraph" w:customStyle="1" w:styleId="CoverSub">
    <w:name w:val="CoverSub"/>
    <w:basedOn w:val="Normal"/>
    <w:rPr>
      <w:rFonts w:ascii="Arial" w:hAnsi="Arial"/>
      <w:color w:val="4472C4"/>
      <w:sz w:val="32"/>
    </w:rPr>
  </w:style>
  <w:style w:type="paragraph" w:customStyle="1" w:styleId="Highlight">
    <w:name w:val="Highlight"/>
    <w:basedOn w:val="Normal"/>
    <w:rPr>
      <w:rFonts w:ascii="Calibri" w:hAnsi="Calibri"/>
      <w:b/>
      <w:color w:val="0F4C81"/>
      <w:sz w:val="22"/>
    </w:rPr>
  </w:style>
  <w:style w:type="paragraph" w:customStyle="1" w:styleId="SmallText">
    <w:name w:val="SmallText"/>
    <w:basedOn w:val="Normal"/>
    <w:rPr>
      <w:rFonts w:ascii="Calibri" w:hAnsi="Calibri"/>
      <w:color w:val="666666"/>
      <w:sz w:val="20"/>
    </w:rPr>
  </w:style>
  <w:style w:type="paragraph" w:customStyle="1" w:styleId="StatBox">
    <w:name w:val="StatBox"/>
    <w:basedOn w:val="Normal"/>
    <w:rPr>
      <w:rFonts w:ascii="Calibri" w:hAnsi="Calibri"/>
      <w:b/>
      <w:color w:val="0F4C81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