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pPr>
      <w:r>
        <w:rPr>
          <w:rFonts w:ascii="Calibri" w:cs="Calibri" w:eastAsia="Calibri" w:hAnsi="Calibri"/>
          <w:b w:val="false"/>
          <w:bCs w:val="false"/>
          <w:i w:val="false"/>
          <w:iCs w:val="false"/>
          <w:color w:val="111111"/>
          <w:sz w:val="20"/>
          <w:szCs w:val="20"/>
        </w:rPr>
        <w:t xml:space="preserve"/>
      </w:r>
    </w:p>
    <w:p>
      <w:pPr>
        <w:spacing w:after="100" w:before="0"/>
        <w:jc w:val="center"/>
      </w:pPr>
      <w:r>
        <w:rPr>
          <w:rFonts w:ascii="Calibri" w:cs="Calibri" w:eastAsia="Calibri" w:hAnsi="Calibri"/>
          <w:b/>
          <w:bCs/>
          <w:color w:val="0F2040"/>
          <w:sz w:val="64"/>
          <w:szCs w:val="64"/>
        </w:rPr>
        <w:t xml:space="preserve">CTC TRANSFORMER SERVICE</w:t>
      </w:r>
    </w:p>
    <w:p>
      <w:pPr>
        <w:spacing w:after="80" w:before="0"/>
        <w:jc w:val="center"/>
      </w:pPr>
      <w:r>
        <w:rPr>
          <w:rFonts w:ascii="Calibri" w:cs="Calibri" w:eastAsia="Calibri" w:hAnsi="Calibri"/>
          <w:b/>
          <w:bCs/>
          <w:color w:val="2E6DB4"/>
          <w:sz w:val="44"/>
          <w:szCs w:val="44"/>
        </w:rPr>
        <w:t xml:space="preserve">Semantic Document Model</w:t>
      </w:r>
    </w:p>
    <w:p>
      <w:pPr>
        <w:spacing w:after="400" w:before="0"/>
        <w:jc w:val="center"/>
      </w:pPr>
      <w:r>
        <w:rPr>
          <w:rFonts w:ascii="Calibri" w:cs="Calibri" w:eastAsia="Calibri" w:hAnsi="Calibri"/>
          <w:i/>
          <w:iCs/>
          <w:color w:val="4B5563"/>
          <w:sz w:val="28"/>
          <w:szCs w:val="28"/>
        </w:rPr>
        <w:t xml:space="preserve">Data Entity Model — Full Specification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3200"/>
      </w:tblGrid>
      <w:tr>
        <w:tc>
          <w:tcPr>
            <w:tcW w:type="dxa" w:w="2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Version</w:t>
            </w:r>
          </w:p>
        </w:tc>
        <w:tc>
          <w:tcPr>
            <w:tcW w:type="dxa" w:w="3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v1.0</w:t>
            </w:r>
          </w:p>
        </w:tc>
      </w:tr>
      <w:tr>
        <w:tc>
          <w:tcPr>
            <w:tcW w:type="dxa" w:w="2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Date</w:t>
            </w:r>
          </w:p>
        </w:tc>
        <w:tc>
          <w:tcPr>
            <w:tcW w:type="dxa" w:w="3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07 September 2026</w:t>
            </w:r>
          </w:p>
        </w:tc>
      </w:tr>
      <w:tr>
        <w:tc>
          <w:tcPr>
            <w:tcW w:type="dxa" w:w="2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Status</w:t>
            </w:r>
          </w:p>
        </w:tc>
        <w:tc>
          <w:tcPr>
            <w:tcW w:type="dxa" w:w="3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DRAFT — For Review</w:t>
            </w:r>
          </w:p>
        </w:tc>
      </w:tr>
      <w:tr>
        <w:tc>
          <w:tcPr>
            <w:tcW w:type="dxa" w:w="2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Scope</w:t>
            </w:r>
          </w:p>
        </w:tc>
        <w:tc>
          <w:tcPr>
            <w:tcW w:type="dxa" w:w="3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 25 countries in scope; all ERP connectors</w:t>
            </w:r>
          </w:p>
        </w:tc>
      </w:tr>
      <w:tr>
        <w:tc>
          <w:tcPr>
            <w:tcW w:type="dxa" w:w="2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Base format</w:t>
            </w:r>
          </w:p>
        </w:tc>
        <w:tc>
          <w:tcPr>
            <w:tcW w:type="dxa" w:w="3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TypeScript interface definitions</w:t>
            </w:r>
          </w:p>
        </w:tc>
      </w:tr>
    </w:tbl>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1  Overview</w:t>
      </w:r>
    </w:p>
    <w:p>
      <w:pPr>
        <w:spacing w:after="60" w:before="60"/>
        <w:jc w:val="left"/>
      </w:pPr>
      <w:r>
        <w:rPr>
          <w:rFonts w:ascii="Calibri" w:cs="Calibri" w:eastAsia="Calibri" w:hAnsi="Calibri"/>
          <w:b w:val="false"/>
          <w:bCs w:val="false"/>
          <w:i w:val="false"/>
          <w:iCs w:val="false"/>
          <w:color w:val="111111"/>
          <w:sz w:val="20"/>
          <w:szCs w:val="20"/>
        </w:rPr>
        <w:t xml:space="preserve">The Semantic Document (</w:t>
      </w:r>
      <w:r>
        <w:rPr>
          <w:rFonts w:ascii="Courier New" w:cs="Courier New" w:eastAsia="Courier New" w:hAnsi="Courier New"/>
          <w:b w:val="false"/>
          <w:bCs w:val="false"/>
          <w:color w:val="1A4A8A"/>
          <w:sz w:val="18"/>
          <w:szCs w:val="18"/>
        </w:rPr>
        <w:t xml:space="preserve">SemanticDocument</w:t>
      </w:r>
      <w:r>
        <w:rPr>
          <w:rFonts w:ascii="Calibri" w:cs="Calibri" w:eastAsia="Calibri" w:hAnsi="Calibri"/>
          <w:b w:val="false"/>
          <w:bCs w:val="false"/>
          <w:i w:val="false"/>
          <w:iCs w:val="false"/>
          <w:color w:val="111111"/>
          <w:sz w:val="20"/>
          <w:szCs w:val="20"/>
        </w:rPr>
        <w:t xml:space="preserve">) is the canonical pivot type of the CTC Transformer Service. Every inbound document — regardless of whether it originates from a CTC mandate format (UBL, FatturaPA, CFDI, NF-e, INV-01, MyInvois) or from an ERP connector (SAP IDoc, NetSuite, Oracle, Dynamics) — is normalised into a </w:t>
      </w:r>
      <w:r>
        <w:rPr>
          <w:rFonts w:ascii="Courier New" w:cs="Courier New" w:eastAsia="Courier New" w:hAnsi="Courier New"/>
          <w:b w:val="false"/>
          <w:bCs w:val="false"/>
          <w:color w:val="1A4A8A"/>
          <w:sz w:val="18"/>
          <w:szCs w:val="18"/>
        </w:rPr>
        <w:t xml:space="preserve">SemanticDocument</w:t>
      </w:r>
      <w:r>
        <w:rPr>
          <w:rFonts w:ascii="Calibri" w:cs="Calibri" w:eastAsia="Calibri" w:hAnsi="Calibri"/>
          <w:b w:val="false"/>
          <w:bCs w:val="false"/>
          <w:i w:val="false"/>
          <w:iCs w:val="false"/>
          <w:color w:val="111111"/>
          <w:sz w:val="20"/>
          <w:szCs w:val="20"/>
        </w:rPr>
        <w:t xml:space="preserve"> before any transformation, validation, signing, or delivery step runs. Every outbound emitter reads exclusively from a </w:t>
      </w:r>
      <w:r>
        <w:rPr>
          <w:rFonts w:ascii="Courier New" w:cs="Courier New" w:eastAsia="Courier New" w:hAnsi="Courier New"/>
          <w:b w:val="false"/>
          <w:bCs w:val="false"/>
          <w:color w:val="1A4A8A"/>
          <w:sz w:val="18"/>
          <w:szCs w:val="18"/>
        </w:rPr>
        <w:t xml:space="preserve">SemanticDocument</w:t>
      </w:r>
      <w:r>
        <w:rPr>
          <w:rFonts w:ascii="Calibri" w:cs="Calibri" w:eastAsia="Calibri" w:hAnsi="Calibri"/>
          <w:b w:val="false"/>
          <w:bCs w:val="false"/>
          <w:i w:val="false"/>
          <w:iCs w:val="false"/>
          <w:color w:val="111111"/>
          <w:sz w:val="20"/>
          <w:szCs w:val="20"/>
        </w:rPr>
        <w:t xml:space="preserve">.</w:t>
      </w:r>
    </w:p>
    <w:p>
      <w:pPr>
        <w:spacing w:after="80" w:before="0"/>
      </w:pPr>
      <w:r>
        <w:rPr>
          <w:rFonts w:ascii="Calibri" w:cs="Calibri" w:eastAsia="Calibri" w:hAnsi="Calibri"/>
          <w:b w:val="false"/>
          <w:bCs w:val="false"/>
          <w:i w:val="false"/>
          <w:iCs w:val="false"/>
          <w:color w:val="111111"/>
          <w:sz w:val="20"/>
          <w:szCs w:val="20"/>
        </w:rPr>
        <w:t xml:space="preserve"/>
      </w:r>
    </w:p>
    <w:p>
      <w:pPr>
        <w:spacing w:after="60" w:before="60"/>
        <w:jc w:val="left"/>
      </w:pPr>
      <w:r>
        <w:rPr>
          <w:rFonts w:ascii="Calibri" w:cs="Calibri" w:eastAsia="Calibri" w:hAnsi="Calibri"/>
          <w:b w:val="false"/>
          <w:bCs w:val="false"/>
          <w:i w:val="false"/>
          <w:iCs w:val="false"/>
          <w:color w:val="111111"/>
          <w:sz w:val="20"/>
          <w:szCs w:val="20"/>
        </w:rPr>
        <w:t xml:space="preserve">This document specifies all entities, their fields, types, cardinality, constraints, and relationships. It is the source of truth for:</w:t>
      </w:r>
    </w:p>
    <w:p>
      <w:pPr>
        <w:spacing w:after="60" w:before="60"/>
        <w:jc w:val="left"/>
      </w:pPr>
      <w:r>
        <w:rPr>
          <w:rFonts w:ascii="Calibri" w:cs="Calibri" w:eastAsia="Calibri" w:hAnsi="Calibri"/>
          <w:b w:val="false"/>
          <w:bCs w:val="false"/>
          <w:i w:val="false"/>
          <w:iCs w:val="false"/>
          <w:color w:val="111111"/>
          <w:sz w:val="20"/>
          <w:szCs w:val="20"/>
        </w:rPr>
        <w:t xml:space="preserve">Adapter and assembler authors — what they must populate and what they may leave null</w:t>
      </w:r>
    </w:p>
    <w:p>
      <w:pPr>
        <w:spacing w:after="60" w:before="60"/>
        <w:jc w:val="left"/>
      </w:pPr>
      <w:r>
        <w:rPr>
          <w:rFonts w:ascii="Calibri" w:cs="Calibri" w:eastAsia="Calibri" w:hAnsi="Calibri"/>
          <w:b w:val="false"/>
          <w:bCs w:val="false"/>
          <w:i w:val="false"/>
          <w:iCs w:val="false"/>
          <w:color w:val="111111"/>
          <w:sz w:val="20"/>
          <w:szCs w:val="20"/>
        </w:rPr>
        <w:t xml:space="preserve">Rule DSL authors — valid target paths for field_map, tax_application, and validate rules</w:t>
      </w:r>
    </w:p>
    <w:p>
      <w:pPr>
        <w:spacing w:after="60" w:before="60"/>
        <w:jc w:val="left"/>
      </w:pPr>
      <w:r>
        <w:rPr>
          <w:rFonts w:ascii="Calibri" w:cs="Calibri" w:eastAsia="Calibri" w:hAnsi="Calibri"/>
          <w:b w:val="false"/>
          <w:bCs w:val="false"/>
          <w:i w:val="false"/>
          <w:iCs w:val="false"/>
          <w:color w:val="111111"/>
          <w:sz w:val="20"/>
          <w:szCs w:val="20"/>
        </w:rPr>
        <w:t xml:space="preserve">Emitter authors — which fields must be present before serialisation begins</w:t>
      </w:r>
    </w:p>
    <w:p>
      <w:pPr>
        <w:spacing w:after="60" w:before="60"/>
        <w:jc w:val="left"/>
      </w:pPr>
      <w:r>
        <w:rPr>
          <w:rFonts w:ascii="Calibri" w:cs="Calibri" w:eastAsia="Calibri" w:hAnsi="Calibri"/>
          <w:b w:val="false"/>
          <w:bCs w:val="false"/>
          <w:i w:val="false"/>
          <w:iCs w:val="false"/>
          <w:color w:val="111111"/>
          <w:sz w:val="20"/>
          <w:szCs w:val="20"/>
        </w:rPr>
        <w:t xml:space="preserve">Visualisation API — structure of the mapping graph exposed to the operational UI</w:t>
      </w:r>
    </w:p>
    <w:p>
      <w:pPr>
        <w:spacing w:after="80" w:before="0"/>
      </w:pPr>
      <w:r>
        <w:rPr>
          <w:rFonts w:ascii="Calibri" w:cs="Calibri" w:eastAsia="Calibri" w:hAnsi="Calibri"/>
          <w:b w:val="false"/>
          <w:bCs w:val="false"/>
          <w:i w:val="false"/>
          <w:iCs w:val="false"/>
          <w:color w:val="111111"/>
          <w:sz w:val="20"/>
          <w:szCs w:val="20"/>
        </w:rPr>
        <w:t xml:space="preserve"/>
      </w:r>
    </w:p>
    <w:p>
      <w:pPr>
        <w:spacing w:after="60" w:before="60"/>
        <w:jc w:val="left"/>
      </w:pPr>
      <w:r>
        <w:rPr>
          <w:rFonts w:ascii="Calibri" w:cs="Calibri" w:eastAsia="Calibri" w:hAnsi="Calibri"/>
          <w:b w:val="false"/>
          <w:bCs w:val="false"/>
          <w:i w:val="false"/>
          <w:iCs w:val="false"/>
          <w:color w:val="111111"/>
          <w:sz w:val="20"/>
          <w:szCs w:val="20"/>
        </w:rPr>
        <w:t xml:space="preserve">The model has seven entity groups: </w:t>
      </w:r>
      <w:r>
        <w:rPr>
          <w:rFonts w:ascii="Calibri" w:cs="Calibri" w:eastAsia="Calibri" w:hAnsi="Calibri"/>
          <w:b/>
          <w:bCs/>
          <w:i w:val="false"/>
          <w:iCs w:val="false"/>
          <w:color w:val="111111"/>
          <w:sz w:val="20"/>
          <w:szCs w:val="20"/>
        </w:rPr>
        <w:t xml:space="preserve">Document identity</w:t>
      </w:r>
      <w:r>
        <w:rPr>
          <w:rFonts w:ascii="Calibri" w:cs="Calibri" w:eastAsia="Calibri" w:hAnsi="Calibri"/>
          <w:b w:val="false"/>
          <w:bCs w:val="false"/>
          <w:i w:val="false"/>
          <w:iCs w:val="false"/>
          <w:color w:val="111111"/>
          <w:sz w:val="20"/>
          <w:szCs w:val="20"/>
        </w:rPr>
        <w:t xml:space="preserve">, </w:t>
      </w:r>
      <w:r>
        <w:rPr>
          <w:rFonts w:ascii="Calibri" w:cs="Calibri" w:eastAsia="Calibri" w:hAnsi="Calibri"/>
          <w:b/>
          <w:bCs/>
          <w:i w:val="false"/>
          <w:iCs w:val="false"/>
          <w:color w:val="111111"/>
          <w:sz w:val="20"/>
          <w:szCs w:val="20"/>
        </w:rPr>
        <w:t xml:space="preserve">Parties</w:t>
      </w:r>
      <w:r>
        <w:rPr>
          <w:rFonts w:ascii="Calibri" w:cs="Calibri" w:eastAsia="Calibri" w:hAnsi="Calibri"/>
          <w:b w:val="false"/>
          <w:bCs w:val="false"/>
          <w:i w:val="false"/>
          <w:iCs w:val="false"/>
          <w:color w:val="111111"/>
          <w:sz w:val="20"/>
          <w:szCs w:val="20"/>
        </w:rPr>
        <w:t xml:space="preserve">, </w:t>
      </w:r>
      <w:r>
        <w:rPr>
          <w:rFonts w:ascii="Calibri" w:cs="Calibri" w:eastAsia="Calibri" w:hAnsi="Calibri"/>
          <w:b/>
          <w:bCs/>
          <w:i w:val="false"/>
          <w:iCs w:val="false"/>
          <w:color w:val="111111"/>
          <w:sz w:val="20"/>
          <w:szCs w:val="20"/>
        </w:rPr>
        <w:t xml:space="preserve">Tax model</w:t>
      </w:r>
      <w:r>
        <w:rPr>
          <w:rFonts w:ascii="Calibri" w:cs="Calibri" w:eastAsia="Calibri" w:hAnsi="Calibri"/>
          <w:b w:val="false"/>
          <w:bCs w:val="false"/>
          <w:i w:val="false"/>
          <w:iCs w:val="false"/>
          <w:color w:val="111111"/>
          <w:sz w:val="20"/>
          <w:szCs w:val="20"/>
        </w:rPr>
        <w:t xml:space="preserve">, </w:t>
      </w:r>
      <w:r>
        <w:rPr>
          <w:rFonts w:ascii="Calibri" w:cs="Calibri" w:eastAsia="Calibri" w:hAnsi="Calibri"/>
          <w:b/>
          <w:bCs/>
          <w:i w:val="false"/>
          <w:iCs w:val="false"/>
          <w:color w:val="111111"/>
          <w:sz w:val="20"/>
          <w:szCs w:val="20"/>
        </w:rPr>
        <w:t xml:space="preserve">Lines</w:t>
      </w:r>
      <w:r>
        <w:rPr>
          <w:rFonts w:ascii="Calibri" w:cs="Calibri" w:eastAsia="Calibri" w:hAnsi="Calibri"/>
          <w:b w:val="false"/>
          <w:bCs w:val="false"/>
          <w:i w:val="false"/>
          <w:iCs w:val="false"/>
          <w:color w:val="111111"/>
          <w:sz w:val="20"/>
          <w:szCs w:val="20"/>
        </w:rPr>
        <w:t xml:space="preserve">, </w:t>
      </w:r>
      <w:r>
        <w:rPr>
          <w:rFonts w:ascii="Calibri" w:cs="Calibri" w:eastAsia="Calibri" w:hAnsi="Calibri"/>
          <w:b/>
          <w:bCs/>
          <w:i w:val="false"/>
          <w:iCs w:val="false"/>
          <w:color w:val="111111"/>
          <w:sz w:val="20"/>
          <w:szCs w:val="20"/>
        </w:rPr>
        <w:t xml:space="preserve">Financials</w:t>
      </w:r>
      <w:r>
        <w:rPr>
          <w:rFonts w:ascii="Calibri" w:cs="Calibri" w:eastAsia="Calibri" w:hAnsi="Calibri"/>
          <w:b w:val="false"/>
          <w:bCs w:val="false"/>
          <w:i w:val="false"/>
          <w:iCs w:val="false"/>
          <w:color w:val="111111"/>
          <w:sz w:val="20"/>
          <w:szCs w:val="20"/>
        </w:rPr>
        <w:t xml:space="preserve">, </w:t>
      </w:r>
      <w:r>
        <w:rPr>
          <w:rFonts w:ascii="Calibri" w:cs="Calibri" w:eastAsia="Calibri" w:hAnsi="Calibri"/>
          <w:b/>
          <w:bCs/>
          <w:i w:val="false"/>
          <w:iCs w:val="false"/>
          <w:color w:val="111111"/>
          <w:sz w:val="20"/>
          <w:szCs w:val="20"/>
        </w:rPr>
        <w:t xml:space="preserve">Control and provenance</w:t>
      </w:r>
      <w:r>
        <w:rPr>
          <w:rFonts w:ascii="Calibri" w:cs="Calibri" w:eastAsia="Calibri" w:hAnsi="Calibri"/>
          <w:b w:val="false"/>
          <w:bCs w:val="false"/>
          <w:i w:val="false"/>
          <w:iCs w:val="false"/>
          <w:color w:val="111111"/>
          <w:sz w:val="20"/>
          <w:szCs w:val="20"/>
        </w:rPr>
        <w:t xml:space="preserve">, and </w:t>
      </w:r>
      <w:r>
        <w:rPr>
          <w:rFonts w:ascii="Calibri" w:cs="Calibri" w:eastAsia="Calibri" w:hAnsi="Calibri"/>
          <w:b/>
          <w:bCs/>
          <w:i w:val="false"/>
          <w:iCs w:val="false"/>
          <w:color w:val="111111"/>
          <w:sz w:val="20"/>
          <w:szCs w:val="20"/>
        </w:rPr>
        <w:t xml:space="preserve">Format-native bag</w:t>
      </w:r>
      <w:r>
        <w:rPr>
          <w:rFonts w:ascii="Calibri" w:cs="Calibri" w:eastAsia="Calibri" w:hAnsi="Calibri"/>
          <w:b w:val="false"/>
          <w:bCs w:val="false"/>
          <w:i w:val="false"/>
          <w:iCs w:val="false"/>
          <w:color w:val="111111"/>
          <w:sz w:val="20"/>
          <w:szCs w:val="20"/>
        </w:rPr>
        <w:t xml:space="preserve">.</w:t>
      </w:r>
    </w:p>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2  Primitive Types</w:t>
      </w:r>
    </w:p>
    <w:p>
      <w:pPr>
        <w:spacing w:after="60" w:before="60"/>
        <w:jc w:val="left"/>
      </w:pPr>
      <w:r>
        <w:rPr>
          <w:rFonts w:ascii="Calibri" w:cs="Calibri" w:eastAsia="Calibri" w:hAnsi="Calibri"/>
          <w:b w:val="false"/>
          <w:bCs w:val="false"/>
          <w:i w:val="false"/>
          <w:iCs w:val="false"/>
          <w:color w:val="111111"/>
          <w:sz w:val="20"/>
          <w:szCs w:val="20"/>
        </w:rPr>
        <w:t xml:space="preserve">All primitive types used throughout the model are defined here. Adopting string-based representation for numeric and date values avoids floating-point drift and timezone ambiguity.</w:t>
      </w:r>
    </w:p>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1400"/>
        <w:gridCol w:w="2800"/>
        <w:gridCol w:w="3600"/>
      </w:tblGrid>
      <w:tr>
        <w:trPr>
          <w:tblHeader/>
        </w:trPr>
        <w:tc>
          <w:tcPr>
            <w:tcW w:type="dxa" w:w="1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 alias</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Base type</w:t>
            </w:r>
          </w:p>
        </w:tc>
        <w:tc>
          <w:tcPr>
            <w:tcW w:type="dxa" w:w="2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Format / constraint</w:t>
            </w:r>
          </w:p>
        </w:tc>
        <w:tc>
          <w:tcPr>
            <w:tcW w:type="dxa" w:w="3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Used for</w:t>
            </w:r>
          </w:p>
        </w:tc>
      </w:tr>
      <w:tr>
        <w:tc>
          <w:tcPr>
            <w:tcW w:type="dxa" w:w="18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2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YYYY-MM-DD (ISO 8601)</w:t>
            </w:r>
          </w:p>
        </w:tc>
        <w:tc>
          <w:tcPr>
            <w:tcW w:type="dxa" w:w="3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 date fields</w:t>
            </w:r>
          </w:p>
        </w:tc>
      </w:tr>
      <w:tr>
        <w:tc>
          <w:tcPr>
            <w:tcW w:type="dxa" w:w="18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ISODateTime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2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YYYY-MM-DDThh:mm:ss±hh:mm</w:t>
            </w:r>
          </w:p>
        </w:tc>
        <w:tc>
          <w:tcPr>
            <w:tcW w:type="dxa" w:w="3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Timestamp fields with timezone</w:t>
            </w:r>
          </w:p>
        </w:tc>
      </w:tr>
      <w:tr>
        <w:tc>
          <w:tcPr>
            <w:tcW w:type="dxa" w:w="18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2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Numeric string, max 6dp, no trailing zeros beyond 2</w:t>
            </w:r>
          </w:p>
        </w:tc>
        <w:tc>
          <w:tcPr>
            <w:tcW w:type="dxa" w:w="3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 monetary and rate amounts</w:t>
            </w:r>
          </w:p>
        </w:tc>
      </w:tr>
      <w:tr>
        <w:tc>
          <w:tcPr>
            <w:tcW w:type="dxa" w:w="18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CurrencyCode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28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 4217 alpha-3 (e.g. EUR, MXN, MYR)</w:t>
            </w:r>
          </w:p>
        </w:tc>
        <w:tc>
          <w:tcPr>
            <w:tcW w:type="dxa" w:w="3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Currency fields</w:t>
            </w:r>
          </w:p>
        </w:tc>
      </w:tr>
      <w:tr>
        <w:tc>
          <w:tcPr>
            <w:tcW w:type="dxa" w:w="18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CountryCode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28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 3166-1 alpha-2 (e.g. IT, MX, MY)</w:t>
            </w:r>
          </w:p>
        </w:tc>
        <w:tc>
          <w:tcPr>
            <w:tcW w:type="dxa" w:w="3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Country fields</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RegionCode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28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 3166-2 (e.g. BR-SP, IN-MH)</w:t>
            </w:r>
          </w:p>
        </w:tc>
        <w:tc>
          <w:tcPr>
            <w:tcW w:type="dxa" w:w="3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Sub-national jurisdiction</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LanguageTag</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2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BCP-47 (e.g. en, ar, pt-BR)</w:t>
            </w:r>
          </w:p>
        </w:tc>
        <w:tc>
          <w:tcPr>
            <w:tcW w:type="dxa" w:w="3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Language variant keys in SemanticText</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FormatFamily</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Enum</w:t>
            </w:r>
          </w:p>
        </w:tc>
        <w:tc>
          <w:tcPr>
            <w:tcW w:type="dxa" w:w="2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 sdi | sat | sefaz | gstn | lhdn | custom</w:t>
            </w:r>
          </w:p>
        </w:tc>
        <w:tc>
          <w:tcPr>
            <w:tcW w:type="dxa" w:w="3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Identifies parser/assembler family</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ClearanceModel</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Enum</w:t>
            </w:r>
          </w:p>
        </w:tc>
        <w:tc>
          <w:tcPr>
            <w:tcW w:type="dxa" w:w="2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clearance | dctce | post_audit | reporting</w:t>
            </w:r>
          </w:p>
        </w:tc>
        <w:tc>
          <w:tcPr>
            <w:tcW w:type="dxa" w:w="3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Authority submission model</w:t>
            </w:r>
          </w:p>
        </w:tc>
      </w:tr>
    </w:tbl>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3  SemanticText</w:t>
      </w:r>
    </w:p>
    <w:tbl>
      <w:tblPr>
        <w:tblW w:type="pct" w:w="100%"/>
        <w:tblBorders>
          <w:top w:val="single" w:color="1D9E75" w:sz="6"/>
          <w:left w:val="none"/>
          <w:bottom w:val="single" w:color="1D9E75"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1D9E75"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085041"/>
                <w:sz w:val="16"/>
                <w:szCs w:val="16"/>
              </w:rPr>
              <w:t xml:space="preserve">«value type»  </w:t>
            </w:r>
            <w:r>
              <w:rPr>
                <w:rFonts w:ascii="Calibri" w:cs="Calibri" w:eastAsia="Calibri" w:hAnsi="Calibri"/>
                <w:b/>
                <w:bCs/>
                <w:color w:val="0F2040"/>
                <w:sz w:val="26"/>
                <w:szCs w:val="26"/>
              </w:rPr>
              <w:t xml:space="preserve">SemanticText</w:t>
            </w:r>
          </w:p>
          <w:p>
            <w:pPr>
              <w:spacing w:after="80" w:before="0"/>
            </w:pPr>
            <w:r>
              <w:rPr>
                <w:rFonts w:ascii="Calibri" w:cs="Calibri" w:eastAsia="Calibri" w:hAnsi="Calibri"/>
                <w:i/>
                <w:iCs/>
                <w:color w:val="4B5563"/>
                <w:sz w:val="18"/>
                <w:szCs w:val="18"/>
              </w:rPr>
              <w:t xml:space="preserve">Multilingual string carrier. Used for all human-readable text fields that may require bilingual content (mandatory Arabic in Saudi Arabia, optional Arabic in UAE, Portuguese in Brazil).</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600"/>
        <w:gridCol w:w="1800"/>
        <w:gridCol w:w="1000"/>
        <w:gridCol w:w="1800"/>
        <w:gridCol w:w="3400"/>
      </w:tblGrid>
      <w:tr>
        <w:trPr>
          <w:tblHeader/>
        </w:trPr>
        <w:tc>
          <w:tcPr>
            <w:tcW w:type="dxa" w:w="1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1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Constraint</w:t>
            </w:r>
          </w:p>
        </w:tc>
        <w:tc>
          <w:tcPr>
            <w:tcW w:type="dxa" w:w="3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default</w:t>
            </w:r>
          </w:p>
        </w:tc>
        <w:tc>
          <w:tcPr>
            <w:tcW w:type="dxa" w:w="18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Non-empty</w:t>
            </w:r>
          </w:p>
        </w:tc>
        <w:tc>
          <w:tcPr>
            <w:tcW w:type="dxa" w:w="3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Primary / default language value. Always English unless source has no English.</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[lang: LanguageTag]</w:t>
            </w:r>
          </w:p>
        </w:tc>
        <w:tc>
          <w:tcPr>
            <w:tcW w:type="dxa" w:w="18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BCP-47 key</w:t>
            </w:r>
          </w:p>
        </w:tc>
        <w:tc>
          <w:tcPr>
            <w:tcW w:type="dxa" w:w="3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Additional language variants. Key is camelCase BCP-47: "ar", "ptBR", "frFR". Emitters select the variant required by target mandate.</w:t>
            </w:r>
          </w:p>
        </w:tc>
      </w:tr>
    </w:tbl>
    <w:p>
      <w:pPr>
        <w:spacing w:after="80" w:before="0"/>
      </w:pPr>
      <w:r>
        <w:rPr>
          <w:rFonts w:ascii="Calibri" w:cs="Calibri" w:eastAsia="Calibri" w:hAnsi="Calibri"/>
          <w:b w:val="false"/>
          <w:bCs w:val="false"/>
          <w:i w:val="false"/>
          <w:iCs w:val="false"/>
          <w:color w:val="111111"/>
          <w:sz w:val="20"/>
          <w:szCs w:val="20"/>
        </w:rPr>
        <w:t xml:space="preserve"/>
      </w:r>
    </w:p>
    <w:p>
      <w:pPr>
        <w:spacing w:after="60" w:before="60"/>
        <w:jc w:val="left"/>
      </w:pPr>
      <w:r>
        <w:rPr>
          <w:rFonts w:ascii="Calibri" w:cs="Calibri" w:eastAsia="Calibri" w:hAnsi="Calibri"/>
          <w:b w:val="false"/>
          <w:bCs w:val="false"/>
          <w:i w:val="false"/>
          <w:iCs w:val="false"/>
          <w:color w:val="111111"/>
          <w:sz w:val="20"/>
          <w:szCs w:val="20"/>
        </w:rPr>
        <w:t xml:space="preserve">Examples:</w:t>
      </w:r>
    </w:p>
    <w:p>
      <w:pPr>
        <w:spacing w:after="60" w:before="60"/>
        <w:ind w:left="431"/>
        <w:jc w:val="left"/>
      </w:pPr>
      <w:r>
        <w:rPr>
          <w:rFonts w:ascii="Courier New" w:cs="Courier New" w:eastAsia="Courier New" w:hAnsi="Courier New"/>
          <w:b w:val="false"/>
          <w:bCs w:val="false"/>
          <w:color w:val="1A4A8A"/>
          <w:sz w:val="18"/>
          <w:szCs w:val="18"/>
        </w:rPr>
        <w:t xml:space="preserve">{ default: "Acme Corp" }</w:t>
      </w:r>
      <w:r>
        <w:rPr>
          <w:rFonts w:ascii="Calibri" w:cs="Calibri" w:eastAsia="Calibri" w:hAnsi="Calibri"/>
          <w:b w:val="false"/>
          <w:bCs w:val="false"/>
          <w:i w:val="false"/>
          <w:iCs w:val="false"/>
          <w:color w:val="111111"/>
          <w:sz w:val="20"/>
          <w:szCs w:val="20"/>
        </w:rPr>
        <w:t xml:space="preserve">  — English only</w:t>
      </w:r>
    </w:p>
    <w:p>
      <w:pPr>
        <w:spacing w:after="60" w:before="60"/>
        <w:ind w:left="431"/>
        <w:jc w:val="left"/>
      </w:pPr>
      <w:r>
        <w:rPr>
          <w:rFonts w:ascii="Courier New" w:cs="Courier New" w:eastAsia="Courier New" w:hAnsi="Courier New"/>
          <w:b w:val="false"/>
          <w:bCs w:val="false"/>
          <w:color w:val="1A4A8A"/>
          <w:sz w:val="18"/>
          <w:szCs w:val="18"/>
        </w:rPr>
        <w:t xml:space="preserve">{ default: "Acme Corp", ar: "شركة أكمي" }</w:t>
      </w:r>
      <w:r>
        <w:rPr>
          <w:rFonts w:ascii="Calibri" w:cs="Calibri" w:eastAsia="Calibri" w:hAnsi="Calibri"/>
          <w:b w:val="false"/>
          <w:bCs w:val="false"/>
          <w:i w:val="false"/>
          <w:iCs w:val="false"/>
          <w:color w:val="111111"/>
          <w:sz w:val="20"/>
          <w:szCs w:val="20"/>
        </w:rPr>
        <w:t xml:space="preserve">  — Bilingual EN+AR (Saudi Arabia mandatory)</w:t>
      </w:r>
    </w:p>
    <w:p>
      <w:pPr>
        <w:spacing w:after="60" w:before="60"/>
        <w:ind w:left="431"/>
        <w:jc w:val="left"/>
      </w:pPr>
      <w:r>
        <w:rPr>
          <w:rFonts w:ascii="Courier New" w:cs="Courier New" w:eastAsia="Courier New" w:hAnsi="Courier New"/>
          <w:b w:val="false"/>
          <w:bCs w:val="false"/>
          <w:color w:val="1A4A8A"/>
          <w:sz w:val="18"/>
          <w:szCs w:val="18"/>
        </w:rPr>
        <w:t xml:space="preserve">{ default: "Indústria Ltda", ptBR: "Indústria Ltda" }</w:t>
      </w:r>
      <w:r>
        <w:rPr>
          <w:rFonts w:ascii="Calibri" w:cs="Calibri" w:eastAsia="Calibri" w:hAnsi="Calibri"/>
          <w:b w:val="false"/>
          <w:bCs w:val="false"/>
          <w:i w:val="false"/>
          <w:iCs w:val="false"/>
          <w:color w:val="111111"/>
          <w:sz w:val="20"/>
          <w:szCs w:val="20"/>
        </w:rPr>
        <w:t xml:space="preserve">  — Portuguese (Brazil)</w:t>
      </w:r>
    </w:p>
    <w:p>
      <w:pPr>
        <w:spacing w:after="60" w:before="60"/>
        <w:jc w:val="left"/>
      </w:pPr>
      <w:r>
        <w:rPr>
          <w:rFonts w:ascii="Calibri" w:cs="Calibri" w:eastAsia="Calibri" w:hAnsi="Calibri"/>
          <w:b w:val="false"/>
          <w:bCs w:val="false"/>
          <w:i w:val="false"/>
          <w:iCs w:val="false"/>
          <w:color w:val="111111"/>
          <w:sz w:val="20"/>
          <w:szCs w:val="20"/>
        </w:rPr>
        <w:t xml:space="preserve">Mandate packs validate presence of required language variants. The Saudi Arabia ZATCA pack enforces </w:t>
      </w:r>
      <w:r>
        <w:rPr>
          <w:rFonts w:ascii="Courier New" w:cs="Courier New" w:eastAsia="Courier New" w:hAnsi="Courier New"/>
          <w:b w:val="false"/>
          <w:bCs w:val="false"/>
          <w:color w:val="1A4A8A"/>
          <w:sz w:val="18"/>
          <w:szCs w:val="18"/>
        </w:rPr>
        <w:t xml:space="preserve">ar</w:t>
      </w:r>
      <w:r>
        <w:rPr>
          <w:rFonts w:ascii="Calibri" w:cs="Calibri" w:eastAsia="Calibri" w:hAnsi="Calibri"/>
          <w:b w:val="false"/>
          <w:bCs w:val="false"/>
          <w:i w:val="false"/>
          <w:iCs w:val="false"/>
          <w:color w:val="111111"/>
          <w:sz w:val="20"/>
          <w:szCs w:val="20"/>
        </w:rPr>
        <w:t xml:space="preserve"> on </w:t>
      </w:r>
      <w:r>
        <w:rPr>
          <w:rFonts w:ascii="Courier New" w:cs="Courier New" w:eastAsia="Courier New" w:hAnsi="Courier New"/>
          <w:b w:val="false"/>
          <w:bCs w:val="false"/>
          <w:color w:val="1A4A8A"/>
          <w:sz w:val="18"/>
          <w:szCs w:val="18"/>
        </w:rPr>
        <w:t xml:space="preserve">supplier.legalName</w:t>
      </w:r>
      <w:r>
        <w:rPr>
          <w:rFonts w:ascii="Calibri" w:cs="Calibri" w:eastAsia="Calibri" w:hAnsi="Calibri"/>
          <w:b w:val="false"/>
          <w:bCs w:val="false"/>
          <w:i w:val="false"/>
          <w:iCs w:val="false"/>
          <w:color w:val="111111"/>
          <w:sz w:val="20"/>
          <w:szCs w:val="20"/>
        </w:rPr>
        <w:t xml:space="preserve">, </w:t>
      </w:r>
      <w:r>
        <w:rPr>
          <w:rFonts w:ascii="Courier New" w:cs="Courier New" w:eastAsia="Courier New" w:hAnsi="Courier New"/>
          <w:b w:val="false"/>
          <w:bCs w:val="false"/>
          <w:color w:val="1A4A8A"/>
          <w:sz w:val="18"/>
          <w:szCs w:val="18"/>
        </w:rPr>
        <w:t xml:space="preserve">buyer.legalName</w:t>
      </w:r>
      <w:r>
        <w:rPr>
          <w:rFonts w:ascii="Calibri" w:cs="Calibri" w:eastAsia="Calibri" w:hAnsi="Calibri"/>
          <w:b w:val="false"/>
          <w:bCs w:val="false"/>
          <w:i w:val="false"/>
          <w:iCs w:val="false"/>
          <w:color w:val="111111"/>
          <w:sz w:val="20"/>
          <w:szCs w:val="20"/>
        </w:rPr>
        <w:t xml:space="preserve">, </w:t>
      </w:r>
      <w:r>
        <w:rPr>
          <w:rFonts w:ascii="Courier New" w:cs="Courier New" w:eastAsia="Courier New" w:hAnsi="Courier New"/>
          <w:b w:val="false"/>
          <w:bCs w:val="false"/>
          <w:color w:val="1A4A8A"/>
          <w:sz w:val="18"/>
          <w:szCs w:val="18"/>
        </w:rPr>
        <w:t xml:space="preserve">lines[].description</w:t>
      </w:r>
      <w:r>
        <w:rPr>
          <w:rFonts w:ascii="Calibri" w:cs="Calibri" w:eastAsia="Calibri" w:hAnsi="Calibri"/>
          <w:b w:val="false"/>
          <w:bCs w:val="false"/>
          <w:i w:val="false"/>
          <w:iCs w:val="false"/>
          <w:color w:val="111111"/>
          <w:sz w:val="20"/>
          <w:szCs w:val="20"/>
        </w:rPr>
        <w:t xml:space="preserve">, and all address fields.</w:t>
      </w:r>
    </w:p>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4  DocumentIdentity</w:t>
      </w:r>
    </w:p>
    <w:tbl>
      <w:tblPr>
        <w:tblW w:type="pct" w:w="100%"/>
        <w:tblBorders>
          <w:top w:val="single" w:color="2E6DB4" w:sz="6"/>
          <w:left w:val="none"/>
          <w:bottom w:val="single" w:color="2E6DB4"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2E6DB4"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1A4A8A"/>
                <w:sz w:val="16"/>
                <w:szCs w:val="16"/>
              </w:rPr>
              <w:t xml:space="preserve">«root entity»  </w:t>
            </w:r>
            <w:r>
              <w:rPr>
                <w:rFonts w:ascii="Calibri" w:cs="Calibri" w:eastAsia="Calibri" w:hAnsi="Calibri"/>
                <w:b/>
                <w:bCs/>
                <w:color w:val="0F2040"/>
                <w:sz w:val="26"/>
                <w:szCs w:val="26"/>
              </w:rPr>
              <w:t xml:space="preserve">DocumentIdentity</w:t>
            </w:r>
          </w:p>
          <w:p>
            <w:pPr>
              <w:spacing w:after="80" w:before="0"/>
            </w:pPr>
            <w:r>
              <w:rPr>
                <w:rFonts w:ascii="Calibri" w:cs="Calibri" w:eastAsia="Calibri" w:hAnsi="Calibri"/>
                <w:i/>
                <w:iCs/>
                <w:color w:val="4B5563"/>
                <w:sz w:val="18"/>
                <w:szCs w:val="18"/>
              </w:rPr>
              <w:t xml:space="preserve">Core document header. Carries the document's legal identifier, type, dates, and currencies. All fields are format-agnostic — adapters map format-native codes to canonical values before populating.</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400"/>
        <w:gridCol w:w="1600"/>
        <w:gridCol w:w="900"/>
        <w:gridCol w:w="900"/>
        <w:gridCol w:w="2800"/>
        <w:gridCol w:w="2000"/>
      </w:tblGrid>
      <w:tr>
        <w:trPr>
          <w:tblHeader/>
        </w:trPr>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Cardinality</w:t>
            </w:r>
          </w:p>
        </w:tc>
        <w:tc>
          <w:tcPr>
            <w:tcW w:type="dxa" w:w="2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Constraint / canonical form</w:t>
            </w:r>
          </w:p>
        </w:tc>
        <w:tc>
          <w:tcPr>
            <w:tcW w:type="dxa" w:w="2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Source mapping notes</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id</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Non-empty. Adapters derive from source:
CFDI: Serie+"-"+Folio fn
NF-e: nNF digits from 44-char key
All others: direct field copy</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Outbound CFDI emitter must split on "-" to recover Serie/Folio</w:t>
            </w:r>
          </w:p>
        </w:tc>
      </w:tr>
      <w:tr>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typeCode</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UNCL1001 code:
"380" Commercial invoice
"381" Credit note
"383" Debit note
"386" Prepayment invoice</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Adapters map: CFDI TipoDeComprobante I→380, FatturaPA TD01→380, TD04→381, GSTIN INV→380</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issueDate</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YYYY-MM-DD</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CFDI/NF-e strip datetime. GSTIN converts DD/MM/YYYY. All others direct.</w:t>
            </w:r>
          </w:p>
        </w:tc>
      </w:tr>
      <w:tr>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dueDate</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YYYY-MM-DD</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Absent in some CFDI docs; derived from payment terms in GSTIN</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taxPointDate</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YYYY-MM-DD. Date VAT point applies if different from issue date.</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EU/UBL only. Absent in LATAM and GSTN formats.</w:t>
            </w:r>
          </w:p>
        </w:tc>
      </w:tr>
      <w:tr>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currencyCode</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CurrencyCode</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8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 4217 alpha-3</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Direct in all formats. GSTIN hardcodes "INR".</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taxCurrencyCode</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CurrencyCode</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8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 4217. Present when tax is calculated in a different currency.</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UBL/PEPPOL multi-currency invoices; rare in LATAM.</w:t>
            </w:r>
          </w:p>
        </w:tc>
      </w:tr>
      <w:tr>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note</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Free text. Bilingual where source supports it.</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FatturaPA Causale; CFDI Condiciones; UBL cbc:Note[]</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profileId</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Peppol/EN 16931 process profile URN.</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UBL/PEPPOL only. Absent in all other formats.</w:t>
            </w:r>
          </w:p>
        </w:tc>
      </w:tr>
    </w:tbl>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5  Party Entities</w:t>
      </w:r>
    </w:p>
    <w:p>
      <w:pPr>
        <w:pStyle w:val="Heading2"/>
        <w:spacing w:after="100" w:before="280"/>
      </w:pPr>
      <w:r>
        <w:rPr>
          <w:rFonts w:ascii="Calibri" w:cs="Calibri" w:eastAsia="Calibri" w:hAnsi="Calibri"/>
          <w:b/>
          <w:bCs/>
          <w:color w:val="1A4A8A"/>
          <w:sz w:val="32"/>
          <w:szCs w:val="32"/>
        </w:rPr>
        <w:t xml:space="preserve">5.1  PartyIdentifier</w:t>
      </w:r>
    </w:p>
    <w:tbl>
      <w:tblPr>
        <w:tblW w:type="pct" w:w="100%"/>
        <w:tblBorders>
          <w:top w:val="single" w:color="7F77DD" w:sz="6"/>
          <w:left w:val="none"/>
          <w:bottom w:val="single" w:color="7F77DD"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7F77DD"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3C3489"/>
                <w:sz w:val="16"/>
                <w:szCs w:val="16"/>
              </w:rPr>
              <w:t xml:space="preserve">«value type»  </w:t>
            </w:r>
            <w:r>
              <w:rPr>
                <w:rFonts w:ascii="Calibri" w:cs="Calibri" w:eastAsia="Calibri" w:hAnsi="Calibri"/>
                <w:b/>
                <w:bCs/>
                <w:color w:val="0F2040"/>
                <w:sz w:val="26"/>
                <w:szCs w:val="26"/>
              </w:rPr>
              <w:t xml:space="preserve">PartyIdentifier</w:t>
            </w:r>
          </w:p>
          <w:p>
            <w:pPr>
              <w:spacing w:after="80" w:before="0"/>
            </w:pPr>
            <w:r>
              <w:rPr>
                <w:rFonts w:ascii="Calibri" w:cs="Calibri" w:eastAsia="Calibri" w:hAnsi="Calibri"/>
                <w:i/>
                <w:iCs/>
                <w:color w:val="4B5563"/>
                <w:sz w:val="18"/>
                <w:szCs w:val="18"/>
              </w:rPr>
              <w:t xml:space="preserve">A single typed identifier for a party. Parties carry an array of these to support multi-identifier schemes (Malaysia TIN+BRN+MSIC; UAE TRN+TIN; Brazil CNPJ+CPF).</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400"/>
        <w:gridCol w:w="1400"/>
        <w:gridCol w:w="1000"/>
        <w:gridCol w:w="2400"/>
        <w:gridCol w:w="3400"/>
      </w:tblGrid>
      <w:tr>
        <w:trPr>
          <w:tblHeader/>
        </w:trPr>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2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Constraint</w:t>
            </w:r>
          </w:p>
        </w:tc>
        <w:tc>
          <w:tcPr>
            <w:tcW w:type="dxa" w:w="3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Scheme examples</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scheme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Non-empty. Identifies the issuing authority and ID type.</w:t>
            </w:r>
          </w:p>
        </w:tc>
        <w:tc>
          <w:tcPr>
            <w:tcW w:type="dxa" w:w="3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EU:VAT, IT:PIVA, IT:CF, MX:RFC, MX:CURP, IN:GSTIN, BR:CNPJ, BR:CPF, SA:VAT, AE:TRN, AE:TIN, MY:TIN, MY:BRN, MY:MSIC, PEPPOL:GLN, PEPPOL:EID</w:t>
            </w:r>
          </w:p>
        </w:tc>
      </w:tr>
      <w:tr>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value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Non-empty. Raw identifier value as issued.</w:t>
            </w:r>
          </w:p>
        </w:tc>
        <w:tc>
          <w:tcPr>
            <w:tcW w:type="dxa" w:w="3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DE123456789, 01234567890, AAA010101AAA, 27AABCU9603R1ZX, 12345678000190</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5.2  SemanticAddress</w:t>
      </w:r>
    </w:p>
    <w:tbl>
      <w:tblPr>
        <w:tblW w:type="pct" w:w="100%"/>
        <w:tblBorders>
          <w:top w:val="single" w:color="7F77DD" w:sz="6"/>
          <w:left w:val="none"/>
          <w:bottom w:val="single" w:color="7F77DD"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7F77DD"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3C3489"/>
                <w:sz w:val="16"/>
                <w:szCs w:val="16"/>
              </w:rPr>
              <w:t xml:space="preserve">«value type»  </w:t>
            </w:r>
            <w:r>
              <w:rPr>
                <w:rFonts w:ascii="Calibri" w:cs="Calibri" w:eastAsia="Calibri" w:hAnsi="Calibri"/>
                <w:b/>
                <w:bCs/>
                <w:color w:val="0F2040"/>
                <w:sz w:val="26"/>
                <w:szCs w:val="26"/>
              </w:rPr>
              <w:t xml:space="preserve">SemanticAddress</w:t>
            </w:r>
          </w:p>
          <w:p>
            <w:pPr>
              <w:spacing w:after="80" w:before="0"/>
            </w:pPr>
            <w:r>
              <w:rPr>
                <w:rFonts w:ascii="Calibri" w:cs="Calibri" w:eastAsia="Calibri" w:hAnsi="Calibri"/>
                <w:i/>
                <w:iCs/>
                <w:color w:val="4B5563"/>
                <w:sz w:val="18"/>
                <w:szCs w:val="18"/>
              </w:rPr>
              <w:t xml:space="preserve">Postal address. All human-readable fields are SemanticText to support bilingual mandates.</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600"/>
        <w:gridCol w:w="1600"/>
        <w:gridCol w:w="1000"/>
        <w:gridCol w:w="2000"/>
        <w:gridCol w:w="3400"/>
      </w:tblGrid>
      <w:tr>
        <w:trPr>
          <w:tblHeader/>
        </w:trPr>
        <w:tc>
          <w:tcPr>
            <w:tcW w:type="dxa" w:w="1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2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Constraint</w:t>
            </w:r>
          </w:p>
        </w:tc>
        <w:tc>
          <w:tcPr>
            <w:tcW w:type="dxa" w:w="3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streetLine1</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t>
            </w:r>
          </w:p>
        </w:tc>
        <w:tc>
          <w:tcPr>
            <w:tcW w:type="dxa" w:w="3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FatturaPA Indirizzo+NumeroCivico concatenated. CFDI from address complement.</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streetLine2</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t>
            </w:r>
          </w:p>
        </w:tc>
        <w:tc>
          <w:tcPr>
            <w:tcW w:type="dxa" w:w="3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Additional street info. UBL AdditionalStreetName.</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city</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Non-empty</w:t>
            </w:r>
          </w:p>
        </w:tc>
        <w:tc>
          <w:tcPr>
            <w:tcW w:type="dxa" w:w="3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GSTIN: Loc field. NF-e: xMun.</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state</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20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 3166-2 preferred; raw state code acceptable</w:t>
            </w:r>
          </w:p>
        </w:tc>
        <w:tc>
          <w:tcPr>
            <w:tcW w:type="dxa" w:w="3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NF-e UF; GSTIN Stcd; CFDI domicilio complement.</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postalCode</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Format varies by country</w:t>
            </w:r>
          </w:p>
        </w:tc>
        <w:tc>
          <w:tcPr>
            <w:tcW w:type="dxa" w:w="3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CFDI DomicilioFiscalReceptor for buyer; NF-e CEP.</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countryCode</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CountryCode</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20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 3166-1 alpha-2</w:t>
            </w:r>
          </w:p>
        </w:tc>
        <w:tc>
          <w:tcPr>
            <w:tcW w:type="dxa" w:w="3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Hardcoded by adapters where absent in source (NF-e → BR, GSTIN → IN).</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5.3  SemanticParty</w:t>
      </w:r>
    </w:p>
    <w:tbl>
      <w:tblPr>
        <w:tblW w:type="pct" w:w="100%"/>
        <w:tblBorders>
          <w:top w:val="single" w:color="7F77DD" w:sz="6"/>
          <w:left w:val="none"/>
          <w:bottom w:val="single" w:color="7F77DD"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7F77DD"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3C3489"/>
                <w:sz w:val="16"/>
                <w:szCs w:val="16"/>
              </w:rPr>
              <w:t xml:space="preserve">«root entity»  </w:t>
            </w:r>
            <w:r>
              <w:rPr>
                <w:rFonts w:ascii="Calibri" w:cs="Calibri" w:eastAsia="Calibri" w:hAnsi="Calibri"/>
                <w:b/>
                <w:bCs/>
                <w:color w:val="0F2040"/>
                <w:sz w:val="26"/>
                <w:szCs w:val="26"/>
              </w:rPr>
              <w:t xml:space="preserve">SemanticParty</w:t>
            </w:r>
          </w:p>
          <w:p>
            <w:pPr>
              <w:spacing w:after="80" w:before="0"/>
            </w:pPr>
            <w:r>
              <w:rPr>
                <w:rFonts w:ascii="Calibri" w:cs="Calibri" w:eastAsia="Calibri" w:hAnsi="Calibri"/>
                <w:i/>
                <w:iCs/>
                <w:color w:val="4B5563"/>
                <w:sz w:val="18"/>
                <w:szCs w:val="18"/>
              </w:rPr>
              <w:t xml:space="preserve">A legal party (supplier, buyer, payee, or tax representative). Used at all party positions on the document. The identifiers[] array replaces the v1 single taxId+taxIdScheme pair.</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400"/>
        <w:gridCol w:w="1600"/>
        <w:gridCol w:w="900"/>
        <w:gridCol w:w="900"/>
        <w:gridCol w:w="2200"/>
        <w:gridCol w:w="2600"/>
      </w:tblGrid>
      <w:tr>
        <w:trPr>
          <w:tblHeader/>
        </w:trPr>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Cardinality</w:t>
            </w:r>
          </w:p>
        </w:tc>
        <w:tc>
          <w:tcPr>
            <w:tcW w:type="dxa" w:w="22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Constraint</w:t>
            </w:r>
          </w:p>
        </w:tc>
        <w:tc>
          <w:tcPr>
            <w:tcW w:type="dxa" w:w="2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legalName</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Non-empty default</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Mandatory Arabic (.ar) enforced by SA ZATCA pack. Recommended (.ar) by UAE PINT-AE pack.</w:t>
            </w:r>
          </w:p>
        </w:tc>
      </w:tr>
      <w:tr>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tradingName</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PartyName; FatturaPA may differ from Denominazione; SAP xFant.</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identifiers</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PartyIdentifier[]</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1..N</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Min 1 identifier required</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First entry is the primary tax identifier. Subsequent entries are secondary (BRN, MSIC, PAN, etc.).</w:t>
            </w:r>
          </w:p>
        </w:tc>
      </w:tr>
      <w:tr>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address</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SemanticAddress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 required SemanticAddress fields present</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Some formats (GSTIN, early CFDI) carry minimal address; adapters may set city="Unknown" when absent.</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contact</w:t>
            </w:r>
          </w:p>
        </w:tc>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Contact</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Optional contact sub-object.</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5.4  Contact</w:t>
      </w:r>
    </w:p>
    <w:tbl>
      <w:tblPr>
        <w:tblW w:type="pct" w:w="100%"/>
        <w:tblBorders>
          <w:top w:val="single" w:color="7F77DD" w:sz="6"/>
          <w:left w:val="none"/>
          <w:bottom w:val="single" w:color="7F77DD"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7F77DD"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3C3489"/>
                <w:sz w:val="16"/>
                <w:szCs w:val="16"/>
              </w:rPr>
              <w:t xml:space="preserve">«value type»  </w:t>
            </w:r>
            <w:r>
              <w:rPr>
                <w:rFonts w:ascii="Calibri" w:cs="Calibri" w:eastAsia="Calibri" w:hAnsi="Calibri"/>
                <w:b/>
                <w:bCs/>
                <w:color w:val="0F2040"/>
                <w:sz w:val="26"/>
                <w:szCs w:val="26"/>
              </w:rPr>
              <w:t xml:space="preserve">Contact</w:t>
            </w:r>
          </w:p>
          <w:p>
            <w:pPr>
              <w:spacing w:after="80" w:before="0"/>
            </w:pPr>
            <w:r>
              <w:rPr>
                <w:rFonts w:ascii="Calibri" w:cs="Calibri" w:eastAsia="Calibri" w:hAnsi="Calibri"/>
                <w:i/>
                <w:iCs/>
                <w:color w:val="4B5563"/>
                <w:sz w:val="18"/>
                <w:szCs w:val="18"/>
              </w:rPr>
              <w:t xml:space="preserve">Optional contact details for a party.</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600"/>
        <w:gridCol w:w="1400"/>
        <w:gridCol w:w="1000"/>
        <w:gridCol w:w="5600"/>
      </w:tblGrid>
      <w:tr>
        <w:trPr>
          <w:tblHeader/>
        </w:trPr>
        <w:tc>
          <w:tcPr>
            <w:tcW w:type="dxa" w:w="1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5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name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Contact person name</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phone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Including country code where available</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email</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RFC 5321 email address</w:t>
            </w:r>
          </w:p>
        </w:tc>
      </w:tr>
    </w:tbl>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6  Tax Model Entities</w:t>
      </w:r>
    </w:p>
    <w:p>
      <w:pPr>
        <w:spacing w:after="60" w:before="60"/>
        <w:jc w:val="left"/>
      </w:pPr>
      <w:r>
        <w:rPr>
          <w:rFonts w:ascii="Calibri" w:cs="Calibri" w:eastAsia="Calibri" w:hAnsi="Calibri"/>
          <w:b w:val="false"/>
          <w:bCs w:val="false"/>
          <w:i w:val="false"/>
          <w:iCs w:val="false"/>
          <w:color w:val="111111"/>
          <w:sz w:val="20"/>
          <w:szCs w:val="20"/>
        </w:rPr>
        <w:t xml:space="preserve">The tax model is the most structurally significant part of the Semantic Document. It is designed to handle concurrent multi-regime taxation (Brazil: ICMS+CBS+IBS+IS per line; India: IGST or CGST+SGST depending on jurisdiction) and jurisdiction-dependent routing. It replaces the flat </w:t>
      </w:r>
      <w:r>
        <w:rPr>
          <w:rFonts w:ascii="Courier New" w:cs="Courier New" w:eastAsia="Courier New" w:hAnsi="Courier New"/>
          <w:b w:val="false"/>
          <w:bCs w:val="false"/>
          <w:color w:val="1A4A8A"/>
          <w:sz w:val="18"/>
          <w:szCs w:val="18"/>
        </w:rPr>
        <w:t xml:space="preserve">taxSubtotals[]</w:t>
      </w:r>
      <w:r>
        <w:rPr>
          <w:rFonts w:ascii="Calibri" w:cs="Calibri" w:eastAsia="Calibri" w:hAnsi="Calibri"/>
          <w:b w:val="false"/>
          <w:bCs w:val="false"/>
          <w:i w:val="false"/>
          <w:iCs w:val="false"/>
          <w:color w:val="111111"/>
          <w:sz w:val="20"/>
          <w:szCs w:val="20"/>
        </w:rPr>
        <w:t xml:space="preserve"> array of the v1 canonical model.</w:t>
      </w:r>
    </w:p>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6.1  TaxRegime</w:t>
      </w:r>
    </w:p>
    <w:tbl>
      <w:tblPr>
        <w:tblW w:type="pct" w:w="100%"/>
        <w:tblBorders>
          <w:top w:val="single" w:color="D85A30" w:sz="6"/>
          <w:left w:val="none"/>
          <w:bottom w:val="single" w:color="D85A30"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D85A30"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712B13"/>
                <w:sz w:val="16"/>
                <w:szCs w:val="16"/>
              </w:rPr>
              <w:t xml:space="preserve">«entity»  </w:t>
            </w:r>
            <w:r>
              <w:rPr>
                <w:rFonts w:ascii="Calibri" w:cs="Calibri" w:eastAsia="Calibri" w:hAnsi="Calibri"/>
                <w:b/>
                <w:bCs/>
                <w:color w:val="0F2040"/>
                <w:sz w:val="26"/>
                <w:szCs w:val="26"/>
              </w:rPr>
              <w:t xml:space="preserve">TaxRegime</w:t>
            </w:r>
          </w:p>
          <w:p>
            <w:pPr>
              <w:spacing w:after="80" w:before="0"/>
            </w:pPr>
            <w:r>
              <w:rPr>
                <w:rFonts w:ascii="Calibri" w:cs="Calibri" w:eastAsia="Calibri" w:hAnsi="Calibri"/>
                <w:i/>
                <w:iCs/>
                <w:color w:val="4B5563"/>
                <w:sz w:val="18"/>
                <w:szCs w:val="18"/>
              </w:rPr>
              <w:t xml:space="preserve">Registers a named tax authority and its jurisdictional scope. All TaxApplication records reference a TaxRegime by regimeId. Assemblers register every regime present in the source document before any TaxApplication is created.</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400"/>
        <w:gridCol w:w="1400"/>
        <w:gridCol w:w="900"/>
        <w:gridCol w:w="900"/>
        <w:gridCol w:w="2400"/>
        <w:gridCol w:w="2600"/>
      </w:tblGrid>
      <w:tr>
        <w:trPr>
          <w:tblHeader/>
        </w:trPr>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Cardinality</w:t>
            </w:r>
          </w:p>
        </w:tc>
        <w:tc>
          <w:tcPr>
            <w:tcW w:type="dxa" w:w="2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Constraint</w:t>
            </w:r>
          </w:p>
        </w:tc>
        <w:tc>
          <w:tcPr>
            <w:tcW w:type="dxa" w:w="2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Examples</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regimeId</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Unique within the document. Used as FK by TaxApplication.regimeRef.</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VAT_IT, IVA_MX, GST_IN_IGST, GST_IN_CGST, GST_IN_SGST, ICMS_BR, CBS_BR, IBS_BR, IS_BR, VAT_EU, SST_MY_SALES, SST_MY_SERVICE</w:t>
            </w:r>
          </w:p>
        </w:tc>
      </w:tr>
      <w:tr>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name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Display name for the regime.</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VAT, IVA, IGST, CGST, SGST, ICMS, CBS, IBS, IS, SST</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authority</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Full name of the collecting authority.</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Agenzia delle Entrate, SAT, GSTN, SEFAZ, Receita Federal, LHDN</w:t>
            </w:r>
          </w:p>
        </w:tc>
      </w:tr>
      <w:tr>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country</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CountryCode</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 3166-1 alpha-2.</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IT, MX, IN, BR, MY</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region</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RegionCode</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 3166-2. Present for state-level regimes.</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BR-SP (ICMS São Paulo SEFAZ), IN-MH (state GST)</w:t>
            </w:r>
          </w:p>
        </w:tc>
      </w:tr>
      <w:tr>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level</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Enum</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"federal" | "state" | "municipal"</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ICMS=state, PIS=federal, CBS=federal, IBS=state, IS=federal, IGST=federal, CGST=federal, SGST=state</w:t>
            </w:r>
          </w:p>
        </w:tc>
      </w:tr>
    </w:tbl>
    <w:p>
      <w:pPr>
        <w:spacing w:after="80" w:before="0"/>
      </w:pPr>
      <w:r>
        <w:rPr>
          <w:rFonts w:ascii="Calibri" w:cs="Calibri" w:eastAsia="Calibri" w:hAnsi="Calibri"/>
          <w:b w:val="false"/>
          <w:bCs w:val="false"/>
          <w:i w:val="false"/>
          <w:iCs w:val="false"/>
          <w:color w:val="111111"/>
          <w:sz w:val="20"/>
          <w:szCs w:val="20"/>
        </w:rPr>
        <w:t xml:space="preserve"/>
      </w:r>
    </w:p>
    <w:p>
      <w:pPr>
        <w:spacing w:after="60" w:before="60"/>
        <w:jc w:val="left"/>
      </w:pPr>
      <w:r>
        <w:rPr>
          <w:rFonts w:ascii="Calibri" w:cs="Calibri" w:eastAsia="Calibri" w:hAnsi="Calibri"/>
          <w:b w:val="false"/>
          <w:bCs w:val="false"/>
          <w:i w:val="false"/>
          <w:iCs w:val="false"/>
          <w:color w:val="111111"/>
          <w:sz w:val="20"/>
          <w:szCs w:val="20"/>
        </w:rPr>
        <w:t xml:space="preserve">Standard regime registrations per source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000"/>
        <w:gridCol w:w="3800"/>
        <w:gridCol w:w="3800"/>
      </w:tblGrid>
      <w:tr>
        <w:trPr>
          <w:tblHeader/>
        </w:trPr>
        <w:tc>
          <w:tcPr>
            <w:tcW w:type="dxa" w:w="2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Source format</w:t>
            </w:r>
          </w:p>
        </w:tc>
        <w:tc>
          <w:tcPr>
            <w:tcW w:type="dxa" w:w="3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Regimes registered</w:t>
            </w:r>
          </w:p>
        </w:tc>
        <w:tc>
          <w:tcPr>
            <w:tcW w:type="dxa" w:w="3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 EN 16931</w:t>
            </w:r>
          </w:p>
        </w:tc>
        <w:tc>
          <w:tcPr>
            <w:tcW w:type="dxa" w:w="3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VAT_EU (or country-specific e.g. VAT_DE, VAT_NL)</w:t>
            </w:r>
          </w:p>
        </w:tc>
        <w:tc>
          <w:tcPr>
            <w:tcW w:type="dxa" w:w="3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Single regime. CategoryCode from TaxCategory/ID.</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FatturaPA</w:t>
            </w:r>
          </w:p>
        </w:tc>
        <w:tc>
          <w:tcPr>
            <w:tcW w:type="dxa" w:w="3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VAT_IT</w:t>
            </w:r>
          </w:p>
        </w:tc>
        <w:tc>
          <w:tcPr>
            <w:tcW w:type="dxa" w:w="3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Single regime. Natura code maps to categoryCode.</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CFDI 4.0</w:t>
            </w:r>
          </w:p>
        </w:tc>
        <w:tc>
          <w:tcPr>
            <w:tcW w:type="dxa" w:w="3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IVA_MX and/or IEPS_MX and/or ISR_MX</w:t>
            </w:r>
          </w:p>
        </w:tc>
        <w:tc>
          <w:tcPr>
            <w:tcW w:type="dxa" w:w="3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One per Impuesto code present (002=IVA, 003=IEPS, 001=ISR). Plus RETENCION_MX if Retenciones present.</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NF-e 4.0</w:t>
            </w:r>
          </w:p>
        </w:tc>
        <w:tc>
          <w:tcPr>
            <w:tcW w:type="dxa" w:w="3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ICMS_BR, PIS_BR, COFINS_BR (mandatory). IBS_BR, CBS_BR, IS_BR from Aug 2026 reform.</w:t>
            </w:r>
          </w:p>
        </w:tc>
        <w:tc>
          <w:tcPr>
            <w:tcW w:type="dxa" w:w="3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Multi-regime — 3 or 6 regimes per document. All aggregated across lines.</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INV-01</w:t>
            </w:r>
          </w:p>
        </w:tc>
        <w:tc>
          <w:tcPr>
            <w:tcW w:type="dxa" w:w="3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GST_IN_IGST (inter-state) OR GST_IN_CGST + GST_IN_SGST (intra-state). GST_IN_CESS if cess &gt; 0.</w:t>
            </w:r>
          </w:p>
        </w:tc>
        <w:tc>
          <w:tcPr>
            <w:tcW w:type="dxa" w:w="3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Supply type determines which set is registered. Jurisdiction rule runs before regime registration.</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MyInvois</w:t>
            </w:r>
          </w:p>
        </w:tc>
        <w:tc>
          <w:tcPr>
            <w:tcW w:type="dxa" w:w="3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SST_MY_SALES or SST_MY_SERVICE depending on invoiceTypeCode and taxCategory.id.</w:t>
            </w:r>
          </w:p>
        </w:tc>
        <w:tc>
          <w:tcPr>
            <w:tcW w:type="dxa" w:w="3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Malaysia SST has two sub-regimes; code maps to the correct one.</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6.2  JurisdictionContext</w:t>
      </w:r>
    </w:p>
    <w:tbl>
      <w:tblPr>
        <w:tblW w:type="pct" w:w="100%"/>
        <w:tblBorders>
          <w:top w:val="single" w:color="D85A30" w:sz="6"/>
          <w:left w:val="none"/>
          <w:bottom w:val="single" w:color="D85A30"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D85A30"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712B13"/>
                <w:sz w:val="16"/>
                <w:szCs w:val="16"/>
              </w:rPr>
              <w:t xml:space="preserve">«context (transient)»  </w:t>
            </w:r>
            <w:r>
              <w:rPr>
                <w:rFonts w:ascii="Calibri" w:cs="Calibri" w:eastAsia="Calibri" w:hAnsi="Calibri"/>
                <w:b/>
                <w:bCs/>
                <w:color w:val="0F2040"/>
                <w:sz w:val="26"/>
                <w:szCs w:val="26"/>
              </w:rPr>
              <w:t xml:space="preserve">JurisdictionContext</w:t>
            </w:r>
          </w:p>
          <w:p>
            <w:pPr>
              <w:spacing w:after="80" w:before="0"/>
            </w:pPr>
            <w:r>
              <w:rPr>
                <w:rFonts w:ascii="Calibri" w:cs="Calibri" w:eastAsia="Calibri" w:hAnsi="Calibri"/>
                <w:i/>
                <w:iCs/>
                <w:color w:val="4B5563"/>
                <w:sz w:val="18"/>
                <w:szCs w:val="18"/>
              </w:rPr>
              <w:t xml:space="preserve">Carries routing metadata used to determine which tax regimes apply. Not persisted in the SemanticDocument after assembly — it is a runtime context populated by the jurisdiction rule and consumed by conditional tax_application rules.</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1400"/>
        <w:gridCol w:w="1000"/>
        <w:gridCol w:w="5400"/>
      </w:tblGrid>
      <w:tr>
        <w:trPr>
          <w:tblHeader/>
        </w:trPr>
        <w:tc>
          <w:tcPr>
            <w:tcW w:type="dxa" w:w="1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5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supplyType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Enum</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"inter_state" | "intra_state" | "union_territory" | "export" | "sez". Drives IGST vs CGST/SGST split for India; interstate vs intrastate routing for Brazil ICMS.</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sellerStateCode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2-digit state code extracted from seller GSTIN (India) or UF (Brazil). Compared against placeOfSupply to derive supplyType.</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placeOfSupply</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2-digit POS code (India BuyerDtls.Pos) or municipality code (Brazil cMun). Determines tax jurisdiction for service invoices.</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exportCategory</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EXPWP / EXPWOP / SEZWP / SEZWOP (India). Drives zero-rating and reporting requirements.</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6.3  TaxApplication</w:t>
      </w:r>
    </w:p>
    <w:tbl>
      <w:tblPr>
        <w:tblW w:type="pct" w:w="100%"/>
        <w:tblBorders>
          <w:top w:val="single" w:color="D85A30" w:sz="6"/>
          <w:left w:val="none"/>
          <w:bottom w:val="single" w:color="D85A30"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D85A30"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712B13"/>
                <w:sz w:val="16"/>
                <w:szCs w:val="16"/>
              </w:rPr>
              <w:t xml:space="preserve">«entity»  </w:t>
            </w:r>
            <w:r>
              <w:rPr>
                <w:rFonts w:ascii="Calibri" w:cs="Calibri" w:eastAsia="Calibri" w:hAnsi="Calibri"/>
                <w:b/>
                <w:bCs/>
                <w:color w:val="0F2040"/>
                <w:sz w:val="26"/>
                <w:szCs w:val="26"/>
              </w:rPr>
              <w:t xml:space="preserve">TaxApplication</w:t>
            </w:r>
          </w:p>
          <w:p>
            <w:pPr>
              <w:spacing w:after="80" w:before="0"/>
            </w:pPr>
            <w:r>
              <w:rPr>
                <w:rFonts w:ascii="Calibri" w:cs="Calibri" w:eastAsia="Calibri" w:hAnsi="Calibri"/>
                <w:i/>
                <w:iCs/>
                <w:color w:val="4B5563"/>
                <w:sz w:val="18"/>
                <w:szCs w:val="18"/>
              </w:rPr>
              <w:t xml:space="preserve">One tax regime applied to one taxable base. A document carries N TaxApplications — one per (regime × rate × basis) combination. This is the core multi-regime construct.</w:t>
            </w:r>
          </w:p>
        </w:tc>
      </w:tr>
    </w:tbl>
    <w:p>
      <w:pPr>
        <w:spacing w:after="80" w:before="0"/>
      </w:pPr>
      <w:r>
        <w:rPr>
          <w:rFonts w:ascii="Calibri" w:cs="Calibri" w:eastAsia="Calibri" w:hAnsi="Calibri"/>
          <w:b w:val="false"/>
          <w:bCs w:val="false"/>
          <w:i w:val="false"/>
          <w:iCs w:val="false"/>
          <w:color w:val="111111"/>
          <w:sz w:val="20"/>
          <w:szCs w:val="20"/>
        </w:rPr>
        <w:t xml:space="preserve"/>
      </w:r>
    </w:p>
    <w:p>
      <w:pPr>
        <w:spacing w:after="60" w:before="60"/>
        <w:jc w:val="left"/>
      </w:pPr>
      <w:r>
        <w:rPr>
          <w:rFonts w:ascii="Calibri" w:cs="Calibri" w:eastAsia="Calibri" w:hAnsi="Calibri"/>
          <w:b w:val="false"/>
          <w:bCs w:val="false"/>
          <w:i w:val="false"/>
          <w:iCs w:val="false"/>
          <w:color w:val="111111"/>
          <w:sz w:val="20"/>
          <w:szCs w:val="20"/>
        </w:rPr>
        <w:t xml:space="preserve">Relationship: </w:t>
      </w:r>
      <w:r>
        <w:rPr>
          <w:rFonts w:ascii="Courier New" w:cs="Courier New" w:eastAsia="Courier New" w:hAnsi="Courier New"/>
          <w:b w:val="false"/>
          <w:bCs w:val="false"/>
          <w:color w:val="1A4A8A"/>
          <w:sz w:val="18"/>
          <w:szCs w:val="18"/>
        </w:rPr>
        <w:t xml:space="preserve">SemanticDocument.taxApplications</w:t>
      </w:r>
      <w:r>
        <w:rPr>
          <w:rFonts w:ascii="Calibri" w:cs="Calibri" w:eastAsia="Calibri" w:hAnsi="Calibri"/>
          <w:b w:val="false"/>
          <w:bCs w:val="false"/>
          <w:i w:val="false"/>
          <w:iCs w:val="false"/>
          <w:color w:val="111111"/>
          <w:sz w:val="20"/>
          <w:szCs w:val="20"/>
        </w:rPr>
        <w:t xml:space="preserve"> is an array of </w:t>
      </w:r>
      <w:r>
        <w:rPr>
          <w:rFonts w:ascii="Courier New" w:cs="Courier New" w:eastAsia="Courier New" w:hAnsi="Courier New"/>
          <w:b w:val="false"/>
          <w:bCs w:val="false"/>
          <w:color w:val="1A4A8A"/>
          <w:sz w:val="18"/>
          <w:szCs w:val="18"/>
        </w:rPr>
        <w:t xml:space="preserve">TaxApplication</w:t>
      </w:r>
      <w:r>
        <w:rPr>
          <w:rFonts w:ascii="Calibri" w:cs="Calibri" w:eastAsia="Calibri" w:hAnsi="Calibri"/>
          <w:b w:val="false"/>
          <w:bCs w:val="false"/>
          <w:i w:val="false"/>
          <w:iCs w:val="false"/>
          <w:color w:val="111111"/>
          <w:sz w:val="20"/>
          <w:szCs w:val="20"/>
        </w:rPr>
        <w:t xml:space="preserve">. Each TaxApplication has a foreign key </w:t>
      </w:r>
      <w:r>
        <w:rPr>
          <w:rFonts w:ascii="Courier New" w:cs="Courier New" w:eastAsia="Courier New" w:hAnsi="Courier New"/>
          <w:b w:val="false"/>
          <w:bCs w:val="false"/>
          <w:color w:val="1A4A8A"/>
          <w:sz w:val="18"/>
          <w:szCs w:val="18"/>
        </w:rPr>
        <w:t xml:space="preserve">regimeRef</w:t>
      </w:r>
      <w:r>
        <w:rPr>
          <w:rFonts w:ascii="Calibri" w:cs="Calibri" w:eastAsia="Calibri" w:hAnsi="Calibri"/>
          <w:b w:val="false"/>
          <w:bCs w:val="false"/>
          <w:i w:val="false"/>
          <w:iCs w:val="false"/>
          <w:color w:val="111111"/>
          <w:sz w:val="20"/>
          <w:szCs w:val="20"/>
        </w:rPr>
        <w:t xml:space="preserve"> pointing to a </w:t>
      </w:r>
      <w:r>
        <w:rPr>
          <w:rFonts w:ascii="Courier New" w:cs="Courier New" w:eastAsia="Courier New" w:hAnsi="Courier New"/>
          <w:b w:val="false"/>
          <w:bCs w:val="false"/>
          <w:color w:val="1A4A8A"/>
          <w:sz w:val="18"/>
          <w:szCs w:val="18"/>
        </w:rPr>
        <w:t xml:space="preserve">TaxRegime</w:t>
      </w:r>
      <w:r>
        <w:rPr>
          <w:rFonts w:ascii="Calibri" w:cs="Calibri" w:eastAsia="Calibri" w:hAnsi="Calibri"/>
          <w:b w:val="false"/>
          <w:bCs w:val="false"/>
          <w:i w:val="false"/>
          <w:iCs w:val="false"/>
          <w:color w:val="111111"/>
          <w:sz w:val="20"/>
          <w:szCs w:val="20"/>
        </w:rPr>
        <w:t xml:space="preserve"> registered in </w:t>
      </w:r>
      <w:r>
        <w:rPr>
          <w:rFonts w:ascii="Courier New" w:cs="Courier New" w:eastAsia="Courier New" w:hAnsi="Courier New"/>
          <w:b w:val="false"/>
          <w:bCs w:val="false"/>
          <w:color w:val="1A4A8A"/>
          <w:sz w:val="18"/>
          <w:szCs w:val="18"/>
        </w:rPr>
        <w:t xml:space="preserve">SemanticDocument.taxRegimes</w:t>
      </w:r>
      <w:r>
        <w:rPr>
          <w:rFonts w:ascii="Calibri" w:cs="Calibri" w:eastAsia="Calibri" w:hAnsi="Calibri"/>
          <w:b w:val="false"/>
          <w:bCs w:val="false"/>
          <w:i w:val="false"/>
          <w:iCs w:val="false"/>
          <w:color w:val="111111"/>
          <w:sz w:val="20"/>
          <w:szCs w:val="20"/>
        </w:rPr>
        <w:t xml:space="preserve">.</w:t>
      </w:r>
    </w:p>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1400"/>
        <w:gridCol w:w="900"/>
        <w:gridCol w:w="900"/>
        <w:gridCol w:w="2000"/>
        <w:gridCol w:w="2600"/>
      </w:tblGrid>
      <w:tr>
        <w:trPr>
          <w:tblHeader/>
        </w:trPr>
        <w:tc>
          <w:tcPr>
            <w:tcW w:type="dxa" w:w="1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Cardinality</w:t>
            </w:r>
          </w:p>
        </w:tc>
        <w:tc>
          <w:tcPr>
            <w:tcW w:type="dxa" w:w="2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Constraint</w:t>
            </w:r>
          </w:p>
        </w:tc>
        <w:tc>
          <w:tcPr>
            <w:tcW w:type="dxa" w:w="2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regimeRef</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Must match a regimeId in SemanticDocument.taxRegimes[]</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Foreign key. Emitters group output by regimeRef.</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categoryCode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Enum</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EN 16931 category: S | Z | E | AE | K | G | O</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S=standard, Z=zero, E=exempt, AE=reverse charge, K=OSS/IOSS, G=free export, O=out of scope</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rate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Percentage string e.g. "19.00". Null when categoryCode is E, AE, or K.</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CFDI TasaOCuota×100. FatturaPA AliquotaIVA direct. Null when Natura present.</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taxableAmount</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Non-negative Decimal string.</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Aggregated across all lines for document-level TaxApplication.</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taxAmount</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Non-negative Decimal string. Zero for E/AE/K categories.</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Cross-checked against line-level sums by validation rules.</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withholdingAmount</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Non-negative Decimal string.</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MX retenciones; IN TDS; SA withholding (5% on some services).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exemptionReasonCode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Format-specific code preserved for outbound emit.</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FatturaPA Natura (N1–N7); UBL TaxExemptionReasonCode.</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exemptionReasonText</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Human-readable exemption description.</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TaxExemptionReason; FatturaPA RiferimentoNormativo.</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jurisdiction</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JurisdictionContext</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Present only when tax routing is jurisdiction-dependent.</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India intra/inter-state; Brazil ICMS state routing.</w:t>
            </w:r>
          </w:p>
        </w:tc>
      </w:tr>
    </w:tbl>
    <w:p>
      <w:pPr>
        <w:spacing w:after="80" w:before="0"/>
      </w:pPr>
      <w:r>
        <w:rPr>
          <w:rFonts w:ascii="Calibri" w:cs="Calibri" w:eastAsia="Calibri" w:hAnsi="Calibri"/>
          <w:b w:val="false"/>
          <w:bCs w:val="false"/>
          <w:i w:val="false"/>
          <w:iCs w:val="false"/>
          <w:color w:val="111111"/>
          <w:sz w:val="20"/>
          <w:szCs w:val="20"/>
        </w:rPr>
        <w:t xml:space="preserve"/>
      </w:r>
    </w:p>
    <w:p>
      <w:pPr>
        <w:spacing w:after="60" w:before="60"/>
        <w:jc w:val="left"/>
      </w:pPr>
      <w:r>
        <w:rPr>
          <w:rFonts w:ascii="Calibri" w:cs="Calibri" w:eastAsia="Calibri" w:hAnsi="Calibri"/>
          <w:b w:val="false"/>
          <w:bCs w:val="false"/>
          <w:i w:val="false"/>
          <w:iCs w:val="false"/>
          <w:color w:val="111111"/>
          <w:sz w:val="20"/>
          <w:szCs w:val="20"/>
        </w:rPr>
        <w:t xml:space="preserve">Cardinality examples by source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400"/>
        <w:gridCol w:w="2200"/>
        <w:gridCol w:w="5000"/>
      </w:tblGrid>
      <w:tr>
        <w:trPr>
          <w:tblHeader/>
        </w:trPr>
        <w:tc>
          <w:tcPr>
            <w:tcW w:type="dxa" w:w="2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Source format</w:t>
            </w:r>
          </w:p>
        </w:tc>
        <w:tc>
          <w:tcPr>
            <w:tcW w:type="dxa" w:w="22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Typical TaxApplication count</w:t>
            </w:r>
          </w:p>
        </w:tc>
        <w:tc>
          <w:tcPr>
            <w:tcW w:type="dxa" w:w="5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Explanation</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single VAT rate</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w:t>
            </w:r>
          </w:p>
        </w:tc>
        <w:tc>
          <w:tcPr>
            <w:tcW w:type="dxa" w:w="5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One S-category application at the standard rate.</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mixed rates</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2–3</w:t>
            </w:r>
          </w:p>
        </w:tc>
        <w:tc>
          <w:tcPr>
            <w:tcW w:type="dxa" w:w="5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One per distinct rate (e.g. 19% standard + 7% reduced + exempt line).</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FatturaPA with Natura</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2</w:t>
            </w:r>
          </w:p>
        </w:tc>
        <w:tc>
          <w:tcPr>
            <w:tcW w:type="dxa" w:w="5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One S application for taxable lines + one E/AE/Z application per Natura code present.</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CFDI with IVA only</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w:t>
            </w:r>
          </w:p>
        </w:tc>
        <w:tc>
          <w:tcPr>
            <w:tcW w:type="dxa" w:w="5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One IVA_MX application (may also have RETENCION_MX).</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CFDI with IVA + ISR retention</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2</w:t>
            </w:r>
          </w:p>
        </w:tc>
        <w:tc>
          <w:tcPr>
            <w:tcW w:type="dxa" w:w="5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IVA_MX (traslado) + ISR_MX (retencion). Withholding expressed as negative or separate.</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NF-e (goods, 3 regimes)</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3</w:t>
            </w:r>
          </w:p>
        </w:tc>
        <w:tc>
          <w:tcPr>
            <w:tcW w:type="dxa" w:w="5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ICMS_BR + PIS_BR + COFINS_BR. Each aggregated across all det lines.</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NF-e (Aug 2026+ reform)</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4–6</w:t>
            </w:r>
          </w:p>
        </w:tc>
        <w:tc>
          <w:tcPr>
            <w:tcW w:type="dxa" w:w="5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ICMS_BR + CBS_BR + IBS_BR + IS_BR (+ PIS/COFINS during transition period).</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INV-01 inter-state, no cess</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w:t>
            </w:r>
          </w:p>
        </w:tc>
        <w:tc>
          <w:tcPr>
            <w:tcW w:type="dxa" w:w="5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GST_IN_IGST only.</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INV-01 intra-state, with cess</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3</w:t>
            </w:r>
          </w:p>
        </w:tc>
        <w:tc>
          <w:tcPr>
            <w:tcW w:type="dxa" w:w="5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GST_IN_CGST + GST_IN_SGST + GST_IN_CESS.</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MyInvois SST (single rate)</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w:t>
            </w:r>
          </w:p>
        </w:tc>
        <w:tc>
          <w:tcPr>
            <w:tcW w:type="dxa" w:w="5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SST_MY_SALES or SST_MY_SERVICE.</w:t>
            </w:r>
          </w:p>
        </w:tc>
      </w:tr>
    </w:tbl>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7  Line Item Entities</w:t>
      </w:r>
    </w:p>
    <w:p>
      <w:pPr>
        <w:pStyle w:val="Heading2"/>
        <w:spacing w:after="100" w:before="280"/>
      </w:pPr>
      <w:r>
        <w:rPr>
          <w:rFonts w:ascii="Calibri" w:cs="Calibri" w:eastAsia="Calibri" w:hAnsi="Calibri"/>
          <w:b/>
          <w:bCs/>
          <w:color w:val="1A4A8A"/>
          <w:sz w:val="32"/>
          <w:szCs w:val="32"/>
        </w:rPr>
        <w:t xml:space="preserve">7.1  ItemClassification</w:t>
      </w:r>
    </w:p>
    <w:tbl>
      <w:tblPr>
        <w:tblW w:type="pct" w:w="100%"/>
        <w:tblBorders>
          <w:top w:val="single" w:color="BA7517" w:sz="6"/>
          <w:left w:val="none"/>
          <w:bottom w:val="single" w:color="BA7517"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BA7517"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633806"/>
                <w:sz w:val="16"/>
                <w:szCs w:val="16"/>
              </w:rPr>
              <w:t xml:space="preserve">«value type»  </w:t>
            </w:r>
            <w:r>
              <w:rPr>
                <w:rFonts w:ascii="Calibri" w:cs="Calibri" w:eastAsia="Calibri" w:hAnsi="Calibri"/>
                <w:b/>
                <w:bCs/>
                <w:color w:val="0F2040"/>
                <w:sz w:val="26"/>
                <w:szCs w:val="26"/>
              </w:rPr>
              <w:t xml:space="preserve">ItemClassification</w:t>
            </w:r>
          </w:p>
          <w:p>
            <w:pPr>
              <w:spacing w:after="80" w:before="0"/>
            </w:pPr>
            <w:r>
              <w:rPr>
                <w:rFonts w:ascii="Calibri" w:cs="Calibri" w:eastAsia="Calibri" w:hAnsi="Calibri"/>
                <w:i/>
                <w:iCs/>
                <w:color w:val="4B5563"/>
                <w:sz w:val="18"/>
                <w:szCs w:val="18"/>
              </w:rPr>
              <w:t xml:space="preserve">A classification code for a line item in a specific scheme.</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400"/>
        <w:gridCol w:w="1400"/>
        <w:gridCol w:w="1000"/>
        <w:gridCol w:w="5800"/>
      </w:tblGrid>
      <w:tr>
        <w:trPr>
          <w:tblHeader/>
        </w:trPr>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5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scheme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Classification scheme identifier: CPV (EU), HSN (India), SAT:ClaveProdServ (Mexico), NCM (Brazil), CLASS (Malaysia), UNSPSC, etc.</w:t>
            </w:r>
          </w:p>
        </w:tc>
      </w:tr>
      <w:tr>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code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The classification code value within the scheme.</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name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Human-readable name for the classification. Present in some formats (SAP IDoc).</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7.2  LineCharge</w:t>
      </w:r>
    </w:p>
    <w:tbl>
      <w:tblPr>
        <w:tblW w:type="pct" w:w="100%"/>
        <w:tblBorders>
          <w:top w:val="single" w:color="BA7517" w:sz="6"/>
          <w:left w:val="none"/>
          <w:bottom w:val="single" w:color="BA7517"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BA7517"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633806"/>
                <w:sz w:val="16"/>
                <w:szCs w:val="16"/>
              </w:rPr>
              <w:t xml:space="preserve">«value type»  </w:t>
            </w:r>
            <w:r>
              <w:rPr>
                <w:rFonts w:ascii="Calibri" w:cs="Calibri" w:eastAsia="Calibri" w:hAnsi="Calibri"/>
                <w:b/>
                <w:bCs/>
                <w:color w:val="0F2040"/>
                <w:sz w:val="26"/>
                <w:szCs w:val="26"/>
              </w:rPr>
              <w:t xml:space="preserve">LineCharge</w:t>
            </w:r>
          </w:p>
          <w:p>
            <w:pPr>
              <w:spacing w:after="80" w:before="0"/>
            </w:pPr>
            <w:r>
              <w:rPr>
                <w:rFonts w:ascii="Calibri" w:cs="Calibri" w:eastAsia="Calibri" w:hAnsi="Calibri"/>
                <w:i/>
                <w:iCs/>
                <w:color w:val="4B5563"/>
                <w:sz w:val="18"/>
                <w:szCs w:val="18"/>
              </w:rPr>
              <w:t xml:space="preserve">An allowance or surcharge applied at line level. Scope is always "line" — document-level charges are in SemanticDocument.charges[].</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400"/>
        <w:gridCol w:w="1400"/>
        <w:gridCol w:w="1000"/>
        <w:gridCol w:w="1400"/>
        <w:gridCol w:w="4400"/>
      </w:tblGrid>
      <w:tr>
        <w:trPr>
          <w:tblHeader/>
        </w:trPr>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Constraint</w:t>
            </w:r>
          </w:p>
        </w:tc>
        <w:tc>
          <w:tcPr>
            <w:tcW w:type="dxa" w:w="4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isCharge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boolean</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true=surcharge, false=allowance/discount</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ChargeIndicator; FatturaPA Tipo (SC/MG); CFDI @Descuento.</w:t>
            </w:r>
          </w:p>
        </w:tc>
      </w:tr>
      <w:tr>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scope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Enum</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Always "line" for LineCharge</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Distinguishes from document-level DocumentCharge.</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amount</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Non-negative</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Monetary amount of the charge/discount.</w:t>
            </w:r>
          </w:p>
        </w:tc>
      </w:tr>
      <w:tr>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percentage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0..100</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Percentage of base that generates the amount. Present when source carries a percentage.</w:t>
            </w:r>
          </w:p>
        </w:tc>
      </w:tr>
      <w:tr>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reasonCode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Coded reason. UBL AllowanceChargeReasonCode.</w:t>
            </w:r>
          </w:p>
        </w:tc>
      </w:tr>
      <w:tr>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reasonText</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Human-readable reason.</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7.3  SemanticLine</w:t>
      </w:r>
    </w:p>
    <w:tbl>
      <w:tblPr>
        <w:tblW w:type="pct" w:w="100%"/>
        <w:tblBorders>
          <w:top w:val="single" w:color="BA7517" w:sz="6"/>
          <w:left w:val="none"/>
          <w:bottom w:val="single" w:color="BA7517"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BA7517"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633806"/>
                <w:sz w:val="16"/>
                <w:szCs w:val="16"/>
              </w:rPr>
              <w:t xml:space="preserve">«entity»  </w:t>
            </w:r>
            <w:r>
              <w:rPr>
                <w:rFonts w:ascii="Calibri" w:cs="Calibri" w:eastAsia="Calibri" w:hAnsi="Calibri"/>
                <w:b/>
                <w:bCs/>
                <w:color w:val="0F2040"/>
                <w:sz w:val="26"/>
                <w:szCs w:val="26"/>
              </w:rPr>
              <w:t xml:space="preserve">SemanticLine</w:t>
            </w:r>
          </w:p>
          <w:p>
            <w:pPr>
              <w:spacing w:after="80" w:before="0"/>
            </w:pPr>
            <w:r>
              <w:rPr>
                <w:rFonts w:ascii="Calibri" w:cs="Calibri" w:eastAsia="Calibri" w:hAnsi="Calibri"/>
                <w:i/>
                <w:iCs/>
                <w:color w:val="4B5563"/>
                <w:sz w:val="18"/>
                <w:szCs w:val="18"/>
              </w:rPr>
              <w:t xml:space="preserve">One invoice line item. Carries the line-level tax applications (which reference the document's registered TaxRegimes) and optionally a place of supply for jurisdiction routing.</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600"/>
        <w:gridCol w:w="1600"/>
        <w:gridCol w:w="900"/>
        <w:gridCol w:w="900"/>
        <w:gridCol w:w="2000"/>
        <w:gridCol w:w="2600"/>
      </w:tblGrid>
      <w:tr>
        <w:trPr>
          <w:tblHeader/>
        </w:trPr>
        <w:tc>
          <w:tcPr>
            <w:tcW w:type="dxa" w:w="1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Cardinality</w:t>
            </w:r>
          </w:p>
        </w:tc>
        <w:tc>
          <w:tcPr>
            <w:tcW w:type="dxa" w:w="2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Constraint</w:t>
            </w:r>
          </w:p>
        </w:tc>
        <w:tc>
          <w:tcPr>
            <w:tcW w:type="dxa" w:w="2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id</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Non-empty. Unique within the document.</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FatturaPA NumeroLinea (integer string); UBL InvoiceLine/ID; CFDI NoIdentificacion or index; GSTIN SlNo.</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description</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Non-empty default.</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Mandatory Arabic in SA. Bilingual recommended in AE. Source: UBL cbc:Description; FatturaPA Descrizione; CFDI @Descripcion; GSTIN Nm.</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sellerItemId</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SellersItemIdentification; CFDI @NoIdentificacion; SAP POSEX.</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buyerItemId</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BuyersItemIdentification; PO line reference.</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classifications</w:t>
            </w:r>
          </w:p>
        </w:tc>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ItemClassification[]</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0..N</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Multiple schemes may be present (e.g. CPV + UNSPSC on same line).</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unitCode</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UN/CEFACT unit code. Adapters map from source: SAP ST→C62, CFDI ClaveUnidad via SAT lookup.</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Default: C62 (each/unit) when source absent.</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quantity</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Non-negative.</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split from InvoicedQuantity node (value + unitCode in one element).</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unitPrice</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Net price per unit after any item-level discount.</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PriceAmount. CFDI @ValorUnitario.</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grossUnitPrice</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Unit price before item-level discount, when separately stated.</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AllowanceCharge on Price.</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netAmount</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Line total = quantity × unitPrice after line discounts.</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Cross-checked: quantity×unitPrice±charges ≈ netAmount (tolerance 0.02).</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taxApplications</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TaxApplication[]</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1..N</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Min 1. Refs regimeIds registered in document.taxRegimes[].</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Line-level tax. Brazil: 3–6 applications per line. India: 1 or 2 depending on supplyType.</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placeOfSupply</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State/municipality code for jurisdiction routing.</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Mandatory for India (drives IGST vs CGST/SGST). Present for Brazil service lines (cMun).</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charges</w:t>
            </w:r>
          </w:p>
        </w:tc>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LineCharge[]</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0..N</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Line-level discounts and surcharges.</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deliveryPeriodStart</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InvoicePeriod on line. Absent in most LATAM formats.</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deliveryPeriodEnd</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t>
            </w:r>
          </w:p>
        </w:tc>
        <w:tc>
          <w:tcPr>
            <w:tcW w:type="dxa" w:w="2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InvoicePeriod on line.</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note</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t>
            </w:r>
          </w:p>
        </w:tc>
        <w:tc>
          <w:tcPr>
            <w:tcW w:type="dxa" w:w="2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InvoiceLine/Note; FatturaPA AltriDatiGestionali.</w:t>
            </w:r>
          </w:p>
        </w:tc>
      </w:tr>
    </w:tbl>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8  Financial Entities</w:t>
      </w:r>
    </w:p>
    <w:p>
      <w:pPr>
        <w:pStyle w:val="Heading2"/>
        <w:spacing w:after="100" w:before="280"/>
      </w:pPr>
      <w:r>
        <w:rPr>
          <w:rFonts w:ascii="Calibri" w:cs="Calibri" w:eastAsia="Calibri" w:hAnsi="Calibri"/>
          <w:b/>
          <w:bCs/>
          <w:color w:val="1A4A8A"/>
          <w:sz w:val="32"/>
          <w:szCs w:val="32"/>
        </w:rPr>
        <w:t xml:space="preserve">8.1  RegimeTaxTotal</w:t>
      </w:r>
    </w:p>
    <w:tbl>
      <w:tblPr>
        <w:tblW w:type="pct" w:w="100%"/>
        <w:tblBorders>
          <w:top w:val="single" w:color="BA7517" w:sz="6"/>
          <w:left w:val="none"/>
          <w:bottom w:val="single" w:color="BA7517"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BA7517"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633806"/>
                <w:sz w:val="16"/>
                <w:szCs w:val="16"/>
              </w:rPr>
              <w:t xml:space="preserve">«value type»  </w:t>
            </w:r>
            <w:r>
              <w:rPr>
                <w:rFonts w:ascii="Calibri" w:cs="Calibri" w:eastAsia="Calibri" w:hAnsi="Calibri"/>
                <w:b/>
                <w:bCs/>
                <w:color w:val="0F2040"/>
                <w:sz w:val="26"/>
                <w:szCs w:val="26"/>
              </w:rPr>
              <w:t xml:space="preserve">RegimeTaxTotal</w:t>
            </w:r>
          </w:p>
          <w:p>
            <w:pPr>
              <w:spacing w:after="80" w:before="0"/>
            </w:pPr>
            <w:r>
              <w:rPr>
                <w:rFonts w:ascii="Calibri" w:cs="Calibri" w:eastAsia="Calibri" w:hAnsi="Calibri"/>
                <w:i/>
                <w:iCs/>
                <w:color w:val="4B5563"/>
                <w:sz w:val="18"/>
                <w:szCs w:val="18"/>
              </w:rPr>
              <w:t xml:space="preserve">Per-regime tax aggregation within MonetaryTotal. Provides the document-level tax totals broken down by TaxRegime.</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1400"/>
        <w:gridCol w:w="1000"/>
        <w:gridCol w:w="5400"/>
      </w:tblGrid>
      <w:tr>
        <w:trPr>
          <w:tblHeader/>
        </w:trPr>
        <w:tc>
          <w:tcPr>
            <w:tcW w:type="dxa" w:w="1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5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regimeRef</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FK to TaxRegime.regimeId. Groups totals by regime.</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taxableAmount</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Sum of TaxApplication.taxableAmount for this regime across all applications.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taxAmount</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Sum of TaxApplication.taxAmount for this regime.</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withholdingAmount</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Sum of TaxApplication.withholdingAmount for this regime. Present for MX/IN/SA withholding.</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8.2  AEDTotals</w:t>
      </w:r>
    </w:p>
    <w:tbl>
      <w:tblPr>
        <w:tblW w:type="pct" w:w="100%"/>
        <w:tblBorders>
          <w:top w:val="single" w:color="BA7517" w:sz="6"/>
          <w:left w:val="none"/>
          <w:bottom w:val="single" w:color="BA7517"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BA7517"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633806"/>
                <w:sz w:val="16"/>
                <w:szCs w:val="16"/>
              </w:rPr>
              <w:t xml:space="preserve">«value type»  </w:t>
            </w:r>
            <w:r>
              <w:rPr>
                <w:rFonts w:ascii="Calibri" w:cs="Calibri" w:eastAsia="Calibri" w:hAnsi="Calibri"/>
                <w:b/>
                <w:bCs/>
                <w:color w:val="0F2040"/>
                <w:sz w:val="26"/>
                <w:szCs w:val="26"/>
              </w:rPr>
              <w:t xml:space="preserve">AEDTotals</w:t>
            </w:r>
          </w:p>
          <w:p>
            <w:pPr>
              <w:spacing w:after="80" w:before="0"/>
            </w:pPr>
            <w:r>
              <w:rPr>
                <w:rFonts w:ascii="Calibri" w:cs="Calibri" w:eastAsia="Calibri" w:hAnsi="Calibri"/>
                <w:i/>
                <w:iCs/>
                <w:color w:val="4B5563"/>
                <w:sz w:val="18"/>
                <w:szCs w:val="18"/>
              </w:rPr>
              <w:t xml:space="preserve">UAE PINT-AE mandatory AED-denominated totals. Present when targetScope.country = "AE" and currencyCode ≠ "AED". Populated by the UAE extension pack enrich() step.</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1400"/>
        <w:gridCol w:w="1000"/>
        <w:gridCol w:w="5400"/>
      </w:tblGrid>
      <w:tr>
        <w:trPr>
          <w:tblHeader/>
        </w:trPr>
        <w:tc>
          <w:tcPr>
            <w:tcW w:type="dxa" w:w="1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5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taxableAmount</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Total taxable amount in AED. Derived by applying exchangeRate to taxExclusiveAmount.</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taxAmount</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Total tax amount in AED.</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totalAmount</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Tax-inclusive total in AED.</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exchangeRate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Exchange rate used for conversion. Sourced from FTA daily rate or contractual rate.</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exchangeRateDate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Date the exchange rate applies. Must be recorded for audit.</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8.3  MonetaryTotal</w:t>
      </w:r>
    </w:p>
    <w:tbl>
      <w:tblPr>
        <w:tblW w:type="pct" w:w="100%"/>
        <w:tblBorders>
          <w:top w:val="single" w:color="BA7517" w:sz="6"/>
          <w:left w:val="none"/>
          <w:bottom w:val="single" w:color="BA7517"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BA7517"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633806"/>
                <w:sz w:val="16"/>
                <w:szCs w:val="16"/>
              </w:rPr>
              <w:t xml:space="preserve">«entity»  </w:t>
            </w:r>
            <w:r>
              <w:rPr>
                <w:rFonts w:ascii="Calibri" w:cs="Calibri" w:eastAsia="Calibri" w:hAnsi="Calibri"/>
                <w:b/>
                <w:bCs/>
                <w:color w:val="0F2040"/>
                <w:sz w:val="26"/>
                <w:szCs w:val="26"/>
              </w:rPr>
              <w:t xml:space="preserve">MonetaryTotal</w:t>
            </w:r>
          </w:p>
          <w:p>
            <w:pPr>
              <w:spacing w:after="80" w:before="0"/>
            </w:pPr>
            <w:r>
              <w:rPr>
                <w:rFonts w:ascii="Calibri" w:cs="Calibri" w:eastAsia="Calibri" w:hAnsi="Calibri"/>
                <w:i/>
                <w:iCs/>
                <w:color w:val="4B5563"/>
                <w:sz w:val="18"/>
                <w:szCs w:val="18"/>
              </w:rPr>
              <w:t xml:space="preserve">Document-level financial summary. taxAmountByRegime[] breaks down tax by regime rather than using a single taxAmount scalar — this is mandatory for Brazil and India multi-regime documents.</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1600"/>
        <w:gridCol w:w="900"/>
        <w:gridCol w:w="900"/>
        <w:gridCol w:w="2000"/>
        <w:gridCol w:w="2400"/>
      </w:tblGrid>
      <w:tr>
        <w:trPr>
          <w:tblHeader/>
        </w:trPr>
        <w:tc>
          <w:tcPr>
            <w:tcW w:type="dxa" w:w="1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Cardinality</w:t>
            </w:r>
          </w:p>
        </w:tc>
        <w:tc>
          <w:tcPr>
            <w:tcW w:type="dxa" w:w="2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Constraint</w:t>
            </w:r>
          </w:p>
        </w:tc>
        <w:tc>
          <w:tcPr>
            <w:tcW w:type="dxa" w:w="2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lineExtensionAmount</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Sum of all lines[].netAmount.</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Cross-checked by validation rules.</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taxExclusiveAmount</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lineExtensionAmount ± document-level charges/allowances.</w:t>
            </w:r>
          </w:p>
        </w:tc>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Pre-tax document total.</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taxAmountByRegime</w:t>
            </w:r>
          </w:p>
        </w:tc>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RegimeTaxTotal[]</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1..N</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One entry per registered TaxRegime.</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Replaces single taxAmount scalar. Emitters sum all entries for target formats that carry one total tax field.</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totalTaxAmount</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Sum of all RegimeTaxTotal.taxAmount entries. Derived — not set directly.</w:t>
            </w:r>
          </w:p>
        </w:tc>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Convenience field; emitters must re-derive if taxAmountByRegime changes.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taxInclusiveAmount</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taxExclusiveAmount + totalTaxAmount.</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allowanceTotalAmount</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Sum of document-level allowances (isCharge=false).</w:t>
            </w:r>
          </w:p>
        </w:tc>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Absent when no document-level discounts.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chargeTotalAmount</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Sum of document-level surcharges (isCharge=true).</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roundingAmount</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Rounding adjustment. SAT allows ±0.01 per subtotal.</w:t>
            </w:r>
          </w:p>
        </w:tc>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Present in FatturaPA (Arrotondamento) and SAT documents.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prepaidAmount</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Amount already paid (advance/prepayment).</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 LegalMonetaryTotal/PrepaidAmount; FatturaPA prepayment.</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duePayableAmount</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Amount due: taxInclusiveAmount − prepaidAmount ± rounding.</w:t>
            </w:r>
          </w:p>
        </w:tc>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The amount actually owed. Used by authority validators.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aedTotals</w:t>
            </w:r>
          </w:p>
        </w:tc>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AEDTotals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Present only when targetScope.country = "AE".</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Populated by UAE extension pack. Absent for all other targets.</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8.4  DocumentCharge</w:t>
      </w:r>
    </w:p>
    <w:tbl>
      <w:tblPr>
        <w:tblW w:type="pct" w:w="100%"/>
        <w:tblBorders>
          <w:top w:val="single" w:color="BA7517" w:sz="6"/>
          <w:left w:val="none"/>
          <w:bottom w:val="single" w:color="BA7517"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BA7517"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633806"/>
                <w:sz w:val="16"/>
                <w:szCs w:val="16"/>
              </w:rPr>
              <w:t xml:space="preserve">«entity»  </w:t>
            </w:r>
            <w:r>
              <w:rPr>
                <w:rFonts w:ascii="Calibri" w:cs="Calibri" w:eastAsia="Calibri" w:hAnsi="Calibri"/>
                <w:b/>
                <w:bCs/>
                <w:color w:val="0F2040"/>
                <w:sz w:val="26"/>
                <w:szCs w:val="26"/>
              </w:rPr>
              <w:t xml:space="preserve">DocumentCharge</w:t>
            </w:r>
          </w:p>
          <w:p>
            <w:pPr>
              <w:spacing w:after="80" w:before="0"/>
            </w:pPr>
            <w:r>
              <w:rPr>
                <w:rFonts w:ascii="Calibri" w:cs="Calibri" w:eastAsia="Calibri" w:hAnsi="Calibri"/>
                <w:i/>
                <w:iCs/>
                <w:color w:val="4B5563"/>
                <w:sz w:val="18"/>
                <w:szCs w:val="18"/>
              </w:rPr>
              <w:t xml:space="preserve">An allowance or surcharge at document level. Separate from LineCharge (scope="line"). References a tax regime when the charge itself is subject to tax.</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600"/>
        <w:gridCol w:w="1400"/>
        <w:gridCol w:w="1000"/>
        <w:gridCol w:w="5600"/>
      </w:tblGrid>
      <w:tr>
        <w:trPr>
          <w:tblHeader/>
        </w:trPr>
        <w:tc>
          <w:tcPr>
            <w:tcW w:type="dxa" w:w="1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5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isCharge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boolean</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true=surcharge, false=allowance/discount.</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scope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Enum</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Always "document" for DocumentCharge.</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amount</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Monetary amount.</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baseAmount</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Base amount the percentage is applied to. Present when source carries a percentage-based charge.</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percentage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Percentage generating the amount.</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reasonCode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Coded reason. UBL AllowanceChargeReasonCode.</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reasonText</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Human-readable reason.</w:t>
            </w:r>
          </w:p>
        </w:tc>
      </w:tr>
      <w:tr>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regimeRef</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FK to TaxRegime. Present when the charge itself is taxable.</w:t>
            </w:r>
          </w:p>
        </w:tc>
      </w:tr>
      <w:tr>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taxRate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Decimal</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 rate applicable to this charge.</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8.5  PaymentMeans</w:t>
      </w:r>
    </w:p>
    <w:tbl>
      <w:tblPr>
        <w:tblW w:type="pct" w:w="100%"/>
        <w:tblBorders>
          <w:top w:val="single" w:color="BA7517" w:sz="6"/>
          <w:left w:val="none"/>
          <w:bottom w:val="single" w:color="BA7517"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BA7517"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633806"/>
                <w:sz w:val="16"/>
                <w:szCs w:val="16"/>
              </w:rPr>
              <w:t xml:space="preserve">«entity»  </w:t>
            </w:r>
            <w:r>
              <w:rPr>
                <w:rFonts w:ascii="Calibri" w:cs="Calibri" w:eastAsia="Calibri" w:hAnsi="Calibri"/>
                <w:b/>
                <w:bCs/>
                <w:color w:val="0F2040"/>
                <w:sz w:val="26"/>
                <w:szCs w:val="26"/>
              </w:rPr>
              <w:t xml:space="preserve">PaymentMeans</w:t>
            </w:r>
          </w:p>
          <w:p>
            <w:pPr>
              <w:spacing w:after="80" w:before="0"/>
            </w:pPr>
            <w:r>
              <w:rPr>
                <w:rFonts w:ascii="Calibri" w:cs="Calibri" w:eastAsia="Calibri" w:hAnsi="Calibri"/>
                <w:i/>
                <w:iCs/>
                <w:color w:val="4B5563"/>
                <w:sz w:val="18"/>
                <w:szCs w:val="18"/>
              </w:rPr>
              <w:t xml:space="preserve">One payment instruction. A document may carry multiple payment means (e.g. partial bank transfer + partial card).</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000"/>
        <w:gridCol w:w="1400"/>
        <w:gridCol w:w="1000"/>
        <w:gridCol w:w="5200"/>
      </w:tblGrid>
      <w:tr>
        <w:trPr>
          <w:tblHeader/>
        </w:trPr>
        <w:tc>
          <w:tcPr>
            <w:tcW w:type="dxa" w:w="2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52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meansCode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UNCL4461 payment means code. Adapters map from source: FatturaPA ModalitaPagamento MP05→30; CFDI FormaPago 03→30; MyInvois direct; UBL direct.</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paymentDueDate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When this payment is due. FatturaPA DataScadenzaPagamento.</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paymentTermsNote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Free text payment terms. UBL PaymentTerms/Note; CFDI Condiciones.</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accountId</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Bank account number or IBAN. FatturaPA IBAN; UBL PayeeFinancialAccount/ID.</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financialInstitutionId</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BIC/SWIFT code. FatturaPA BIC; UBL FinancialInstitution/ID.</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paymentReference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Payment reference/remittance info. UBL PaymentID; FatturaPA CodiceUfficioPostale.</w:t>
            </w:r>
          </w:p>
        </w:tc>
      </w:tr>
    </w:tbl>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9  Supporting Entities</w:t>
      </w:r>
    </w:p>
    <w:p>
      <w:pPr>
        <w:pStyle w:val="Heading2"/>
        <w:spacing w:after="100" w:before="280"/>
      </w:pPr>
      <w:r>
        <w:rPr>
          <w:rFonts w:ascii="Calibri" w:cs="Calibri" w:eastAsia="Calibri" w:hAnsi="Calibri"/>
          <w:b/>
          <w:bCs/>
          <w:color w:val="1A4A8A"/>
          <w:sz w:val="32"/>
          <w:szCs w:val="32"/>
        </w:rPr>
        <w:t xml:space="preserve">9.1  SemanticDelivery</w:t>
      </w:r>
    </w:p>
    <w:tbl>
      <w:tblPr>
        <w:tblW w:type="pct" w:w="100%"/>
        <w:tblBorders>
          <w:top w:val="single" w:color="1D9E75" w:sz="6"/>
          <w:left w:val="none"/>
          <w:bottom w:val="single" w:color="1D9E75"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1D9E75"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085041"/>
                <w:sz w:val="16"/>
                <w:szCs w:val="16"/>
              </w:rPr>
              <w:t xml:space="preserve">«entity»  </w:t>
            </w:r>
            <w:r>
              <w:rPr>
                <w:rFonts w:ascii="Calibri" w:cs="Calibri" w:eastAsia="Calibri" w:hAnsi="Calibri"/>
                <w:b/>
                <w:bCs/>
                <w:color w:val="0F2040"/>
                <w:sz w:val="26"/>
                <w:szCs w:val="26"/>
              </w:rPr>
              <w:t xml:space="preserve">SemanticDelivery</w:t>
            </w:r>
          </w:p>
          <w:p>
            <w:pPr>
              <w:spacing w:after="80" w:before="0"/>
            </w:pPr>
            <w:r>
              <w:rPr>
                <w:rFonts w:ascii="Calibri" w:cs="Calibri" w:eastAsia="Calibri" w:hAnsi="Calibri"/>
                <w:i/>
                <w:iCs/>
                <w:color w:val="4B5563"/>
                <w:sz w:val="18"/>
                <w:szCs w:val="18"/>
              </w:rPr>
              <w:t xml:space="preserve">Delivery or service period information.</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1400"/>
        <w:gridCol w:w="1000"/>
        <w:gridCol w:w="5400"/>
      </w:tblGrid>
      <w:tr>
        <w:trPr>
          <w:tblHeader/>
        </w:trPr>
        <w:tc>
          <w:tcPr>
            <w:tcW w:type="dxa" w:w="1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5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date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Actual delivery date. UBL ActualDeliveryDate; FatturaPA DataConsegna.</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periodStart</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Start of service/delivery period.</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periodEnd</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End of service/delivery period.</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address</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SemanticAddress</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Delivery location. Absent in CFDI and GSTIN unless complement present.</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partyName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Name of the receiving party at delivery location.</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9.2  SemanticReferences</w:t>
      </w:r>
    </w:p>
    <w:tbl>
      <w:tblPr>
        <w:tblW w:type="pct" w:w="100%"/>
        <w:tblBorders>
          <w:top w:val="single" w:color="1D9E75" w:sz="6"/>
          <w:left w:val="none"/>
          <w:bottom w:val="single" w:color="1D9E75"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1D9E75"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085041"/>
                <w:sz w:val="16"/>
                <w:szCs w:val="16"/>
              </w:rPr>
              <w:t xml:space="preserve">«entity»  </w:t>
            </w:r>
            <w:r>
              <w:rPr>
                <w:rFonts w:ascii="Calibri" w:cs="Calibri" w:eastAsia="Calibri" w:hAnsi="Calibri"/>
                <w:b/>
                <w:bCs/>
                <w:color w:val="0F2040"/>
                <w:sz w:val="26"/>
                <w:szCs w:val="26"/>
              </w:rPr>
              <w:t xml:space="preserve">SemanticReferences</w:t>
            </w:r>
          </w:p>
          <w:p>
            <w:pPr>
              <w:spacing w:after="80" w:before="0"/>
            </w:pPr>
            <w:r>
              <w:rPr>
                <w:rFonts w:ascii="Calibri" w:cs="Calibri" w:eastAsia="Calibri" w:hAnsi="Calibri"/>
                <w:i/>
                <w:iCs/>
                <w:color w:val="4B5563"/>
                <w:sz w:val="18"/>
                <w:szCs w:val="18"/>
              </w:rPr>
              <w:t xml:space="preserve">Document cross-references to related business documents.</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1400"/>
        <w:gridCol w:w="1000"/>
        <w:gridCol w:w="5400"/>
      </w:tblGrid>
      <w:tr>
        <w:trPr>
          <w:tblHeader/>
        </w:trPr>
        <w:tc>
          <w:tcPr>
            <w:tcW w:type="dxa" w:w="1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5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orderRef</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Purchase order reference. UBL OrderReference/ID; FatturaPA DatiOrdineAcquisto/IdDocumento; GSTIN OrdLineRef.</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contractRef</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Contract reference. UBL ContractDocumentReference/ID; FatturaPA DatiContratto/IdDocumento.</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projectRef</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Project reference. UBL ProjectReference/ID.</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precedingDocumentRef</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Reference to preceding invoice. Used for credit notes and debit notes.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precedingDocumentDate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Issue date of the preceding document.</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despatchRef</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Despatch advice reference. UBL DespatchDocumentReference/ID.</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receivingAdviceRef</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Receiving/goods receipt advice reference.</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9.3  SemanticAttachment</w:t>
      </w:r>
    </w:p>
    <w:tbl>
      <w:tblPr>
        <w:tblW w:type="pct" w:w="100%"/>
        <w:tblBorders>
          <w:top w:val="single" w:color="1D9E75" w:sz="6"/>
          <w:left w:val="none"/>
          <w:bottom w:val="single" w:color="1D9E75"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1D9E75"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085041"/>
                <w:sz w:val="16"/>
                <w:szCs w:val="16"/>
              </w:rPr>
              <w:t xml:space="preserve">«entity»  </w:t>
            </w:r>
            <w:r>
              <w:rPr>
                <w:rFonts w:ascii="Calibri" w:cs="Calibri" w:eastAsia="Calibri" w:hAnsi="Calibri"/>
                <w:b/>
                <w:bCs/>
                <w:color w:val="0F2040"/>
                <w:sz w:val="26"/>
                <w:szCs w:val="26"/>
              </w:rPr>
              <w:t xml:space="preserve">SemanticAttachment</w:t>
            </w:r>
          </w:p>
          <w:p>
            <w:pPr>
              <w:spacing w:after="80" w:before="0"/>
            </w:pPr>
            <w:r>
              <w:rPr>
                <w:rFonts w:ascii="Calibri" w:cs="Calibri" w:eastAsia="Calibri" w:hAnsi="Calibri"/>
                <w:i/>
                <w:iCs/>
                <w:color w:val="4B5563"/>
                <w:sz w:val="18"/>
                <w:szCs w:val="18"/>
              </w:rPr>
              <w:t xml:space="preserve">An embedded or externally-referenced document attachment.</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1400"/>
        <w:gridCol w:w="1000"/>
        <w:gridCol w:w="5400"/>
      </w:tblGrid>
      <w:tr>
        <w:trPr>
          <w:tblHeader/>
        </w:trPr>
        <w:tc>
          <w:tcPr>
            <w:tcW w:type="dxa" w:w="1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5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id</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Attachment identifier. FatturaPA NomeAttachment; UBL AdditionalDocumentReference/ID.</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description</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Human-readable description.</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mimeType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MIME type: "application/pdf", "image/jpeg", etc.</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embeddedContent</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Base64-encoded binary. FatturaPA Attachment; UBL EmbeddedDocumentBinaryObject.</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externalUri</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URI to external document. UBL ExternalReference/URI. Mutually exclusive with embeddedContent.</w:t>
            </w:r>
          </w:p>
        </w:tc>
      </w:tr>
    </w:tbl>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10  Control and Provenance Entities</w:t>
      </w:r>
    </w:p>
    <w:p>
      <w:pPr>
        <w:pStyle w:val="Heading2"/>
        <w:spacing w:after="100" w:before="280"/>
      </w:pPr>
      <w:r>
        <w:rPr>
          <w:rFonts w:ascii="Calibri" w:cs="Calibri" w:eastAsia="Calibri" w:hAnsi="Calibri"/>
          <w:b/>
          <w:bCs/>
          <w:color w:val="1A4A8A"/>
          <w:sz w:val="32"/>
          <w:szCs w:val="32"/>
        </w:rPr>
        <w:t xml:space="preserve">10.1  MandateScope</w:t>
      </w:r>
    </w:p>
    <w:tbl>
      <w:tblPr>
        <w:tblW w:type="pct" w:w="100%"/>
        <w:tblBorders>
          <w:top w:val="single" w:color="2E6DB4" w:sz="6"/>
          <w:left w:val="none"/>
          <w:bottom w:val="single" w:color="2E6DB4"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2E6DB4"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1A4A8A"/>
                <w:sz w:val="16"/>
                <w:szCs w:val="16"/>
              </w:rPr>
              <w:t xml:space="preserve">«entity»  </w:t>
            </w:r>
            <w:r>
              <w:rPr>
                <w:rFonts w:ascii="Calibri" w:cs="Calibri" w:eastAsia="Calibri" w:hAnsi="Calibri"/>
                <w:b/>
                <w:bCs/>
                <w:color w:val="0F2040"/>
                <w:sz w:val="26"/>
                <w:szCs w:val="26"/>
              </w:rPr>
              <w:t xml:space="preserve">MandateScope</w:t>
            </w:r>
          </w:p>
          <w:p>
            <w:pPr>
              <w:spacing w:after="80" w:before="0"/>
            </w:pPr>
            <w:r>
              <w:rPr>
                <w:rFonts w:ascii="Calibri" w:cs="Calibri" w:eastAsia="Calibri" w:hAnsi="Calibri"/>
                <w:i/>
                <w:iCs/>
                <w:color w:val="4B5563"/>
                <w:sz w:val="18"/>
                <w:szCs w:val="18"/>
              </w:rPr>
              <w:t xml:space="preserve">Identifies the mandate that governs a document. Used as the resolution key for the extension pack registry and rule resolver. Sub-national specificity allows Brazil municipality-level and India state-level resolution.</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1400"/>
        <w:gridCol w:w="1000"/>
        <w:gridCol w:w="5400"/>
      </w:tblGrid>
      <w:tr>
        <w:trPr>
          <w:tblHeader/>
        </w:trPr>
        <w:tc>
          <w:tcPr>
            <w:tcW w:type="dxa" w:w="1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5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country</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CountryCode</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 3166-1 alpha-2.</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region</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RegionCode</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 3166-2. Present for state/province-level mandates. Brazil NFS-e: BR-SP for São Paulo.</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municipality</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Municipality code. Brazil NFS-e at city level (SAO_PAULO, RIO_DE_JANEIRO, etc.).</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mandateId</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Canonical mandate identifier: FATTURAPA, CFDI, NFE, GSTINV01, ZATCA_PHASE2, PINT_AE, EFACTURA_RO, etc.</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version</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Schema/spec version: "1.3.2", "4.0", "2024", etc.</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effectiveFrom</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Mandate is active from this date (inclusive). Used for version resolution.</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effectiveTo</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Mandate expires after this date. Absent = open-ended.</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10.2  SignatureData</w:t>
      </w:r>
    </w:p>
    <w:tbl>
      <w:tblPr>
        <w:tblW w:type="pct" w:w="100%"/>
        <w:tblBorders>
          <w:top w:val="single" w:color="2E6DB4" w:sz="6"/>
          <w:left w:val="none"/>
          <w:bottom w:val="single" w:color="2E6DB4"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2E6DB4"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1A4A8A"/>
                <w:sz w:val="16"/>
                <w:szCs w:val="16"/>
              </w:rPr>
              <w:t xml:space="preserve">«entity»  </w:t>
            </w:r>
            <w:r>
              <w:rPr>
                <w:rFonts w:ascii="Calibri" w:cs="Calibri" w:eastAsia="Calibri" w:hAnsi="Calibri"/>
                <w:b/>
                <w:bCs/>
                <w:color w:val="0F2040"/>
                <w:sz w:val="26"/>
                <w:szCs w:val="26"/>
              </w:rPr>
              <w:t xml:space="preserve">SignatureData</w:t>
            </w:r>
          </w:p>
          <w:p>
            <w:pPr>
              <w:spacing w:after="80" w:before="0"/>
            </w:pPr>
            <w:r>
              <w:rPr>
                <w:rFonts w:ascii="Calibri" w:cs="Calibri" w:eastAsia="Calibri" w:hAnsi="Calibri"/>
                <w:i/>
                <w:iCs/>
                <w:color w:val="4B5563"/>
                <w:sz w:val="18"/>
                <w:szCs w:val="18"/>
              </w:rPr>
              <w:t xml:space="preserve">Digital signature and authority clearance output. Populated after clearance. Absent on documents that have not yet been submitted.</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000"/>
        <w:gridCol w:w="1400"/>
        <w:gridCol w:w="1000"/>
        <w:gridCol w:w="5200"/>
      </w:tblGrid>
      <w:tr>
        <w:trPr>
          <w:tblHeader/>
        </w:trPr>
        <w:tc>
          <w:tcPr>
            <w:tcW w:type="dxa" w:w="2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52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value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 (when present)</w:t>
            </w:r>
          </w:p>
        </w:tc>
        <w:tc>
          <w:tcPr>
            <w:tcW w:type="dxa" w:w="5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Base64-encoded signature or authority seal value. MX: SAT sello. IT: CAdES-BES. SA: ZATCA stamp.</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algorithm</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Signing algorithm identifier. XAdES-BES, CAdES-BES, RSA-SHA256, ECDSA-P256.</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certificateSerial</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Serial number of the signing certificate. MX NoCertificado; SA CSID.</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signingDateTime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ISODateTime</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Timestamp of signing / clearance.</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authorityRef</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Authority-assigned reference. MX UUID (36-char); IN IRN (64-char SHA-256); MY LHDN UUID; SA UUID.</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previousDocumentHash</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SHA-256 hash of the preceding document. ZATCA PIH field — links documents in chain.</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10.3  LineageRecord</w:t>
      </w:r>
    </w:p>
    <w:tbl>
      <w:tblPr>
        <w:tblW w:type="pct" w:w="100%"/>
        <w:tblBorders>
          <w:top w:val="single" w:color="2E6DB4" w:sz="6"/>
          <w:left w:val="none"/>
          <w:bottom w:val="single" w:color="2E6DB4"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2E6DB4"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1A4A8A"/>
                <w:sz w:val="16"/>
                <w:szCs w:val="16"/>
              </w:rPr>
              <w:t xml:space="preserve">«entity»  </w:t>
            </w:r>
            <w:r>
              <w:rPr>
                <w:rFonts w:ascii="Calibri" w:cs="Calibri" w:eastAsia="Calibri" w:hAnsi="Calibri"/>
                <w:b/>
                <w:bCs/>
                <w:color w:val="0F2040"/>
                <w:sz w:val="26"/>
                <w:szCs w:val="26"/>
              </w:rPr>
              <w:t xml:space="preserve">LineageRecord</w:t>
            </w:r>
          </w:p>
          <w:p>
            <w:pPr>
              <w:spacing w:after="80" w:before="0"/>
            </w:pPr>
            <w:r>
              <w:rPr>
                <w:rFonts w:ascii="Calibri" w:cs="Calibri" w:eastAsia="Calibri" w:hAnsi="Calibri"/>
                <w:i/>
                <w:iCs/>
                <w:color w:val="4B5563"/>
                <w:sz w:val="18"/>
                <w:szCs w:val="18"/>
              </w:rPr>
              <w:t xml:space="preserve">Field-level transformation audit record. One entry per rule execution. Persisted to the lineage store and exposed via the Visualisation API.</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000"/>
        <w:gridCol w:w="1400"/>
        <w:gridCol w:w="1000"/>
        <w:gridCol w:w="5200"/>
      </w:tblGrid>
      <w:tr>
        <w:trPr>
          <w:tblHeader/>
        </w:trPr>
        <w:tc>
          <w:tcPr>
            <w:tcW w:type="dxa" w:w="2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52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targetConcept</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 path that was written (e.g. "taxApplications[0].rate").</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sourceField</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Source document path that was read (e.g. "Traslado/@TasaOCuota").</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ruleId</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Rule ID from the rule file (e.g. "map-tax-rate-cfdi").</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ruleKind</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5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Rule kind: field_map | code_map | fn | tax_application | erp_path | erp_enrich | etc.</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inputValue</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Raw value read from source (before transform).</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outputValue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Value written to semantic model (after transform).</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transform</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Transform description (e.g. "percent_from_decimal ×100").</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rationale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Human-readable explanation of why this mapping was applied.</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durationMs</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number</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5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Time taken by this rule in milliseconds. Used for performance profiling.</w:t>
            </w:r>
          </w:p>
        </w:tc>
      </w:tr>
    </w:tbl>
    <w:p>
      <w:pPr>
        <w:spacing w:after="80" w:before="0"/>
      </w:pPr>
      <w:r>
        <w:rPr>
          <w:rFonts w:ascii="Calibri" w:cs="Calibri" w:eastAsia="Calibri" w:hAnsi="Calibri"/>
          <w:b w:val="false"/>
          <w:bCs w:val="false"/>
          <w:i w:val="false"/>
          <w:iCs w:val="false"/>
          <w:color w:val="111111"/>
          <w:sz w:val="20"/>
          <w:szCs w:val="20"/>
        </w:rPr>
        <w:t xml:space="preserve"/>
      </w:r>
    </w:p>
    <w:p>
      <w:pPr>
        <w:pStyle w:val="Heading2"/>
        <w:spacing w:after="100" w:before="280"/>
      </w:pPr>
      <w:r>
        <w:rPr>
          <w:rFonts w:ascii="Calibri" w:cs="Calibri" w:eastAsia="Calibri" w:hAnsi="Calibri"/>
          <w:b/>
          <w:bCs/>
          <w:color w:val="1A4A8A"/>
          <w:sz w:val="32"/>
          <w:szCs w:val="32"/>
        </w:rPr>
        <w:t xml:space="preserve">10.4  DocumentControl</w:t>
      </w:r>
    </w:p>
    <w:tbl>
      <w:tblPr>
        <w:tblW w:type="pct" w:w="100%"/>
        <w:tblBorders>
          <w:top w:val="single" w:color="2E6DB4" w:sz="6"/>
          <w:left w:val="none"/>
          <w:bottom w:val="single" w:color="2E6DB4"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2E6DB4"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1A4A8A"/>
                <w:sz w:val="16"/>
                <w:szCs w:val="16"/>
              </w:rPr>
              <w:t xml:space="preserve">«entity»  </w:t>
            </w:r>
            <w:r>
              <w:rPr>
                <w:rFonts w:ascii="Calibri" w:cs="Calibri" w:eastAsia="Calibri" w:hAnsi="Calibri"/>
                <w:b/>
                <w:bCs/>
                <w:color w:val="0F2040"/>
                <w:sz w:val="26"/>
                <w:szCs w:val="26"/>
              </w:rPr>
              <w:t xml:space="preserve">DocumentControl</w:t>
            </w:r>
          </w:p>
          <w:p>
            <w:pPr>
              <w:spacing w:after="80" w:before="0"/>
            </w:pPr>
            <w:r>
              <w:rPr>
                <w:rFonts w:ascii="Calibri" w:cs="Calibri" w:eastAsia="Calibri" w:hAnsi="Calibri"/>
                <w:i/>
                <w:iCs/>
                <w:color w:val="4B5563"/>
                <w:sz w:val="18"/>
                <w:szCs w:val="18"/>
              </w:rPr>
              <w:t xml:space="preserve">Framework control metadata. Carries everything the transformation pipeline needs to select rules, validate, sign, and deliver. Not emitted to any authority — internal use only.</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1600"/>
        <w:gridCol w:w="900"/>
        <w:gridCol w:w="900"/>
        <w:gridCol w:w="2000"/>
        <w:gridCol w:w="2400"/>
      </w:tblGrid>
      <w:tr>
        <w:trPr>
          <w:tblHeader/>
        </w:trPr>
        <w:tc>
          <w:tcPr>
            <w:tcW w:type="dxa" w:w="1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16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Cardinality</w:t>
            </w:r>
          </w:p>
        </w:tc>
        <w:tc>
          <w:tcPr>
            <w:tcW w:type="dxa" w:w="2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Constraint</w:t>
            </w:r>
          </w:p>
        </w:tc>
        <w:tc>
          <w:tcPr>
            <w:tcW w:type="dxa" w:w="2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sourceFamily</w:t>
            </w:r>
          </w:p>
        </w:tc>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FormatFamily</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Enum value</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Identifies which parser/assembler was used. Drives rule resolver family selection.</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sourceFormat</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Non-empty e.g. "CFDI:4.0", "FATTURAPA:1.3.2", "GSTINV01:1.1"</w:t>
            </w:r>
          </w:p>
        </w:tc>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Full format+version string for precise version matching.</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targetScope</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MandateScope</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Required before Stage 2 begins. Set by routing layer.</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Absent when the SemanticDocument is only partially assembled (e.g. after Stage 1 ERP parse before target is selected).</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clearanceModel</w:t>
            </w:r>
          </w:p>
        </w:tc>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ClearanceModel</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20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Enum: clearance | dctce | post_audit | reporting</w:t>
            </w:r>
          </w:p>
        </w:tc>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Set by assembler from source format. Updated by target country pack if different for output.</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signature</w:t>
            </w:r>
          </w:p>
        </w:tc>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SignatureData</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Present after clearance; absent before.</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Populated by signing plugin after authority submission.</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qrCode</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QR code payload string.</w:t>
            </w:r>
          </w:p>
        </w:tc>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MX CFDI: SAT verification URL. SA B2C: TLV-encoded base64. MY: LHDN QR URL.</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invoiceCounter</w:t>
            </w:r>
          </w:p>
        </w:tc>
        <w:tc>
          <w:tcPr>
            <w:tcW w:type="dxa" w:w="16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number</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Integer, sequential.</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ZATCA ICV (Invoice Counter Value). Mandatory for SA Phase 2.</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cancellationDeadline</w:t>
            </w:r>
          </w:p>
        </w:tc>
        <w:tc>
          <w:tcPr>
            <w:tcW w:type="dxa" w:w="16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ISODateTime</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Computed from issueDate + 24h.</w:t>
            </w:r>
          </w:p>
        </w:tc>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India IRP: invoice can only be cancelled within 24h of issue. After that, credit note required.</w:t>
            </w:r>
          </w:p>
        </w:tc>
      </w:tr>
      <w:tr>
        <w:tc>
          <w:tcPr>
            <w:tcW w:type="dxa" w:w="1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transmissionProfile</w:t>
            </w:r>
          </w:p>
        </w:tc>
        <w:tc>
          <w:tcPr>
            <w:tcW w:type="dxa" w:w="16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string</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Peppol profile URN or equivalent.</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UBL/PEPPOL: cbc:ProfileID. Used by Peppol AP delivery adapter.</w:t>
            </w:r>
          </w:p>
        </w:tc>
      </w:tr>
      <w:tr>
        <w:tc>
          <w:tcPr>
            <w:tcW w:type="dxa" w:w="1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lineage</w:t>
            </w:r>
          </w:p>
        </w:tc>
        <w:tc>
          <w:tcPr>
            <w:tcW w:type="dxa" w:w="16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LineageRecord[]</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0..N</w:t>
            </w:r>
          </w:p>
        </w:tc>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Populated during transformation.</w:t>
            </w:r>
          </w:p>
        </w:tc>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Complete audit trail from source field to semantic concept. Persisted to lineage store.</w:t>
            </w:r>
          </w:p>
        </w:tc>
      </w:tr>
    </w:tbl>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11  Format-Native Bag</w:t>
      </w:r>
    </w:p>
    <w:p>
      <w:pPr>
        <w:spacing w:after="60" w:before="60"/>
        <w:jc w:val="left"/>
      </w:pPr>
      <w:r>
        <w:rPr>
          <w:rFonts w:ascii="Calibri" w:cs="Calibri" w:eastAsia="Calibri" w:hAnsi="Calibri"/>
          <w:b w:val="false"/>
          <w:bCs w:val="false"/>
          <w:i w:val="false"/>
          <w:iCs w:val="false"/>
          <w:color w:val="111111"/>
          <w:sz w:val="20"/>
          <w:szCs w:val="20"/>
        </w:rPr>
        <w:t xml:space="preserve">The </w:t>
      </w:r>
      <w:r>
        <w:rPr>
          <w:rFonts w:ascii="Courier New" w:cs="Courier New" w:eastAsia="Courier New" w:hAnsi="Courier New"/>
          <w:b w:val="false"/>
          <w:bCs w:val="false"/>
          <w:color w:val="1A4A8A"/>
          <w:sz w:val="18"/>
          <w:szCs w:val="18"/>
        </w:rPr>
        <w:t xml:space="preserve">FormatNativeBag</w:t>
      </w:r>
      <w:r>
        <w:rPr>
          <w:rFonts w:ascii="Calibri" w:cs="Calibri" w:eastAsia="Calibri" w:hAnsi="Calibri"/>
          <w:b w:val="false"/>
          <w:bCs w:val="false"/>
          <w:i w:val="false"/>
          <w:iCs w:val="false"/>
          <w:color w:val="111111"/>
          <w:sz w:val="20"/>
          <w:szCs w:val="20"/>
        </w:rPr>
        <w:t xml:space="preserve"> carries everything the SemanticDocument core cannot express — mandate-specific fields that have no semantic equivalent in any other format. It is typed by </w:t>
      </w:r>
      <w:r>
        <w:rPr>
          <w:rFonts w:ascii="Calibri" w:cs="Calibri" w:eastAsia="Calibri" w:hAnsi="Calibri"/>
          <w:b/>
          <w:bCs/>
          <w:i w:val="false"/>
          <w:iCs w:val="false"/>
          <w:color w:val="111111"/>
          <w:sz w:val="20"/>
          <w:szCs w:val="20"/>
        </w:rPr>
        <w:t xml:space="preserve">FormatFamily</w:t>
      </w:r>
      <w:r>
        <w:rPr>
          <w:rFonts w:ascii="Calibri" w:cs="Calibri" w:eastAsia="Calibri" w:hAnsi="Calibri"/>
          <w:b w:val="false"/>
          <w:bCs w:val="false"/>
          <w:i w:val="false"/>
          <w:iCs w:val="false"/>
          <w:color w:val="111111"/>
          <w:sz w:val="20"/>
          <w:szCs w:val="20"/>
        </w:rPr>
        <w:t xml:space="preserve">, not by country, so all UBL-family mandates (PEPPOL, PINT-AE, ZATCA, EN 16931) share one namespace rather than duplicating it per country.</w:t>
      </w:r>
    </w:p>
    <w:p>
      <w:pPr>
        <w:spacing w:after="80" w:before="0"/>
      </w:pPr>
      <w:r>
        <w:rPr>
          <w:rFonts w:ascii="Calibri" w:cs="Calibri" w:eastAsia="Calibri" w:hAnsi="Calibri"/>
          <w:b w:val="false"/>
          <w:bCs w:val="false"/>
          <w:i w:val="false"/>
          <w:iCs w:val="false"/>
          <w:color w:val="111111"/>
          <w:sz w:val="20"/>
          <w:szCs w:val="20"/>
        </w:rPr>
        <w:t xml:space="preserve"/>
      </w:r>
    </w:p>
    <w:p>
      <w:pPr>
        <w:spacing w:after="60" w:before="60"/>
        <w:jc w:val="left"/>
      </w:pPr>
      <w:r>
        <w:rPr>
          <w:rFonts w:ascii="Calibri" w:cs="Calibri" w:eastAsia="Calibri" w:hAnsi="Calibri"/>
          <w:b w:val="false"/>
          <w:bCs w:val="false"/>
          <w:i w:val="false"/>
          <w:iCs w:val="false"/>
          <w:color w:val="111111"/>
          <w:sz w:val="20"/>
          <w:szCs w:val="20"/>
        </w:rPr>
        <w:t xml:space="preserve">The native bag is:</w:t>
      </w:r>
    </w:p>
    <w:p>
      <w:pPr>
        <w:spacing w:after="60" w:before="60"/>
        <w:ind w:left="431"/>
        <w:jc w:val="left"/>
      </w:pPr>
      <w:r>
        <w:rPr>
          <w:rFonts w:ascii="Calibri" w:cs="Calibri" w:eastAsia="Calibri" w:hAnsi="Calibri"/>
          <w:b w:val="false"/>
          <w:bCs w:val="false"/>
          <w:i w:val="false"/>
          <w:iCs w:val="false"/>
          <w:color w:val="111111"/>
          <w:sz w:val="20"/>
          <w:szCs w:val="20"/>
        </w:rPr>
        <w:t xml:space="preserve">Read by outbound emitters to reconstruct format-specific fields during serialisation</w:t>
      </w:r>
    </w:p>
    <w:p>
      <w:pPr>
        <w:spacing w:after="60" w:before="60"/>
        <w:ind w:left="431"/>
        <w:jc w:val="left"/>
      </w:pPr>
      <w:r>
        <w:rPr>
          <w:rFonts w:ascii="Calibri" w:cs="Calibri" w:eastAsia="Calibri" w:hAnsi="Calibri"/>
          <w:b w:val="false"/>
          <w:bCs w:val="false"/>
          <w:i w:val="false"/>
          <w:iCs w:val="false"/>
          <w:color w:val="111111"/>
          <w:sz w:val="20"/>
          <w:szCs w:val="20"/>
        </w:rPr>
        <w:t xml:space="preserve">Preserved in the lineage store for audit purposes</w:t>
      </w:r>
    </w:p>
    <w:p>
      <w:pPr>
        <w:spacing w:after="60" w:before="60"/>
        <w:ind w:left="431"/>
        <w:jc w:val="left"/>
      </w:pPr>
      <w:r>
        <w:rPr>
          <w:rFonts w:ascii="Calibri" w:cs="Calibri" w:eastAsia="Calibri" w:hAnsi="Calibri"/>
          <w:b w:val="false"/>
          <w:bCs w:val="false"/>
          <w:i w:val="false"/>
          <w:iCs w:val="false"/>
          <w:color w:val="111111"/>
          <w:sz w:val="20"/>
          <w:szCs w:val="20"/>
        </w:rPr>
        <w:t xml:space="preserve">Exposed via the Visualisation API to show which source fields did not map to the semantic core</w:t>
      </w:r>
    </w:p>
    <w:p>
      <w:pPr>
        <w:spacing w:after="60" w:before="60"/>
        <w:ind w:left="431"/>
        <w:jc w:val="left"/>
      </w:pPr>
      <w:r>
        <w:rPr>
          <w:rFonts w:ascii="Calibri" w:cs="Calibri" w:eastAsia="Calibri" w:hAnsi="Calibri"/>
          <w:b w:val="false"/>
          <w:bCs w:val="false"/>
          <w:i w:val="false"/>
          <w:iCs w:val="false"/>
          <w:color w:val="111111"/>
          <w:sz w:val="20"/>
          <w:szCs w:val="20"/>
        </w:rPr>
        <w:t xml:space="preserve">Never validated by mandate rules (validation runs on the semantic core fields only)</w:t>
      </w:r>
    </w:p>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000"/>
        <w:gridCol w:w="1400"/>
        <w:gridCol w:w="4000"/>
        <w:gridCol w:w="2200"/>
      </w:tblGrid>
      <w:tr>
        <w:trPr>
          <w:tblHeader/>
        </w:trPr>
        <w:tc>
          <w:tcPr>
            <w:tcW w:type="dxa" w:w="2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Namespace</w:t>
            </w:r>
          </w:p>
        </w:tc>
        <w:tc>
          <w:tcPr>
            <w:tcW w:type="dxa" w:w="1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FormatFamily</w:t>
            </w:r>
          </w:p>
        </w:tc>
        <w:tc>
          <w:tcPr>
            <w:tcW w:type="dxa" w:w="4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Key fields</w:t>
            </w:r>
          </w:p>
        </w:tc>
        <w:tc>
          <w:tcPr>
            <w:tcW w:type="dxa" w:w="22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Used by</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UBLFamilyNative</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ubl</w:t>
            </w:r>
          </w:p>
        </w:tc>
        <w:tc>
          <w:tcPr>
            <w:tcW w:type="dxa" w:w="4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customizationId, profileId
zatca: { uuid, icv, pih, stamp, deviceCertificateSerial, invoiceTypeCode }
pintAE: { supplierTIN, buyerTIN, transactionType, aspId, ftaSubmissionId }</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ZATCA Fatoorah emitter (icv, pih mandatory for Phase 2). PINT-AE delivery adapter. PEPPOL BIS emitter (customizationId).</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SDIFamilyNative</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sdi</w:t>
            </w:r>
          </w:p>
        </w:tc>
        <w:tc>
          <w:tcPr>
            <w:tcW w:type="dxa" w:w="4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tipoDocumento, regimeFiscale, codiceDestinatario, pecDestinatario, cig, cup, art73
lineNatura: { natura, esigibilitaIVA } per line</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FatturaPA emitter: regimeFiscale mandatory; codiceDestinatario for routing. CIG/CUP for public procurement. Line-level Natura/EsigibilitaIVA.</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SATFamilyNative</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sat</w:t>
            </w:r>
          </w:p>
        </w:tc>
        <w:tc>
          <w:tcPr>
            <w:tcW w:type="dxa" w:w="4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uuid, serie, folio, sello, noCertificado, noCertificadoSAT, selloSAT, exportacion, complementoType, supplierRFC, buyerRFC, usoCFDI, rawTasaOCuota
lineClaveProdServ: { lineId → SAT code }</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CFDI emitter: usoCFDI mandatory on buyer; rawTasaOCuota (0.160000 format); ClaveProdServ per line. Signing plugin reads sello fields.</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SEFAZFamilyNative</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sefaz</w:t>
            </w:r>
          </w:p>
        </w:tc>
        <w:tc>
          <w:tcPr>
            <w:tcW w:type="dxa" w:w="4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accessKey (44-char), authorizationCode, serie, numero, tipoEmissao, cnpjEmissor, cUFDestino, modelo, cMunPrestador, cMunTomador
ibsCbsClassification: { lineId → { cClassTrib, cbsRate, ibsFederalRate, ibsMunicipalRate } }</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NF-e emitter: accessKey for DANFE generation. IBS/CBS classification per line (from Aug 2026 reform). SEFAZ delivery adapter reads authorizationCode.</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GSTNFamilyNative</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gstn</w:t>
            </w:r>
          </w:p>
        </w:tc>
        <w:tc>
          <w:tcPr>
            <w:tcW w:type="dxa" w:w="4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irn, transactionCategory, regRev, docType, supplierGstin, buyerGstin, placeOfSupply, isReverseCharge, exportDetails
ewayBill: { eWayBillNo, transMode, transDistance, transporterGstin, vehicleNo }
cessAmount, stateCessAmount</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IRP emitter: irn from clearance response. eWayBill data submitted separately to EWB portal (not via invoice). Cess amounts for luxury goods.</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LHDNFamilyNative</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lhdn</w:t>
            </w:r>
          </w:p>
        </w:tc>
        <w:tc>
          <w:tcPr>
            <w:tcW w:type="dxa" w:w="4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uuid, submittedDateTime, validatedDateTime, eInvoiceVersion, invoiceTypeCode, supplierTIN, buyerTIN, supplierSST, supplierMSIC</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MyInvois emitter: invoiceTypeCode mandatory (numeric 2-digit). LHDN delivery adapter reads uuid from clearance response.</w:t>
            </w:r>
          </w:p>
        </w:tc>
      </w:tr>
    </w:tbl>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12  SemanticDocument — Root Entity</w:t>
      </w:r>
    </w:p>
    <w:tbl>
      <w:tblPr>
        <w:tblW w:type="pct" w:w="100%"/>
        <w:tblBorders>
          <w:top w:val="single" w:color="0F2040" w:sz="6"/>
          <w:left w:val="none"/>
          <w:bottom w:val="single" w:color="0F2040" w:sz="6"/>
          <w:right w:val="none"/>
          <w:insideH w:val="single" w:color="auto" w:sz="4"/>
          <w:insideV w:val="single" w:color="auto" w:sz="4"/>
        </w:tblBorders>
        <w:tblCellMar>
          <w:top w:type="dxa" w:w="0"/>
          <w:left w:type="dxa" w:w="0"/>
          <w:bottom w:type="dxa" w:w="120"/>
          <w:right w:type="dxa" w:w="0"/>
        </w:tblCellMar>
      </w:tblPr>
      <w:tblGrid>
        <w:gridCol w:w="400"/>
        <w:gridCol w:w="9200"/>
      </w:tblGrid>
      <w:tr>
        <w:tc>
          <w:tcPr>
            <w:tcW w:type="dxa" w:w="400"/>
            <w:shd w:fill="0F2040" w:val="clear"/>
          </w:tcPr>
          <w:p>
            <w:pPr>
              <w:spacing w:after="80" w:before="80"/>
            </w:pPr>
            <w:r>
              <w:rPr>
                <w:rFonts w:ascii="Calibri" w:cs="Calibri" w:eastAsia="Calibri" w:hAnsi="Calibri"/>
                <w:sz w:val="18"/>
                <w:szCs w:val="18"/>
              </w:rPr>
              <w:t xml:space="preserve"/>
            </w:r>
          </w:p>
        </w:tc>
        <w:tc>
          <w:tcPr>
            <w:tcW w:type="dxa" w:w="9200"/>
            <w:shd w:fill="F0FAF7" w:val="clear"/>
          </w:tcPr>
          <w:p>
            <w:pPr>
              <w:spacing w:after="40" w:before="80"/>
            </w:pPr>
            <w:r>
              <w:rPr>
                <w:rFonts w:ascii="Calibri" w:cs="Calibri" w:eastAsia="Calibri" w:hAnsi="Calibri"/>
                <w:i/>
                <w:iCs/>
                <w:color w:val="1A4A8A"/>
                <w:sz w:val="16"/>
                <w:szCs w:val="16"/>
              </w:rPr>
              <w:t xml:space="preserve">«root aggregate»  </w:t>
            </w:r>
            <w:r>
              <w:rPr>
                <w:rFonts w:ascii="Calibri" w:cs="Calibri" w:eastAsia="Calibri" w:hAnsi="Calibri"/>
                <w:b/>
                <w:bCs/>
                <w:color w:val="0F2040"/>
                <w:sz w:val="26"/>
                <w:szCs w:val="26"/>
              </w:rPr>
              <w:t xml:space="preserve">SemanticDocument</w:t>
            </w:r>
          </w:p>
          <w:p>
            <w:pPr>
              <w:spacing w:after="80" w:before="0"/>
            </w:pPr>
            <w:r>
              <w:rPr>
                <w:rFonts w:ascii="Calibri" w:cs="Calibri" w:eastAsia="Calibri" w:hAnsi="Calibri"/>
                <w:i/>
                <w:iCs/>
                <w:color w:val="4B5563"/>
                <w:sz w:val="18"/>
                <w:szCs w:val="18"/>
              </w:rPr>
              <w:t xml:space="preserve">The canonical pivot type. All parsers produce this; all emitters consume it. Every field is described in the preceding sections.</w:t>
            </w:r>
          </w:p>
        </w:tc>
      </w:tr>
    </w:tbl>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000"/>
        <w:gridCol w:w="2200"/>
        <w:gridCol w:w="900"/>
        <w:gridCol w:w="1200"/>
        <w:gridCol w:w="3300"/>
      </w:tblGrid>
      <w:tr>
        <w:trPr>
          <w:tblHeader/>
        </w:trPr>
        <w:tc>
          <w:tcPr>
            <w:tcW w:type="dxa" w:w="2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22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Type</w:t>
            </w:r>
          </w:p>
        </w:tc>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Required</w:t>
            </w:r>
          </w:p>
        </w:tc>
        <w:tc>
          <w:tcPr>
            <w:tcW w:type="dxa" w:w="12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Cardinality</w:t>
            </w:r>
          </w:p>
        </w:tc>
        <w:tc>
          <w:tcPr>
            <w:tcW w:type="dxa" w:w="33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Notes</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identity</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DocumentIdentity</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1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33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Document header: id, typeCode, dates, currencies. See §4.</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supplier</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SemanticParty</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1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33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The issuing party. identifiers[], legalName, address. See §5.3.</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buyer</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SemanticParty</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1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33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The receiving party. See §5.3.</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payee</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SemanticParty (partial)</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1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33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Payee if different from supplier. Carries only legalName and identifiers.</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taxRepresentative</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SemanticParty (partial)</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1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33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 representative (EU cross-border, ME scenarios). legalName + identifiers.</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taxRegimes</w:t>
            </w:r>
          </w:p>
        </w:tc>
        <w:tc>
          <w:tcPr>
            <w:tcW w:type="dxa" w:w="22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TaxRegime[]</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1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1..N</w:t>
            </w:r>
          </w:p>
        </w:tc>
        <w:tc>
          <w:tcPr>
            <w:tcW w:type="dxa" w:w="33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 regimes active on the document. Must be populated before taxApplications are created. See §6.1.</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taxApplications</w:t>
            </w:r>
          </w:p>
        </w:tc>
        <w:tc>
          <w:tcPr>
            <w:tcW w:type="dxa" w:w="22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TaxApplication[]</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1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1..N</w:t>
            </w:r>
          </w:p>
        </w:tc>
        <w:tc>
          <w:tcPr>
            <w:tcW w:type="dxa" w:w="33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Document-level tax applications, each referencing a registered regime. See §6.3.</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lines</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SemanticLine[]</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1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1..N</w:t>
            </w:r>
          </w:p>
        </w:tc>
        <w:tc>
          <w:tcPr>
            <w:tcW w:type="dxa" w:w="33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Invoice line items. Each carries its own taxApplications[]. See §7.3.</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totals</w:t>
            </w:r>
          </w:p>
        </w:tc>
        <w:tc>
          <w:tcPr>
            <w:tcW w:type="dxa" w:w="22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MonetaryTotal</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1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33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Financial summary with per-regime tax totals. See §8.3.</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charges</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DocumentCharge[]</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1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0..N</w:t>
            </w:r>
          </w:p>
        </w:tc>
        <w:tc>
          <w:tcPr>
            <w:tcW w:type="dxa" w:w="33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Document-level allowances and surcharges. See §8.4.</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paymentMeans</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PaymentMeans[]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1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0..N</w:t>
            </w:r>
          </w:p>
        </w:tc>
        <w:tc>
          <w:tcPr>
            <w:tcW w:type="dxa" w:w="33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Payment instructions. Multiple allowed (e.g. split payment). See §8.5.</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delivery</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SemanticDelivery</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1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33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Delivery / service period information. See §9.1.</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references</w:t>
            </w:r>
          </w:p>
        </w:tc>
        <w:tc>
          <w:tcPr>
            <w:tcW w:type="dxa" w:w="2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SemanticReferences</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1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33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Cross-references to order, contract, preceding invoice. See §9.2.</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attachments</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SemanticAttachment[]</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w:t>
            </w:r>
          </w:p>
        </w:tc>
        <w:tc>
          <w:tcPr>
            <w:tcW w:type="dxa" w:w="1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0..N</w:t>
            </w:r>
          </w:p>
        </w:tc>
        <w:tc>
          <w:tcPr>
            <w:tcW w:type="dxa" w:w="33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Embedded or linked document attachments. See §9.3.</w:t>
            </w:r>
          </w:p>
        </w:tc>
      </w:tr>
      <w:tr>
        <w:tc>
          <w:tcPr>
            <w:tcW w:type="dxa" w:w="2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control</w:t>
            </w:r>
          </w:p>
        </w:tc>
        <w:tc>
          <w:tcPr>
            <w:tcW w:type="dxa" w:w="22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DocumentControl</w:t>
            </w:r>
          </w:p>
        </w:tc>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12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33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Framework control: source/target format, clearance model, signature, lineage. See §10.4.</w:t>
            </w:r>
          </w:p>
        </w:tc>
      </w:tr>
      <w:tr>
        <w:tc>
          <w:tcPr>
            <w:tcW w:type="dxa" w:w="2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native</w:t>
            </w:r>
          </w:p>
        </w:tc>
        <w:tc>
          <w:tcPr>
            <w:tcW w:type="dxa" w:w="2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FormatNativeBag</w:t>
            </w:r>
          </w:p>
        </w:tc>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Yes</w:t>
            </w:r>
          </w:p>
        </w:tc>
        <w:tc>
          <w:tcPr>
            <w:tcW w:type="dxa" w:w="12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33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Format-specific fields that have no semantic equivalent. See §11.</w:t>
            </w:r>
          </w:p>
        </w:tc>
      </w:tr>
    </w:tbl>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13  Entity Relationship Summary</w:t>
      </w:r>
    </w:p>
    <w:p>
      <w:pPr>
        <w:spacing w:after="60" w:before="60"/>
        <w:jc w:val="left"/>
      </w:pPr>
      <w:r>
        <w:rPr>
          <w:rFonts w:ascii="Calibri" w:cs="Calibri" w:eastAsia="Calibri" w:hAnsi="Calibri"/>
          <w:b w:val="false"/>
          <w:bCs w:val="false"/>
          <w:i w:val="false"/>
          <w:iCs w:val="false"/>
          <w:color w:val="111111"/>
          <w:sz w:val="20"/>
          <w:szCs w:val="20"/>
        </w:rPr>
        <w:t xml:space="preserve">The table below summarises all relationships between entities in the model. Cardinality notation: </w:t>
      </w:r>
      <w:r>
        <w:rPr>
          <w:rFonts w:ascii="Courier New" w:cs="Courier New" w:eastAsia="Courier New" w:hAnsi="Courier New"/>
          <w:b w:val="false"/>
          <w:bCs w:val="false"/>
          <w:color w:val="1A4A8A"/>
          <w:sz w:val="18"/>
          <w:szCs w:val="18"/>
        </w:rPr>
        <w:t xml:space="preserve">1..1</w:t>
      </w:r>
      <w:r>
        <w:rPr>
          <w:rFonts w:ascii="Calibri" w:cs="Calibri" w:eastAsia="Calibri" w:hAnsi="Calibri"/>
          <w:b w:val="false"/>
          <w:bCs w:val="false"/>
          <w:i w:val="false"/>
          <w:iCs w:val="false"/>
          <w:color w:val="111111"/>
          <w:sz w:val="20"/>
          <w:szCs w:val="20"/>
        </w:rPr>
        <w:t xml:space="preserve"> = exactly one; </w:t>
      </w:r>
      <w:r>
        <w:rPr>
          <w:rFonts w:ascii="Courier New" w:cs="Courier New" w:eastAsia="Courier New" w:hAnsi="Courier New"/>
          <w:b w:val="false"/>
          <w:bCs w:val="false"/>
          <w:color w:val="1A4A8A"/>
          <w:sz w:val="18"/>
          <w:szCs w:val="18"/>
        </w:rPr>
        <w:t xml:space="preserve">0..1</w:t>
      </w:r>
      <w:r>
        <w:rPr>
          <w:rFonts w:ascii="Calibri" w:cs="Calibri" w:eastAsia="Calibri" w:hAnsi="Calibri"/>
          <w:b w:val="false"/>
          <w:bCs w:val="false"/>
          <w:i w:val="false"/>
          <w:iCs w:val="false"/>
          <w:color w:val="111111"/>
          <w:sz w:val="20"/>
          <w:szCs w:val="20"/>
        </w:rPr>
        <w:t xml:space="preserve"> = zero or one; </w:t>
      </w:r>
      <w:r>
        <w:rPr>
          <w:rFonts w:ascii="Courier New" w:cs="Courier New" w:eastAsia="Courier New" w:hAnsi="Courier New"/>
          <w:b w:val="false"/>
          <w:bCs w:val="false"/>
          <w:color w:val="1A4A8A"/>
          <w:sz w:val="18"/>
          <w:szCs w:val="18"/>
        </w:rPr>
        <w:t xml:space="preserve">1..N</w:t>
      </w:r>
      <w:r>
        <w:rPr>
          <w:rFonts w:ascii="Calibri" w:cs="Calibri" w:eastAsia="Calibri" w:hAnsi="Calibri"/>
          <w:b w:val="false"/>
          <w:bCs w:val="false"/>
          <w:i w:val="false"/>
          <w:iCs w:val="false"/>
          <w:color w:val="111111"/>
          <w:sz w:val="20"/>
          <w:szCs w:val="20"/>
        </w:rPr>
        <w:t xml:space="preserve"> = one or more; </w:t>
      </w:r>
      <w:r>
        <w:rPr>
          <w:rFonts w:ascii="Courier New" w:cs="Courier New" w:eastAsia="Courier New" w:hAnsi="Courier New"/>
          <w:b w:val="false"/>
          <w:bCs w:val="false"/>
          <w:color w:val="1A4A8A"/>
          <w:sz w:val="18"/>
          <w:szCs w:val="18"/>
        </w:rPr>
        <w:t xml:space="preserve">0..N</w:t>
      </w:r>
      <w:r>
        <w:rPr>
          <w:rFonts w:ascii="Calibri" w:cs="Calibri" w:eastAsia="Calibri" w:hAnsi="Calibri"/>
          <w:b w:val="false"/>
          <w:bCs w:val="false"/>
          <w:i w:val="false"/>
          <w:iCs w:val="false"/>
          <w:color w:val="111111"/>
          <w:sz w:val="20"/>
          <w:szCs w:val="20"/>
        </w:rPr>
        <w:t xml:space="preserve"> = zero or more.</w:t>
      </w:r>
    </w:p>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400"/>
        <w:gridCol w:w="1400"/>
        <w:gridCol w:w="1400"/>
        <w:gridCol w:w="4400"/>
      </w:tblGrid>
      <w:tr>
        <w:trPr>
          <w:tblHeader/>
        </w:trPr>
        <w:tc>
          <w:tcPr>
            <w:tcW w:type="dxa" w:w="2400"/>
            <w:shd w:fill="4B5563"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From entity</w:t>
            </w:r>
          </w:p>
        </w:tc>
        <w:tc>
          <w:tcPr>
            <w:tcW w:type="dxa" w:w="1400"/>
            <w:shd w:fill="4B5563"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Cardinality</w:t>
            </w:r>
          </w:p>
        </w:tc>
        <w:tc>
          <w:tcPr>
            <w:tcW w:type="dxa" w:w="1400"/>
            <w:shd w:fill="4B5563"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To entity</w:t>
            </w:r>
          </w:p>
        </w:tc>
        <w:tc>
          <w:tcPr>
            <w:tcW w:type="dxa" w:w="4400"/>
            <w:shd w:fill="4B5563"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Relationship / navigation</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DocumentIdentity</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identity (document header fields)</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SemanticParty (supplier)</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supplier party</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SemanticParty (buyer)</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buyer party</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SemanticParty (payee)</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optional payee party</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SemanticParty (tax representative)</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optional tax representative</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1..N</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TaxRegime</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registers one or more tax regimes</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1..N</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TaxApplication</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document-level tax applications</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1..N</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SemanticLine</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one or more invoice lines</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MonetaryTotal</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financial totals</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0..N</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DocumentCharge</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zero or more document-level charges/allowances</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0..N</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PaymentMeans</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zero or more payment instructions</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SemanticDelivery</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optional delivery information</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SemanticReferences</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optional cross-references</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0..N</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SemanticAttachment</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zero or more attachments</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DocumentControl</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framework control metadata</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FormatNativeBag</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format-native extension bag</w:t>
            </w:r>
          </w:p>
        </w:tc>
      </w:tr>
      <w:tr>
        <w:tc>
          <w:tcPr>
            <w:tcW w:type="dxa" w:w="2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TaxApplication</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 FK</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TaxRegime</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regimeRef must match TaxRegime.regimeId in same document</w:t>
            </w:r>
          </w:p>
        </w:tc>
      </w:tr>
      <w:tr>
        <w:tc>
          <w:tcPr>
            <w:tcW w:type="dxa" w:w="2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TaxApplication</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JurisdictionContext</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optionally carries jurisdiction routing context</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SemanticParty</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1..N</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PartyIdentifier</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one or more typed identifiers</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SemanticParty</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SemanticAddress</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one postal address</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SemanticParty</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Contact</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optional contact details</w:t>
            </w:r>
          </w:p>
        </w:tc>
      </w:tr>
      <w:tr>
        <w:tc>
          <w:tcPr>
            <w:tcW w:type="dxa" w:w="2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SemanticAddress</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 human-readable fields are SemanticText (multilingual support)</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SemanticLine</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1..N</w:t>
            </w:r>
          </w:p>
        </w:tc>
        <w:tc>
          <w:tcPr>
            <w:tcW w:type="dxa" w:w="1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TaxApplication</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line-level tax applications (same structure as document-level)</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SemanticLine</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0..N</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ItemClassification</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zero or more classification codes</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SemanticLine</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0..N</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LineCharge</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zero or more line-level charges/allowances</w:t>
            </w:r>
          </w:p>
        </w:tc>
      </w:tr>
      <w:tr>
        <w:tc>
          <w:tcPr>
            <w:tcW w:type="dxa" w:w="2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MonetaryTotal</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1..N</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RegimeTaxTotal</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per-regime tax breakdown (one per registered TaxRegime)</w:t>
            </w:r>
          </w:p>
        </w:tc>
      </w:tr>
      <w:tr>
        <w:tc>
          <w:tcPr>
            <w:tcW w:type="dxa" w:w="2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MonetaryTotal</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AEDTotals</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AED-denominated totals (UAE PINT-AE only)</w:t>
            </w:r>
          </w:p>
        </w:tc>
      </w:tr>
      <w:tr>
        <w:tc>
          <w:tcPr>
            <w:tcW w:type="dxa" w:w="2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DocumentControl</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1..1</w:t>
            </w:r>
          </w:p>
        </w:tc>
        <w:tc>
          <w:tcPr>
            <w:tcW w:type="dxa" w:w="1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MandateScope (target)</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references the target mandate scope</w:t>
            </w:r>
          </w:p>
        </w:tc>
      </w:tr>
      <w:tr>
        <w:tc>
          <w:tcPr>
            <w:tcW w:type="dxa" w:w="2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DocumentControl</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0..1</w:t>
            </w:r>
          </w:p>
        </w:tc>
        <w:tc>
          <w:tcPr>
            <w:tcW w:type="dxa" w:w="1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SignatureData</w:t>
            </w:r>
          </w:p>
        </w:tc>
        <w:tc>
          <w:tcPr>
            <w:tcW w:type="dxa" w:w="4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optional signature/clearance data</w:t>
            </w:r>
          </w:p>
        </w:tc>
      </w:tr>
      <w:tr>
        <w:tc>
          <w:tcPr>
            <w:tcW w:type="dxa" w:w="2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DocumentControl</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0..N</w:t>
            </w:r>
          </w:p>
        </w:tc>
        <w:tc>
          <w:tcPr>
            <w:tcW w:type="dxa" w:w="1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LineageRecord</w:t>
            </w:r>
          </w:p>
        </w:tc>
        <w:tc>
          <w:tcPr>
            <w:tcW w:type="dxa" w:w="4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has zero or more transformation lineage records</w:t>
            </w:r>
          </w:p>
        </w:tc>
      </w:tr>
    </w:tbl>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14  Cross-Entity Validation Constraints</w:t>
      </w:r>
    </w:p>
    <w:p>
      <w:pPr>
        <w:spacing w:after="60" w:before="60"/>
        <w:jc w:val="left"/>
      </w:pPr>
      <w:r>
        <w:rPr>
          <w:rFonts w:ascii="Calibri" w:cs="Calibri" w:eastAsia="Calibri" w:hAnsi="Calibri"/>
          <w:b w:val="false"/>
          <w:bCs w:val="false"/>
          <w:i w:val="false"/>
          <w:iCs w:val="false"/>
          <w:color w:val="111111"/>
          <w:sz w:val="20"/>
          <w:szCs w:val="20"/>
        </w:rPr>
        <w:t xml:space="preserve">The following constraints apply across entities. They are enforced by the validate stage of the rule pipeline after all field mappings and enrichments have run. Severity "error" causes the document to be rejected; "warning" is flagged but does not block delivery.</w:t>
      </w:r>
    </w:p>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900"/>
        <w:gridCol w:w="3400"/>
        <w:gridCol w:w="2400"/>
        <w:gridCol w:w="1000"/>
        <w:gridCol w:w="1900"/>
      </w:tblGrid>
      <w:tr>
        <w:trPr>
          <w:tblHeader/>
        </w:trPr>
        <w:tc>
          <w:tcPr>
            <w:tcW w:type="dxa" w:w="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ID</w:t>
            </w:r>
          </w:p>
        </w:tc>
        <w:tc>
          <w:tcPr>
            <w:tcW w:type="dxa" w:w="3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Constraint</w:t>
            </w:r>
          </w:p>
        </w:tc>
        <w:tc>
          <w:tcPr>
            <w:tcW w:type="dxa" w:w="2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Entities involved</w:t>
            </w:r>
          </w:p>
        </w:tc>
        <w:tc>
          <w:tcPr>
            <w:tcW w:type="dxa" w:w="10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Severity</w:t>
            </w:r>
          </w:p>
        </w:tc>
        <w:tc>
          <w:tcPr>
            <w:tcW w:type="dxa" w:w="19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Mandate scope</w:t>
            </w:r>
          </w:p>
        </w:tc>
      </w:tr>
      <w:tr>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CV-01</w:t>
            </w:r>
          </w:p>
        </w:tc>
        <w:tc>
          <w:tcPr>
            <w:tcW w:type="dxa" w:w="3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TaxApplication.regimeRef must reference a TaxRegime.regimeId present in SemanticDocument.taxRegimes[]</w:t>
            </w:r>
          </w:p>
        </w:tc>
        <w:tc>
          <w:tcPr>
            <w:tcW w:type="dxa" w:w="2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TaxApplication → TaxRegime</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error</w:t>
            </w:r>
          </w:p>
        </w:tc>
        <w:tc>
          <w:tcPr>
            <w:tcW w:type="dxa" w:w="1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w:t>
            </w:r>
          </w:p>
        </w:tc>
      </w:tr>
      <w:tr>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CV-02</w:t>
            </w:r>
          </w:p>
        </w:tc>
        <w:tc>
          <w:tcPr>
            <w:tcW w:type="dxa" w:w="3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Sum of SemanticLine.taxApplications[r].taxAmount (grouped by regimeRef) must equal SemanticDocument.taxApplications[r].taxAmount within ±0.02 tolerance</w:t>
            </w:r>
          </w:p>
        </w:tc>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SemanticLine, TaxApplication, MonetaryTotal</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error</w:t>
            </w:r>
          </w:p>
        </w:tc>
        <w:tc>
          <w:tcPr>
            <w:tcW w:type="dxa" w:w="1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w:t>
            </w:r>
          </w:p>
        </w:tc>
      </w:tr>
      <w:tr>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CV-03</w:t>
            </w:r>
          </w:p>
        </w:tc>
        <w:tc>
          <w:tcPr>
            <w:tcW w:type="dxa" w:w="3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MonetaryTotal.totalTaxAmount must equal sum of all RegimeTaxTotal.taxAmount within ±0.01</w:t>
            </w:r>
          </w:p>
        </w:tc>
        <w:tc>
          <w:tcPr>
            <w:tcW w:type="dxa" w:w="2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MonetaryTotal, RegimeTaxTotal</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error</w:t>
            </w:r>
          </w:p>
        </w:tc>
        <w:tc>
          <w:tcPr>
            <w:tcW w:type="dxa" w:w="1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w:t>
            </w:r>
          </w:p>
        </w:tc>
      </w:tr>
      <w:tr>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CV-04</w:t>
            </w:r>
          </w:p>
        </w:tc>
        <w:tc>
          <w:tcPr>
            <w:tcW w:type="dxa" w:w="3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MonetaryTotal.taxInclusiveAmount must equal taxExclusiveAmount + totalTaxAmount ± roundingAmount within ±0.02</w:t>
            </w:r>
          </w:p>
        </w:tc>
        <w:tc>
          <w:tcPr>
            <w:tcW w:type="dxa" w:w="2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MonetaryTotal</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error</w:t>
            </w:r>
          </w:p>
        </w:tc>
        <w:tc>
          <w:tcPr>
            <w:tcW w:type="dxa" w:w="1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w:t>
            </w:r>
          </w:p>
        </w:tc>
      </w:tr>
      <w:tr>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CV-05</w:t>
            </w:r>
          </w:p>
        </w:tc>
        <w:tc>
          <w:tcPr>
            <w:tcW w:type="dxa" w:w="3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MonetaryTotal.lineExtensionAmount must equal sum of all SemanticLine.netAmount within ±0.02</w:t>
            </w:r>
          </w:p>
        </w:tc>
        <w:tc>
          <w:tcPr>
            <w:tcW w:type="dxa" w:w="2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MonetaryTotal, SemanticLine</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error</w:t>
            </w:r>
          </w:p>
        </w:tc>
        <w:tc>
          <w:tcPr>
            <w:tcW w:type="dxa" w:w="1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w:t>
            </w:r>
          </w:p>
        </w:tc>
      </w:tr>
      <w:tr>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CV-06</w:t>
            </w:r>
          </w:p>
        </w:tc>
        <w:tc>
          <w:tcPr>
            <w:tcW w:type="dxa" w:w="3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If TaxApplication.categoryCode ∈ {E, AE, K}: TaxApplication.rate must be null</w:t>
            </w:r>
          </w:p>
        </w:tc>
        <w:tc>
          <w:tcPr>
            <w:tcW w:type="dxa" w:w="2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TaxApplication</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error</w:t>
            </w:r>
          </w:p>
        </w:tc>
        <w:tc>
          <w:tcPr>
            <w:tcW w:type="dxa" w:w="1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w:t>
            </w:r>
          </w:p>
        </w:tc>
      </w:tr>
      <w:tr>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CV-07</w:t>
            </w:r>
          </w:p>
        </w:tc>
        <w:tc>
          <w:tcPr>
            <w:tcW w:type="dxa" w:w="3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If TaxApplication.categoryCode = S and rate is null: emit warning (rate should be present for standard-rated supplies)</w:t>
            </w:r>
          </w:p>
        </w:tc>
        <w:tc>
          <w:tcPr>
            <w:tcW w:type="dxa" w:w="2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TaxApplication</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warning</w:t>
            </w:r>
          </w:p>
        </w:tc>
        <w:tc>
          <w:tcPr>
            <w:tcW w:type="dxa" w:w="1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w:t>
            </w:r>
          </w:p>
        </w:tc>
      </w:tr>
      <w:tr>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CV-08</w:t>
            </w:r>
          </w:p>
        </w:tc>
        <w:tc>
          <w:tcPr>
            <w:tcW w:type="dxa" w:w="3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For India (IN) documents: exactly one of {GST_IN_IGST} or {GST_IN_CGST, GST_IN_SGST} must appear in taxRegimes[]. Mixing both patterns is an error.</w:t>
            </w:r>
          </w:p>
        </w:tc>
        <w:tc>
          <w:tcPr>
            <w:tcW w:type="dxa" w:w="2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TaxRegime, JurisdictionContext</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error</w:t>
            </w:r>
          </w:p>
        </w:tc>
        <w:tc>
          <w:tcPr>
            <w:tcW w:type="dxa" w:w="1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IN:GSTINV01</w:t>
            </w:r>
          </w:p>
        </w:tc>
      </w:tr>
      <w:tr>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CV-09</w:t>
            </w:r>
          </w:p>
        </w:tc>
        <w:tc>
          <w:tcPr>
            <w:tcW w:type="dxa" w:w="3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For Brazil NF-e: ICMS_BR, PIS_BR, COFINS_BR must all be present in taxRegimes[]. From Aug 2026: CBS_BR, IBS_BR must also be present.</w:t>
            </w:r>
          </w:p>
        </w:tc>
        <w:tc>
          <w:tcPr>
            <w:tcW w:type="dxa" w:w="2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TaxRegime</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error</w:t>
            </w:r>
          </w:p>
        </w:tc>
        <w:tc>
          <w:tcPr>
            <w:tcW w:type="dxa" w:w="1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BR:NFE</w:t>
            </w:r>
          </w:p>
        </w:tc>
      </w:tr>
      <w:tr>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CV-10</w:t>
            </w:r>
          </w:p>
        </w:tc>
        <w:tc>
          <w:tcPr>
            <w:tcW w:type="dxa" w:w="3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DocumentControl.targetScope must be set before the validate stage runs</w:t>
            </w:r>
          </w:p>
        </w:tc>
        <w:tc>
          <w:tcPr>
            <w:tcW w:type="dxa" w:w="2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DocumentControl, MandateScope</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error</w:t>
            </w:r>
          </w:p>
        </w:tc>
        <w:tc>
          <w:tcPr>
            <w:tcW w:type="dxa" w:w="1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w:t>
            </w:r>
          </w:p>
        </w:tc>
      </w:tr>
      <w:tr>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CV-11</w:t>
            </w:r>
          </w:p>
        </w:tc>
        <w:tc>
          <w:tcPr>
            <w:tcW w:type="dxa" w:w="3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If MonetaryTotal.aedTotals is present: DocumentControl.targetScope.country must equal "AE"</w:t>
            </w:r>
          </w:p>
        </w:tc>
        <w:tc>
          <w:tcPr>
            <w:tcW w:type="dxa" w:w="2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MonetaryTotal, DocumentControl</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error</w:t>
            </w:r>
          </w:p>
        </w:tc>
        <w:tc>
          <w:tcPr>
            <w:tcW w:type="dxa" w:w="1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AE:PINT_AE</w:t>
            </w:r>
          </w:p>
        </w:tc>
      </w:tr>
      <w:tr>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CV-12</w:t>
            </w:r>
          </w:p>
        </w:tc>
        <w:tc>
          <w:tcPr>
            <w:tcW w:type="dxa" w:w="3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For ZATCA Phase 2: DocumentControl.invoiceCounter must be present and greater than the previous invoice counter for this device</w:t>
            </w:r>
          </w:p>
        </w:tc>
        <w:tc>
          <w:tcPr>
            <w:tcW w:type="dxa" w:w="2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DocumentControl</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error</w:t>
            </w:r>
          </w:p>
        </w:tc>
        <w:tc>
          <w:tcPr>
            <w:tcW w:type="dxa" w:w="1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SA:ZATCA_PHASE2</w:t>
            </w:r>
          </w:p>
        </w:tc>
      </w:tr>
      <w:tr>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CV-13</w:t>
            </w:r>
          </w:p>
        </w:tc>
        <w:tc>
          <w:tcPr>
            <w:tcW w:type="dxa" w:w="3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For ZATCA Phase 2: SignatureData.previousDocumentHash must be present and match the SHA-256 of the preceding cleared invoice XML</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SignatureData</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error</w:t>
            </w:r>
          </w:p>
        </w:tc>
        <w:tc>
          <w:tcPr>
            <w:tcW w:type="dxa" w:w="1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SA:ZATCA_PHASE2</w:t>
            </w:r>
          </w:p>
        </w:tc>
      </w:tr>
      <w:tr>
        <w:tc>
          <w:tcPr>
            <w:tcW w:type="dxa" w:w="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CV-14</w:t>
            </w:r>
          </w:p>
        </w:tc>
        <w:tc>
          <w:tcPr>
            <w:tcW w:type="dxa" w:w="3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SemanticDocument.taxRegimes[] must contain at least one entry</w:t>
            </w:r>
          </w:p>
        </w:tc>
        <w:tc>
          <w:tcPr>
            <w:tcW w:type="dxa" w:w="2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TaxRegime</w:t>
            </w:r>
          </w:p>
        </w:tc>
        <w:tc>
          <w:tcPr>
            <w:tcW w:type="dxa" w:w="10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error</w:t>
            </w:r>
          </w:p>
        </w:tc>
        <w:tc>
          <w:tcPr>
            <w:tcW w:type="dxa" w:w="19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All</w:t>
            </w:r>
          </w:p>
        </w:tc>
      </w:tr>
      <w:tr>
        <w:tc>
          <w:tcPr>
            <w:tcW w:type="dxa" w:w="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CV-15</w:t>
            </w:r>
          </w:p>
        </w:tc>
        <w:tc>
          <w:tcPr>
            <w:tcW w:type="dxa" w:w="3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If SemanticLine.placeOfSupply is absent and sourceFamily = gstn: warning (place of supply required for correct IGST/CGST routing)</w:t>
            </w:r>
          </w:p>
        </w:tc>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SemanticLine, JurisdictionContext</w:t>
            </w:r>
          </w:p>
        </w:tc>
        <w:tc>
          <w:tcPr>
            <w:tcW w:type="dxa" w:w="10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warning</w:t>
            </w:r>
          </w:p>
        </w:tc>
        <w:tc>
          <w:tcPr>
            <w:tcW w:type="dxa" w:w="19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IN:GSTINV01</w:t>
            </w:r>
          </w:p>
        </w:tc>
      </w:tr>
    </w:tbl>
    <w:p>
      <w:r>
        <w:br w:type="page"/>
      </w:r>
    </w:p>
    <w:p>
      <w:pPr>
        <w:pStyle w:val="Heading1"/>
        <w:pBdr>
          <w:bottom w:val="single" w:color="2E6DB4" w:sz="8" w:space="4"/>
        </w:pBdr>
        <w:spacing w:after="160" w:before="400"/>
      </w:pPr>
      <w:r>
        <w:rPr>
          <w:rFonts w:ascii="Calibri" w:cs="Calibri" w:eastAsia="Calibri" w:hAnsi="Calibri"/>
          <w:b/>
          <w:bCs/>
          <w:color w:val="0F2040"/>
          <w:sz w:val="44"/>
          <w:szCs w:val="44"/>
        </w:rPr>
        <w:t xml:space="preserve">15  Field Nullability and Default Conventions</w:t>
      </w:r>
    </w:p>
    <w:p>
      <w:pPr>
        <w:spacing w:after="60" w:before="60"/>
        <w:jc w:val="left"/>
      </w:pPr>
      <w:r>
        <w:rPr>
          <w:rFonts w:ascii="Calibri" w:cs="Calibri" w:eastAsia="Calibri" w:hAnsi="Calibri"/>
          <w:b w:val="false"/>
          <w:bCs w:val="false"/>
          <w:i w:val="false"/>
          <w:iCs w:val="false"/>
          <w:color w:val="111111"/>
          <w:sz w:val="20"/>
          <w:szCs w:val="20"/>
        </w:rPr>
        <w:t xml:space="preserve">The following conventions apply when source documents do not carry a value for a field that is marked "No" (optional) in the entity definitions:</w:t>
      </w:r>
    </w:p>
    <w:p>
      <w:pPr>
        <w:spacing w:after="80" w:before="0"/>
      </w:pPr>
      <w:r>
        <w:rPr>
          <w:rFonts w:ascii="Calibri" w:cs="Calibri" w:eastAsia="Calibri" w:hAnsi="Calibri"/>
          <w:b w:val="false"/>
          <w:bCs w:val="false"/>
          <w:i w:val="false"/>
          <w:iCs w:val="false"/>
          <w:color w:val="111111"/>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400"/>
        <w:gridCol w:w="3400"/>
        <w:gridCol w:w="3800"/>
      </w:tblGrid>
      <w:tr>
        <w:trPr>
          <w:tblHeader/>
        </w:trPr>
        <w:tc>
          <w:tcPr>
            <w:tcW w:type="dxa" w:w="2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Field</w:t>
            </w:r>
          </w:p>
        </w:tc>
        <w:tc>
          <w:tcPr>
            <w:tcW w:type="dxa" w:w="34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Convention when absent in source</w:t>
            </w:r>
          </w:p>
        </w:tc>
        <w:tc>
          <w:tcPr>
            <w:tcW w:type="dxa" w:w="3800"/>
            <w:shd w:fill="0F2040" w:val="clear"/>
            <w:tcMar>
              <w:top w:type="dxa" w:w="60"/>
              <w:left w:type="dxa" w:w="80"/>
              <w:bottom w:type="dxa" w:w="60"/>
              <w:right w:type="dxa" w:w="80"/>
            </w:tcMar>
            <w:vAlign w:val="top"/>
          </w:tcPr>
          <w:p>
            <w:pPr>
              <w:spacing w:after="50" w:before="50"/>
              <w:jc w:val="left"/>
            </w:pPr>
            <w:r>
              <w:rPr>
                <w:rFonts w:ascii="Calibri" w:cs="Calibri" w:eastAsia="Calibri" w:hAnsi="Calibri"/>
                <w:b/>
                <w:bCs/>
                <w:i w:val="false"/>
                <w:iCs w:val="false"/>
                <w:color w:val="FFFFFF"/>
                <w:sz w:val="17"/>
                <w:szCs w:val="17"/>
              </w:rPr>
              <w:t xml:space="preserve">Rationale</w:t>
            </w:r>
          </w:p>
        </w:tc>
      </w:tr>
      <w:tr>
        <w:tc>
          <w:tcPr>
            <w:tcW w:type="dxa" w:w="2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SemanticLine.unitCode</w:t>
            </w:r>
          </w:p>
        </w:tc>
        <w:tc>
          <w:tcPr>
            <w:tcW w:type="dxa" w:w="3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Default to "C62" (UN/CEFACT: each/unit)</w:t>
            </w:r>
          </w:p>
        </w:tc>
        <w:tc>
          <w:tcPr>
            <w:tcW w:type="dxa" w:w="3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Prevents emitter errors. SAT and GSTIN often omit unit code for service lines.</w:t>
            </w:r>
          </w:p>
        </w:tc>
      </w:tr>
      <w:tr>
        <w:tc>
          <w:tcPr>
            <w:tcW w:type="dxa" w:w="2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SemanticParty.identifiers[0].scheme</w:t>
            </w:r>
          </w:p>
        </w:tc>
        <w:tc>
          <w:tcPr>
            <w:tcW w:type="dxa" w:w="3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Inferred from source country when unambiguous: MX→MX:RFC, IN→IN:GSTIN, BR→BR:CNPJ</w:t>
            </w:r>
          </w:p>
        </w:tc>
        <w:tc>
          <w:tcPr>
            <w:tcW w:type="dxa" w:w="3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Avoids requiring explicit scheme declaration in every adapter.</w:t>
            </w:r>
          </w:p>
        </w:tc>
      </w:tr>
      <w:tr>
        <w:tc>
          <w:tcPr>
            <w:tcW w:type="dxa" w:w="2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SemanticAddress.city</w:t>
            </w:r>
          </w:p>
        </w:tc>
        <w:tc>
          <w:tcPr>
            <w:tcW w:type="dxa" w:w="3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Set to empty string "". Emitters may substitute party name or country as placeholder.</w:t>
            </w:r>
          </w:p>
        </w:tc>
        <w:tc>
          <w:tcPr>
            <w:tcW w:type="dxa" w:w="3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Address city is always required by the SemanticAddress type but some GSTIN records omit it.</w:t>
            </w:r>
          </w:p>
        </w:tc>
      </w:tr>
      <w:tr>
        <w:tc>
          <w:tcPr>
            <w:tcW w:type="dxa" w:w="2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TaxApplication.rate</w:t>
            </w:r>
          </w:p>
        </w:tc>
        <w:tc>
          <w:tcPr>
            <w:tcW w:type="dxa" w:w="3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Set to null. Emitters must handle null rates by using 0.00 or omitting the rate element per target format rules.</w:t>
            </w:r>
          </w:p>
        </w:tc>
        <w:tc>
          <w:tcPr>
            <w:tcW w:type="dxa" w:w="3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Exempt and reverse-charge lines have no rate. Null is the correct semantic value.</w:t>
            </w:r>
          </w:p>
        </w:tc>
      </w:tr>
      <w:tr>
        <w:tc>
          <w:tcPr>
            <w:tcW w:type="dxa" w:w="2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MonetaryTotal.roundingAmount</w:t>
            </w:r>
          </w:p>
        </w:tc>
        <w:tc>
          <w:tcPr>
            <w:tcW w:type="dxa" w:w="3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Omit (set to null). Do not default to 0.00.</w:t>
            </w:r>
          </w:p>
        </w:tc>
        <w:tc>
          <w:tcPr>
            <w:tcW w:type="dxa" w:w="3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Some validation rules distinguish between "no rounding" (null) and "zero rounding" (0.00).</w:t>
            </w:r>
          </w:p>
        </w:tc>
      </w:tr>
      <w:tr>
        <w:tc>
          <w:tcPr>
            <w:tcW w:type="dxa" w:w="2400"/>
            <w:shd w:fill="FFFFFF"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DocumentControl.transmissionProfile</w:t>
            </w:r>
          </w:p>
        </w:tc>
        <w:tc>
          <w:tcPr>
            <w:tcW w:type="dxa" w:w="34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Omit. Required only for Peppol-family mandates.</w:t>
            </w:r>
          </w:p>
        </w:tc>
        <w:tc>
          <w:tcPr>
            <w:tcW w:type="dxa" w:w="3800"/>
            <w:shd w:fill="FFFFFF"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Non-Peppol emitters do not use this field.</w:t>
            </w:r>
          </w:p>
        </w:tc>
      </w:tr>
      <w:tr>
        <w:tc>
          <w:tcPr>
            <w:tcW w:type="dxa" w:w="2400"/>
            <w:shd w:fill="EEF5FC" w:val="clear"/>
            <w:tcMar>
              <w:top w:type="dxa" w:w="60"/>
              <w:left w:type="dxa" w:w="80"/>
              <w:bottom w:type="dxa" w:w="60"/>
              <w:right w:type="dxa" w:w="80"/>
            </w:tcMar>
            <w:vAlign w:val="top"/>
          </w:tcPr>
          <w:p>
            <w:pPr>
              <w:spacing w:after="45" w:before="45"/>
            </w:pPr>
            <w:r>
              <w:rPr>
                <w:rFonts w:ascii="Courier New" w:cs="Courier New" w:eastAsia="Courier New" w:hAnsi="Courier New"/>
                <w:color w:val="1A4A8A"/>
                <w:sz w:val="16"/>
                <w:szCs w:val="16"/>
              </w:rPr>
              <w:t xml:space="preserve">SemanticText variants other than default</w:t>
            </w:r>
          </w:p>
        </w:tc>
        <w:tc>
          <w:tcPr>
            <w:tcW w:type="dxa" w:w="34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Omit. Do not default to empty string.</w:t>
            </w:r>
          </w:p>
        </w:tc>
        <w:tc>
          <w:tcPr>
            <w:tcW w:type="dxa" w:w="3800"/>
            <w:shd w:fill="EEF5FC" w:val="clear"/>
            <w:tcMar>
              <w:top w:type="dxa" w:w="60"/>
              <w:left w:type="dxa" w:w="80"/>
              <w:bottom w:type="dxa" w:w="60"/>
              <w:right w:type="dxa" w:w="80"/>
            </w:tcMar>
            <w:vAlign w:val="top"/>
          </w:tcPr>
          <w:p>
            <w:pPr>
              <w:spacing w:after="45" w:before="45"/>
            </w:pPr>
            <w:r>
              <w:rPr>
                <w:rFonts w:ascii="Calibri" w:cs="Calibri" w:eastAsia="Calibri" w:hAnsi="Calibri"/>
                <w:color w:val="111111"/>
                <w:sz w:val="17"/>
                <w:szCs w:val="17"/>
              </w:rPr>
              <w:t xml:space="preserve">An absent language variant means the translation is not available. Empty string means it was explicitly set to blank — a different semantic.</w:t>
            </w:r>
          </w:p>
        </w:tc>
      </w:tr>
    </w:tbl>
    <w:sectPr>
      <w:headerReference w:type="default" r:id="rId7"/>
      <w:footerReference w:type="default" r:id="rId8"/>
      <w:pgSz w:w="15840" w:h="122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80"/>
      <w:jc w:val="center"/>
    </w:pPr>
    <w:r>
      <w:rPr>
        <w:rFonts w:ascii="Calibri" w:cs="Calibri" w:eastAsia="Calibri" w:hAnsi="Calibri"/>
        <w:color w:val="4B5563"/>
        <w:sz w:val="16"/>
        <w:szCs w:val="16"/>
      </w:rPr>
      <w:t xml:space="preserve">Generated 07/09/2026  |  CTC Transformer v2.0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jc w:val="right"/>
    </w:pPr>
    <w:r>
      <w:rPr>
        <w:rFonts w:ascii="Calibri" w:cs="Calibri" w:eastAsia="Calibri" w:hAnsi="Calibri"/>
        <w:color w:val="4B5563"/>
        <w:sz w:val="16"/>
        <w:szCs w:val="16"/>
      </w:rPr>
      <w:t xml:space="preserve">CTC Transformer Service  |  Semantic Document Model  |  Data Entity Specification</w:t>
    </w:r>
    <w:r>
      <w:rPr>
        <w:rFonts w:ascii="Calibri" w:cs="Calibri" w:eastAsia="Calibri" w:hAnsi="Calibri"/>
        <w:b/>
        <w:bCs/>
        <w:color w:val="BA7517"/>
        <w:sz w:val="16"/>
        <w:szCs w:val="16"/>
      </w:rPr>
      <w:t xml:space="preserve">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0"/>
        <w:szCs w:val="20"/>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CTC Transformer — Semantic Document Model — Data Entity Specification</dc:title>
  <dc:creator>CTC Transformer Service</dc:creator>
  <dc:description>Full data entity model for the SemanticDocument pivot type</dc:description>
  <cp:lastModifiedBy>Un-named</cp:lastModifiedBy>
  <cp:revision>1</cp:revision>
  <dcterms:created xsi:type="dcterms:W3CDTF">2026-09-07T08:35:29.615Z</dcterms:created>
  <dcterms:modified xsi:type="dcterms:W3CDTF">2026-09-07T08:35:29.615Z</dcterms:modified>
</cp:coreProperties>
</file>

<file path=docProps/custom.xml><?xml version="1.0" encoding="utf-8"?>
<Properties xmlns="http://schemas.openxmlformats.org/officeDocument/2006/custom-properties" xmlns:vt="http://schemas.openxmlformats.org/officeDocument/2006/docPropsVTypes"/>
</file>