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Calibri" w:cs="Calibri" w:eastAsia="Calibri" w:hAnsi="Calibri"/>
          <w:b/>
          <w:bCs/>
          <w:color w:val="0F2040"/>
          <w:sz w:val="64"/>
          <w:szCs w:val="64"/>
        </w:rPr>
        <w:t xml:space="preserve">CTC TRANSFORMER SERVICE</w:t>
      </w:r>
    </w:p>
    <w:p>
      <w:pPr>
        <w:spacing w:after="80" w:before="0"/>
        <w:jc w:val="center"/>
      </w:pPr>
      <w:r>
        <w:rPr>
          <w:rFonts w:ascii="Calibri" w:cs="Calibri" w:eastAsia="Calibri" w:hAnsi="Calibri"/>
          <w:i/>
          <w:iCs/>
          <w:color w:val="2E6DB4"/>
          <w:sz w:val="36"/>
          <w:szCs w:val="36"/>
        </w:rPr>
        <w:t xml:space="preserve">Technical Architecture Design Document — v2.0</w:t>
      </w:r>
    </w:p>
    <w:p>
      <w:pPr>
        <w:pBdr>
          <w:bottom w:val="single" w:color="E5E7EB" w:sz="4"/>
        </w:pBdr>
        <w:spacing w:after="120" w:before="120"/>
      </w:pPr>
    </w:p>
    <w:p>
      <w:pPr>
        <w:spacing w:after="400" w:before="80"/>
        <w:jc w:val="center"/>
      </w:pPr>
      <w:r>
        <w:rPr>
          <w:rFonts w:ascii="Calibri" w:cs="Calibri" w:eastAsia="Calibri" w:hAnsi="Calibri"/>
          <w:color w:val="4B5563"/>
          <w:sz w:val="26"/>
          <w:szCs w:val="26"/>
        </w:rPr>
        <w:t xml:space="preserve">Multi-Country CTC Framework with ERP Integration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40"/>
        <w:gridCol w:w="6360"/>
      </w:tblGrid>
      <w:tr>
        <w:trPr>
          <w:tblHeader/>
        </w:trPr>
        <w:tc>
          <w:tcPr>
            <w:tcW w:type="dxa" w:w="3240"/>
            <w:shd w:fill="0F2040" w:val="clear"/>
            <w:vAlign w:val="top"/>
          </w:tcPr>
          <w:p>
            <w:pPr>
              <w:spacing w:after="60" w:before="60"/>
              <w:ind w:left="72"/>
            </w:pPr>
            <w:r>
              <w:rPr>
                <w:rFonts w:ascii="Calibri" w:cs="Calibri" w:eastAsia="Calibri" w:hAnsi="Calibri"/>
                <w:b/>
                <w:bCs/>
                <w:color w:val="FFFFFF"/>
                <w:sz w:val="18"/>
                <w:szCs w:val="18"/>
              </w:rPr>
              <w:t xml:space="preserve">Attribute</w:t>
            </w:r>
          </w:p>
        </w:tc>
        <w:tc>
          <w:tcPr>
            <w:tcW w:type="dxa" w:w="6360"/>
            <w:shd w:fill="0F2040" w:val="clear"/>
            <w:vAlign w:val="top"/>
          </w:tcPr>
          <w:p>
            <w:pPr>
              <w:spacing w:after="60" w:before="60"/>
              <w:ind w:left="72"/>
            </w:pPr>
            <w:r>
              <w:rPr>
                <w:rFonts w:ascii="Calibri" w:cs="Calibri" w:eastAsia="Calibri" w:hAnsi="Calibri"/>
                <w:b/>
                <w:bCs/>
                <w:color w:val="FFFFFF"/>
                <w:sz w:val="18"/>
                <w:szCs w:val="18"/>
              </w:rPr>
              <w:t xml:space="preserve">Value</w:t>
            </w:r>
          </w:p>
        </w:tc>
      </w:tr>
      <w:tr>
        <w:tc>
          <w:tcPr>
            <w:tcW w:type="dxa" w:w="3240"/>
            <w:shd w:fill="EEF5FC" w:val="clear"/>
            <w:vAlign w:val="top"/>
          </w:tcPr>
          <w:p>
            <w:pPr>
              <w:spacing w:after="60" w:before="60"/>
              <w:ind w:left="72"/>
            </w:pPr>
            <w:r>
              <w:rPr>
                <w:rFonts w:ascii="Calibri" w:cs="Calibri" w:eastAsia="Calibri" w:hAnsi="Calibri"/>
                <w:b w:val="false"/>
                <w:bCs w:val="false"/>
                <w:color w:val="111111"/>
                <w:sz w:val="18"/>
                <w:szCs w:val="18"/>
              </w:rPr>
              <w:t xml:space="preserve">Document version</w:t>
            </w:r>
          </w:p>
        </w:tc>
        <w:tc>
          <w:tcPr>
            <w:tcW w:type="dxa" w:w="6360"/>
            <w:shd w:fill="EEF5FC" w:val="clear"/>
            <w:vAlign w:val="top"/>
          </w:tcPr>
          <w:p>
            <w:pPr>
              <w:spacing w:after="60" w:before="60"/>
              <w:ind w:left="72"/>
            </w:pPr>
            <w:r>
              <w:rPr>
                <w:rFonts w:ascii="Calibri" w:cs="Calibri" w:eastAsia="Calibri" w:hAnsi="Calibri"/>
                <w:b w:val="false"/>
                <w:bCs w:val="false"/>
                <w:color w:val="111111"/>
                <w:sz w:val="18"/>
                <w:szCs w:val="18"/>
              </w:rPr>
              <w:t xml:space="preserve">v2.0</w:t>
            </w:r>
          </w:p>
        </w:tc>
      </w:tr>
      <w:tr>
        <w:tc>
          <w:tcPr>
            <w:tcW w:type="dxa" w:w="3240"/>
            <w:shd w:fill="FFFFFF" w:val="clear"/>
            <w:vAlign w:val="top"/>
          </w:tcPr>
          <w:p>
            <w:pPr>
              <w:spacing w:after="60" w:before="60"/>
              <w:ind w:left="72"/>
            </w:pPr>
            <w:r>
              <w:rPr>
                <w:rFonts w:ascii="Calibri" w:cs="Calibri" w:eastAsia="Calibri" w:hAnsi="Calibri"/>
                <w:b w:val="false"/>
                <w:bCs w:val="false"/>
                <w:color w:val="111111"/>
                <w:sz w:val="18"/>
                <w:szCs w:val="18"/>
              </w:rPr>
              <w:t xml:space="preserve">Supersedes</w:t>
            </w:r>
          </w:p>
        </w:tc>
        <w:tc>
          <w:tcPr>
            <w:tcW w:type="dxa" w:w="6360"/>
            <w:shd w:fill="FFFFFF" w:val="clear"/>
            <w:vAlign w:val="top"/>
          </w:tcPr>
          <w:p>
            <w:pPr>
              <w:spacing w:after="60" w:before="60"/>
              <w:ind w:left="72"/>
            </w:pPr>
            <w:r>
              <w:rPr>
                <w:rFonts w:ascii="Calibri" w:cs="Calibri" w:eastAsia="Calibri" w:hAnsi="Calibri"/>
                <w:b w:val="false"/>
                <w:bCs w:val="false"/>
                <w:color w:val="111111"/>
                <w:sz w:val="18"/>
                <w:szCs w:val="18"/>
              </w:rPr>
              <w:t xml:space="preserve">v1.0 — CTC Transformer Service TADD</w:t>
            </w:r>
          </w:p>
        </w:tc>
      </w:tr>
      <w:tr>
        <w:tc>
          <w:tcPr>
            <w:tcW w:type="dxa" w:w="3240"/>
            <w:shd w:fill="EEF5FC" w:val="clear"/>
            <w:vAlign w:val="top"/>
          </w:tcPr>
          <w:p>
            <w:pPr>
              <w:spacing w:after="60" w:before="60"/>
              <w:ind w:left="72"/>
            </w:pPr>
            <w:r>
              <w:rPr>
                <w:rFonts w:ascii="Calibri" w:cs="Calibri" w:eastAsia="Calibri" w:hAnsi="Calibri"/>
                <w:b w:val="false"/>
                <w:bCs w:val="false"/>
                <w:color w:val="111111"/>
                <w:sz w:val="18"/>
                <w:szCs w:val="18"/>
              </w:rPr>
              <w:t xml:space="preserve">Status</w:t>
            </w:r>
          </w:p>
        </w:tc>
        <w:tc>
          <w:tcPr>
            <w:tcW w:type="dxa" w:w="6360"/>
            <w:shd w:fill="EEF5FC" w:val="clear"/>
            <w:vAlign w:val="top"/>
          </w:tcPr>
          <w:p>
            <w:pPr>
              <w:spacing w:after="60" w:before="60"/>
              <w:ind w:left="72"/>
            </w:pPr>
            <w:r>
              <w:rPr>
                <w:rFonts w:ascii="Calibri" w:cs="Calibri" w:eastAsia="Calibri" w:hAnsi="Calibri"/>
                <w:b w:val="false"/>
                <w:bCs w:val="false"/>
                <w:color w:val="111111"/>
                <w:sz w:val="18"/>
                <w:szCs w:val="18"/>
              </w:rPr>
              <w:t xml:space="preserve">DRAFT — For Review</w:t>
            </w:r>
          </w:p>
        </w:tc>
      </w:tr>
      <w:tr>
        <w:tc>
          <w:tcPr>
            <w:tcW w:type="dxa" w:w="3240"/>
            <w:shd w:fill="FFFFFF" w:val="clear"/>
            <w:vAlign w:val="top"/>
          </w:tcPr>
          <w:p>
            <w:pPr>
              <w:spacing w:after="60" w:before="60"/>
              <w:ind w:left="72"/>
            </w:pPr>
            <w:r>
              <w:rPr>
                <w:rFonts w:ascii="Calibri" w:cs="Calibri" w:eastAsia="Calibri" w:hAnsi="Calibri"/>
                <w:b w:val="false"/>
                <w:bCs w:val="false"/>
                <w:color w:val="111111"/>
                <w:sz w:val="18"/>
                <w:szCs w:val="18"/>
              </w:rPr>
              <w:t xml:space="preserve">Date</w:t>
            </w:r>
          </w:p>
        </w:tc>
        <w:tc>
          <w:tcPr>
            <w:tcW w:type="dxa" w:w="6360"/>
            <w:shd w:fill="FFFFFF" w:val="clear"/>
            <w:vAlign w:val="top"/>
          </w:tcPr>
          <w:p>
            <w:pPr>
              <w:spacing w:after="60" w:before="60"/>
              <w:ind w:left="72"/>
            </w:pPr>
            <w:r>
              <w:rPr>
                <w:rFonts w:ascii="Calibri" w:cs="Calibri" w:eastAsia="Calibri" w:hAnsi="Calibri"/>
                <w:b w:val="false"/>
                <w:bCs w:val="false"/>
                <w:color w:val="111111"/>
                <w:sz w:val="18"/>
                <w:szCs w:val="18"/>
              </w:rPr>
              <w:t xml:space="preserve">28 August 2026</w:t>
            </w:r>
          </w:p>
        </w:tc>
      </w:tr>
      <w:tr>
        <w:tc>
          <w:tcPr>
            <w:tcW w:type="dxa" w:w="3240"/>
            <w:shd w:fill="EEF5FC" w:val="clear"/>
            <w:vAlign w:val="top"/>
          </w:tcPr>
          <w:p>
            <w:pPr>
              <w:spacing w:after="60" w:before="60"/>
              <w:ind w:left="72"/>
            </w:pPr>
            <w:r>
              <w:rPr>
                <w:rFonts w:ascii="Calibri" w:cs="Calibri" w:eastAsia="Calibri" w:hAnsi="Calibri"/>
                <w:b w:val="false"/>
                <w:bCs w:val="false"/>
                <w:color w:val="111111"/>
                <w:sz w:val="18"/>
                <w:szCs w:val="18"/>
              </w:rPr>
              <w:t xml:space="preserve">Classification</w:t>
            </w:r>
          </w:p>
        </w:tc>
        <w:tc>
          <w:tcPr>
            <w:tcW w:type="dxa" w:w="6360"/>
            <w:shd w:fill="EEF5FC" w:val="clear"/>
            <w:vAlign w:val="top"/>
          </w:tcPr>
          <w:p>
            <w:pPr>
              <w:spacing w:after="60" w:before="60"/>
              <w:ind w:left="72"/>
            </w:pPr>
            <w:r>
              <w:rPr>
                <w:rFonts w:ascii="Calibri" w:cs="Calibri" w:eastAsia="Calibri" w:hAnsi="Calibri"/>
                <w:b w:val="false"/>
                <w:bCs w:val="false"/>
                <w:color w:val="111111"/>
                <w:sz w:val="18"/>
                <w:szCs w:val="18"/>
              </w:rPr>
              <w:t xml:space="preserve">Internal — Technical</w:t>
            </w:r>
          </w:p>
        </w:tc>
      </w:tr>
      <w:tr>
        <w:tc>
          <w:tcPr>
            <w:tcW w:type="dxa" w:w="3240"/>
            <w:shd w:fill="FFFFFF" w:val="clear"/>
            <w:vAlign w:val="top"/>
          </w:tcPr>
          <w:p>
            <w:pPr>
              <w:spacing w:after="60" w:before="60"/>
              <w:ind w:left="72"/>
            </w:pPr>
            <w:r>
              <w:rPr>
                <w:rFonts w:ascii="Calibri" w:cs="Calibri" w:eastAsia="Calibri" w:hAnsi="Calibri"/>
                <w:b w:val="false"/>
                <w:bCs w:val="false"/>
                <w:color w:val="111111"/>
                <w:sz w:val="18"/>
                <w:szCs w:val="18"/>
              </w:rPr>
              <w:t xml:space="preserve">Key change in v2.0</w:t>
            </w:r>
          </w:p>
        </w:tc>
        <w:tc>
          <w:tcPr>
            <w:tcW w:type="dxa" w:w="6360"/>
            <w:shd w:fill="FFFFFF" w:val="clear"/>
            <w:vAlign w:val="top"/>
          </w:tcPr>
          <w:p>
            <w:pPr>
              <w:spacing w:after="60" w:before="60"/>
              <w:ind w:left="72"/>
            </w:pPr>
            <w:r>
              <w:rPr>
                <w:rFonts w:ascii="Calibri" w:cs="Calibri" w:eastAsia="Calibri" w:hAnsi="Calibri"/>
                <w:b w:val="false"/>
                <w:bCs w:val="false"/>
                <w:color w:val="111111"/>
                <w:sz w:val="18"/>
                <w:szCs w:val="18"/>
              </w:rPr>
              <w:t xml:space="preserve">ERP integration layer added as new Stage 1. Stage 2 (CTC transformation) unchanged.</w:t>
            </w:r>
          </w:p>
        </w:tc>
      </w:tr>
      <w:tr>
        <w:tc>
          <w:tcPr>
            <w:tcW w:type="dxa" w:w="3240"/>
            <w:shd w:fill="EEF5FC" w:val="clear"/>
            <w:vAlign w:val="top"/>
          </w:tcPr>
          <w:p>
            <w:pPr>
              <w:spacing w:after="60" w:before="60"/>
              <w:ind w:left="72"/>
            </w:pPr>
            <w:r>
              <w:rPr>
                <w:rFonts w:ascii="Calibri" w:cs="Calibri" w:eastAsia="Calibri" w:hAnsi="Calibri"/>
                <w:b w:val="false"/>
                <w:bCs w:val="false"/>
                <w:color w:val="111111"/>
                <w:sz w:val="18"/>
                <w:szCs w:val="18"/>
              </w:rPr>
              <w:t xml:space="preserve">Countries in scope</w:t>
            </w:r>
          </w:p>
        </w:tc>
        <w:tc>
          <w:tcPr>
            <w:tcW w:type="dxa" w:w="6360"/>
            <w:shd w:fill="EEF5FC" w:val="clear"/>
            <w:vAlign w:val="top"/>
          </w:tcPr>
          <w:p>
            <w:pPr>
              <w:spacing w:after="60" w:before="60"/>
              <w:ind w:left="72"/>
            </w:pPr>
            <w:r>
              <w:rPr>
                <w:rFonts w:ascii="Calibri" w:cs="Calibri" w:eastAsia="Calibri" w:hAnsi="Calibri"/>
                <w:b w:val="false"/>
                <w:bCs w:val="false"/>
                <w:color w:val="111111"/>
                <w:sz w:val="18"/>
                <w:szCs w:val="18"/>
              </w:rPr>
              <w:t xml:space="preserve">25 (Europe × 9, LATAM × 14, APAC × 1, Malaysia × 1)</w:t>
            </w:r>
          </w:p>
        </w:tc>
      </w:tr>
      <w:tr>
        <w:tc>
          <w:tcPr>
            <w:tcW w:type="dxa" w:w="3240"/>
            <w:shd w:fill="FFFFFF" w:val="clear"/>
            <w:vAlign w:val="top"/>
          </w:tcPr>
          <w:p>
            <w:pPr>
              <w:spacing w:after="60" w:before="60"/>
              <w:ind w:left="72"/>
            </w:pPr>
            <w:r>
              <w:rPr>
                <w:rFonts w:ascii="Calibri" w:cs="Calibri" w:eastAsia="Calibri" w:hAnsi="Calibri"/>
                <w:b w:val="false"/>
                <w:bCs w:val="false"/>
                <w:color w:val="111111"/>
                <w:sz w:val="18"/>
                <w:szCs w:val="18"/>
              </w:rPr>
              <w:t xml:space="preserve">ERP systems in scope</w:t>
            </w:r>
          </w:p>
        </w:tc>
        <w:tc>
          <w:tcPr>
            <w:tcW w:type="dxa" w:w="6360"/>
            <w:shd w:fill="FFFFFF" w:val="clear"/>
            <w:vAlign w:val="top"/>
          </w:tcPr>
          <w:p>
            <w:pPr>
              <w:spacing w:after="60" w:before="60"/>
              <w:ind w:left="72"/>
            </w:pPr>
            <w:r>
              <w:rPr>
                <w:rFonts w:ascii="Calibri" w:cs="Calibri" w:eastAsia="Calibri" w:hAnsi="Calibri"/>
                <w:b w:val="false"/>
                <w:bCs w:val="false"/>
                <w:color w:val="111111"/>
                <w:sz w:val="18"/>
                <w:szCs w:val="18"/>
              </w:rPr>
              <w:t xml:space="preserve">SAP (IDoc / RFC), Oracle Fusion, NetSuite, Microsoft Dynamics 365, Workday, Custom</w:t>
            </w:r>
          </w:p>
        </w:tc>
      </w:tr>
    </w:tbl>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1  What Changes — and What Does Not</w:t>
      </w:r>
    </w:p>
    <w:p>
      <w:pPr>
        <w:spacing w:after="80" w:before="80"/>
        <w:jc w:val="left"/>
      </w:pPr>
      <w:r>
        <w:rPr>
          <w:rFonts w:ascii="Calibri" w:cs="Calibri" w:eastAsia="Calibri" w:hAnsi="Calibri"/>
          <w:b w:val="false"/>
          <w:bCs w:val="false"/>
          <w:i w:val="false"/>
          <w:iCs w:val="false"/>
          <w:color w:val="111111"/>
          <w:sz w:val="22"/>
          <w:szCs w:val="22"/>
        </w:rPr>
        <w:t xml:space="preserve">Version 1.0 of this document defined a CTC Transformer Service that accepts structured invoice documents in one of the supported CTC mandate formats (UBL, FatturaPA, CFDI, NF-e, INV-01, MyInvois) and transforms them to another mandate format for delivery to a tax authority. That design is complete and unchanged.</w:t>
      </w:r>
    </w:p>
    <w:p>
      <w:pPr>
        <w:spacing w:after="80" w:before="80"/>
        <w:jc w:val="left"/>
      </w:pPr>
      <w:r>
        <w:rPr>
          <w:rFonts w:ascii="Calibri" w:cs="Calibri" w:eastAsia="Calibri" w:hAnsi="Calibri"/>
          <w:b w:val="false"/>
          <w:bCs w:val="false"/>
          <w:i w:val="false"/>
          <w:iCs w:val="false"/>
          <w:color w:val="111111"/>
          <w:sz w:val="22"/>
          <w:szCs w:val="22"/>
        </w:rPr>
        <w:t xml:space="preserve">This version introduces the </w:t>
      </w:r>
      <w:r>
        <w:rPr>
          <w:rFonts w:ascii="Calibri" w:cs="Calibri" w:eastAsia="Calibri" w:hAnsi="Calibri"/>
          <w:b/>
          <w:bCs/>
          <w:i w:val="false"/>
          <w:iCs w:val="false"/>
          <w:color w:val="111111"/>
          <w:sz w:val="22"/>
          <w:szCs w:val="22"/>
        </w:rPr>
        <w:t xml:space="preserve">ERP integration layer</w:t>
      </w:r>
      <w:r>
        <w:rPr>
          <w:rFonts w:ascii="Calibri" w:cs="Calibri" w:eastAsia="Calibri" w:hAnsi="Calibri"/>
          <w:b w:val="false"/>
          <w:bCs w:val="false"/>
          <w:i w:val="false"/>
          <w:iCs w:val="false"/>
          <w:color w:val="111111"/>
          <w:sz w:val="22"/>
          <w:szCs w:val="22"/>
        </w:rPr>
        <w:t xml:space="preserve"> — a new </w:t>
      </w:r>
      <w:r>
        <w:rPr>
          <w:rFonts w:ascii="Calibri" w:cs="Calibri" w:eastAsia="Calibri" w:hAnsi="Calibri"/>
          <w:b/>
          <w:bCs/>
          <w:i w:val="false"/>
          <w:iCs w:val="false"/>
          <w:color w:val="111111"/>
          <w:sz w:val="22"/>
          <w:szCs w:val="22"/>
        </w:rPr>
        <w:t xml:space="preserve">Stage 1</w:t>
      </w:r>
      <w:r>
        <w:rPr>
          <w:rFonts w:ascii="Calibri" w:cs="Calibri" w:eastAsia="Calibri" w:hAnsi="Calibri"/>
          <w:b w:val="false"/>
          <w:bCs w:val="false"/>
          <w:i w:val="false"/>
          <w:iCs w:val="false"/>
          <w:color w:val="111111"/>
          <w:sz w:val="22"/>
          <w:szCs w:val="22"/>
        </w:rPr>
        <w:t xml:space="preserve"> that sits upstream of the existing pipeline. Stage 1 accepts raw data from ERP systems (SAP, Oracle, NetSuite, Dynamics 365, Workday, or custom) and normalises it into the SemanticDocument. The existing Stage 2 (rule engine, mandate packs, signing, delivery) then operates identically regardless of whether the input came from another CTC format or from an ERP.</w:t>
      </w:r>
    </w:p>
    <w:tbl>
      <w:tblPr>
        <w:tblW w:type="pct" w:w="100%"/>
        <w:tblBorders>
          <w:top w:val="none"/>
          <w:left w:val="none"/>
          <w:bottom w:val="none"/>
          <w:right w:val="none"/>
          <w:insideH w:val="single" w:color="auto" w:sz="4"/>
          <w:insideV w:val="single" w:color="auto" w:sz="4"/>
        </w:tblBorders>
        <w:tblCellMar>
          <w:top w:type="dxa" w:w="0"/>
          <w:left w:type="dxa" w:w="0"/>
          <w:bottom w:type="dxa" w:w="200"/>
          <w:right w:type="dxa" w:w="0"/>
        </w:tblCellMar>
      </w:tblPr>
      <w:tblGrid>
        <w:gridCol w:w="100"/>
        <w:gridCol w:w="100"/>
      </w:tblGrid>
      <w:tr>
        <w:tc>
          <w:tcPr>
            <w:tcW w:type="dxa" w:w="800"/>
            <w:shd w:fill="0F2040" w:val="clear"/>
          </w:tcPr>
          <w:p>
            <w:pPr>
              <w:spacing w:after="80" w:before="80"/>
              <w:jc w:val="center"/>
            </w:pPr>
            <w:r>
              <w:rPr>
                <w:rFonts w:ascii="Calibri" w:cs="Calibri" w:eastAsia="Calibri" w:hAnsi="Calibri"/>
                <w:b/>
                <w:bCs/>
                <w:color w:val="FFFFFF"/>
                <w:sz w:val="20"/>
                <w:szCs w:val="20"/>
              </w:rPr>
              <w:t xml:space="preserve">KEY INSIGHT</w:t>
            </w:r>
          </w:p>
        </w:tc>
        <w:tc>
          <w:tcPr>
            <w:tcW w:type="dxa" w:w="8800"/>
            <w:shd w:fill="EEF5FC" w:val="clear"/>
          </w:tcPr>
          <w:p>
            <w:pPr>
              <w:spacing w:after="80" w:before="80"/>
              <w:ind w:left="144"/>
            </w:pPr>
            <w:r>
              <w:rPr>
                <w:rFonts w:ascii="Calibri" w:cs="Calibri" w:eastAsia="Calibri" w:hAnsi="Calibri"/>
                <w:color w:val="111111"/>
                <w:sz w:val="20"/>
                <w:szCs w:val="20"/>
              </w:rPr>
              <w:t xml:space="preserve">The SemanticDocument is the pivot that makes ERP integration tractable. Stage 1 does not know about tax mandates. Stage 2 does not know about ERPs. The two concerns are fully decoupled.</w:t>
            </w:r>
          </w:p>
        </w:tc>
      </w:tr>
    </w:tbl>
    <w:p>
      <w:pPr>
        <w:spacing w:after="80" w:before="80"/>
        <w:jc w:val="left"/>
      </w:pPr>
      <w:r>
        <w:rPr>
          <w:rFonts w:ascii="Calibri" w:cs="Calibri" w:eastAsia="Calibri" w:hAnsi="Calibri"/>
          <w:b w:val="false"/>
          <w:bCs w:val="false"/>
          <w:i w:val="false"/>
          <w:iCs w:val="false"/>
          <w:color w:val="111111"/>
          <w:sz w:val="22"/>
          <w:szCs w:val="22"/>
        </w:rPr>
        <w:t xml:space="preserve">The separation matters for two reasons. First, ERP field mapping is a </w:t>
      </w:r>
      <w:r>
        <w:rPr>
          <w:rFonts w:ascii="Calibri" w:cs="Calibri" w:eastAsia="Calibri" w:hAnsi="Calibri"/>
          <w:b w:val="false"/>
          <w:bCs w:val="false"/>
          <w:i/>
          <w:iCs/>
          <w:color w:val="111111"/>
          <w:sz w:val="22"/>
          <w:szCs w:val="22"/>
        </w:rPr>
        <w:t xml:space="preserve">business configuration problem</w:t>
      </w:r>
      <w:r>
        <w:rPr>
          <w:rFonts w:ascii="Calibri" w:cs="Calibri" w:eastAsia="Calibri" w:hAnsi="Calibri"/>
          <w:b w:val="false"/>
          <w:bCs w:val="false"/>
          <w:i w:val="false"/>
          <w:iCs w:val="false"/>
          <w:color w:val="111111"/>
          <w:sz w:val="22"/>
          <w:szCs w:val="22"/>
        </w:rPr>
        <w:t xml:space="preserve"> — it is owned by ERP admins and implementation consultants, not mandate analysts. Second, ERP schemas are </w:t>
      </w:r>
      <w:r>
        <w:rPr>
          <w:rFonts w:ascii="Calibri" w:cs="Calibri" w:eastAsia="Calibri" w:hAnsi="Calibri"/>
          <w:b w:val="false"/>
          <w:bCs w:val="false"/>
          <w:i/>
          <w:iCs/>
          <w:color w:val="111111"/>
          <w:sz w:val="22"/>
          <w:szCs w:val="22"/>
        </w:rPr>
        <w:t xml:space="preserve">customer-specific</w:t>
      </w:r>
      <w:r>
        <w:rPr>
          <w:rFonts w:ascii="Calibri" w:cs="Calibri" w:eastAsia="Calibri" w:hAnsi="Calibri"/>
          <w:b w:val="false"/>
          <w:bCs w:val="false"/>
          <w:i w:val="false"/>
          <w:iCs w:val="false"/>
          <w:color w:val="111111"/>
          <w:sz w:val="22"/>
          <w:szCs w:val="22"/>
        </w:rPr>
        <w:t xml:space="preserve"> — every SAP customer can extend IDoc with custom Z-segments, every NetSuite customer has custbody_* custom fields. A rigid ERP adapter breaks on the first customer that has non-standard fields. Stage 1 must be entirely configuration-driven with no hardcoded field assumptions.</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2  ERP Integration — The New Problem Space</w:t>
      </w:r>
    </w:p>
    <w:p>
      <w:pPr>
        <w:pStyle w:val="Heading2"/>
        <w:spacing w:after="120" w:before="280"/>
      </w:pPr>
      <w:r>
        <w:rPr>
          <w:rFonts w:ascii="Calibri" w:cs="Calibri" w:eastAsia="Calibri" w:hAnsi="Calibri"/>
          <w:b/>
          <w:bCs/>
          <w:color w:val="1A4A8A"/>
          <w:sz w:val="30"/>
          <w:szCs w:val="30"/>
        </w:rPr>
        <w:t xml:space="preserve">2.1  Why ERPs are Different from CTC Formats</w:t>
      </w:r>
    </w:p>
    <w:p>
      <w:pPr>
        <w:spacing w:after="80" w:before="80"/>
        <w:jc w:val="left"/>
      </w:pPr>
      <w:r>
        <w:rPr>
          <w:rFonts w:ascii="Calibri" w:cs="Calibri" w:eastAsia="Calibri" w:hAnsi="Calibri"/>
          <w:b w:val="false"/>
          <w:bCs w:val="false"/>
          <w:i w:val="false"/>
          <w:iCs w:val="false"/>
          <w:color w:val="111111"/>
          <w:sz w:val="22"/>
          <w:szCs w:val="22"/>
        </w:rPr>
        <w:t xml:space="preserve">CTC mandate formats (UBL, FatturaPA, CFDI) are designed to carry invoice data for tax authority consumption. Their field names are standardised, their schemas are published, and their semantics are stable. ERP data models are designed to run a business. The same invoice concept may be spread across dozens of tables, named according to the ERP vendor's internal conventions, and extended with hundreds of customer-specific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2800"/>
        <w:gridCol w:w="4900"/>
      </w:tblGrid>
      <w:tr>
        <w:trPr>
          <w:tblHeader/>
        </w:trPr>
        <w:tc>
          <w:tcPr>
            <w:tcW w:type="dxa" w:w="1800"/>
            <w:shd w:fill="0F2040" w:val="clear"/>
            <w:vAlign w:val="top"/>
          </w:tcPr>
          <w:p>
            <w:pPr>
              <w:spacing w:after="60" w:before="60"/>
              <w:ind w:left="72"/>
            </w:pPr>
            <w:r>
              <w:rPr>
                <w:rFonts w:ascii="Calibri" w:cs="Calibri" w:eastAsia="Calibri" w:hAnsi="Calibri"/>
                <w:b/>
                <w:bCs/>
                <w:color w:val="FFFFFF"/>
                <w:sz w:val="18"/>
                <w:szCs w:val="18"/>
              </w:rPr>
              <w:t xml:space="preserve">Dimension</w:t>
            </w:r>
          </w:p>
        </w:tc>
        <w:tc>
          <w:tcPr>
            <w:tcW w:type="dxa" w:w="2800"/>
            <w:shd w:fill="0F2040" w:val="clear"/>
            <w:vAlign w:val="top"/>
          </w:tcPr>
          <w:p>
            <w:pPr>
              <w:spacing w:after="60" w:before="60"/>
              <w:ind w:left="72"/>
            </w:pPr>
            <w:r>
              <w:rPr>
                <w:rFonts w:ascii="Calibri" w:cs="Calibri" w:eastAsia="Calibri" w:hAnsi="Calibri"/>
                <w:b/>
                <w:bCs/>
                <w:color w:val="FFFFFF"/>
                <w:sz w:val="18"/>
                <w:szCs w:val="18"/>
              </w:rPr>
              <w:t xml:space="preserve">CTC mandate format</w:t>
            </w:r>
          </w:p>
        </w:tc>
        <w:tc>
          <w:tcPr>
            <w:tcW w:type="dxa" w:w="4900"/>
            <w:shd w:fill="0F2040" w:val="clear"/>
            <w:vAlign w:val="top"/>
          </w:tcPr>
          <w:p>
            <w:pPr>
              <w:spacing w:after="60" w:before="60"/>
              <w:ind w:left="72"/>
            </w:pPr>
            <w:r>
              <w:rPr>
                <w:rFonts w:ascii="Calibri" w:cs="Calibri" w:eastAsia="Calibri" w:hAnsi="Calibri"/>
                <w:b/>
                <w:bCs/>
                <w:color w:val="FFFFFF"/>
                <w:sz w:val="18"/>
                <w:szCs w:val="18"/>
              </w:rPr>
              <w:t xml:space="preserve">ERP output format</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Field names</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Standardised by authority (cbc:ID, DatiGenerali/Numero)</w:t>
            </w:r>
          </w:p>
        </w:tc>
        <w:tc>
          <w:tcPr>
            <w:tcW w:type="dxa" w:w="4900"/>
            <w:shd w:fill="EEF5FC" w:val="clear"/>
            <w:vAlign w:val="top"/>
          </w:tcPr>
          <w:p>
            <w:pPr>
              <w:spacing w:after="60" w:before="60"/>
              <w:ind w:left="72"/>
            </w:pPr>
            <w:r>
              <w:rPr>
                <w:rFonts w:ascii="Calibri" w:cs="Calibri" w:eastAsia="Calibri" w:hAnsi="Calibri"/>
                <w:b w:val="false"/>
                <w:bCs w:val="false"/>
                <w:color w:val="111111"/>
                <w:sz w:val="18"/>
                <w:szCs w:val="18"/>
              </w:rPr>
              <w:t xml:space="preserve">ERP-vendor-specific (E1EDK01-BELNR, entity.id, custbody_inv_ref)</w:t>
            </w:r>
          </w:p>
        </w:tc>
      </w:tr>
      <w:tr>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Schema stability</w:t>
            </w:r>
          </w:p>
        </w:tc>
        <w:tc>
          <w:tcPr>
            <w:tcW w:type="dxa" w:w="2800"/>
            <w:shd w:fill="FFFFFF" w:val="clear"/>
            <w:vAlign w:val="top"/>
          </w:tcPr>
          <w:p>
            <w:pPr>
              <w:spacing w:after="60" w:before="60"/>
              <w:ind w:left="72"/>
            </w:pPr>
            <w:r>
              <w:rPr>
                <w:rFonts w:ascii="Calibri" w:cs="Calibri" w:eastAsia="Calibri" w:hAnsi="Calibri"/>
                <w:b w:val="false"/>
                <w:bCs w:val="false"/>
                <w:color w:val="111111"/>
                <w:sz w:val="18"/>
                <w:szCs w:val="18"/>
              </w:rPr>
              <w:t xml:space="preserve">Version-controlled by authority; changes are announced</w:t>
            </w:r>
          </w:p>
        </w:tc>
        <w:tc>
          <w:tcPr>
            <w:tcW w:type="dxa" w:w="4900"/>
            <w:shd w:fill="FFFFFF" w:val="clear"/>
            <w:vAlign w:val="top"/>
          </w:tcPr>
          <w:p>
            <w:pPr>
              <w:spacing w:after="60" w:before="60"/>
              <w:ind w:left="72"/>
            </w:pPr>
            <w:r>
              <w:rPr>
                <w:rFonts w:ascii="Calibri" w:cs="Calibri" w:eastAsia="Calibri" w:hAnsi="Calibri"/>
                <w:b w:val="false"/>
                <w:bCs w:val="false"/>
                <w:color w:val="111111"/>
                <w:sz w:val="18"/>
                <w:szCs w:val="18"/>
              </w:rPr>
              <w:t xml:space="preserve">Customer-controlled; custom fields added without notice</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Tax representation</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Explicit tax subtotals, categories, rates</w:t>
            </w:r>
          </w:p>
        </w:tc>
        <w:tc>
          <w:tcPr>
            <w:tcW w:type="dxa" w:w="4900"/>
            <w:shd w:fill="EEF5FC" w:val="clear"/>
            <w:vAlign w:val="top"/>
          </w:tcPr>
          <w:p>
            <w:pPr>
              <w:spacing w:after="60" w:before="60"/>
              <w:ind w:left="72"/>
            </w:pPr>
            <w:r>
              <w:rPr>
                <w:rFonts w:ascii="Calibri" w:cs="Calibri" w:eastAsia="Calibri" w:hAnsi="Calibri"/>
                <w:b w:val="false"/>
                <w:bCs w:val="false"/>
                <w:color w:val="111111"/>
                <w:sz w:val="18"/>
                <w:szCs w:val="18"/>
              </w:rPr>
              <w:t xml:space="preserve">Often split across GL account codes, tax codes, and posting keys</w:t>
            </w:r>
          </w:p>
        </w:tc>
      </w:tr>
      <w:tr>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Party data</w:t>
            </w:r>
          </w:p>
        </w:tc>
        <w:tc>
          <w:tcPr>
            <w:tcW w:type="dxa" w:w="2800"/>
            <w:shd w:fill="FFFFFF" w:val="clear"/>
            <w:vAlign w:val="top"/>
          </w:tcPr>
          <w:p>
            <w:pPr>
              <w:spacing w:after="60" w:before="60"/>
              <w:ind w:left="72"/>
            </w:pPr>
            <w:r>
              <w:rPr>
                <w:rFonts w:ascii="Calibri" w:cs="Calibri" w:eastAsia="Calibri" w:hAnsi="Calibri"/>
                <w:b w:val="false"/>
                <w:bCs w:val="false"/>
                <w:color w:val="111111"/>
                <w:sz w:val="18"/>
                <w:szCs w:val="18"/>
              </w:rPr>
              <w:t xml:space="preserve">Structured party objects with VAT numbers</w:t>
            </w:r>
          </w:p>
        </w:tc>
        <w:tc>
          <w:tcPr>
            <w:tcW w:type="dxa" w:w="4900"/>
            <w:shd w:fill="FFFFFF" w:val="clear"/>
            <w:vAlign w:val="top"/>
          </w:tcPr>
          <w:p>
            <w:pPr>
              <w:spacing w:after="60" w:before="60"/>
              <w:ind w:left="72"/>
            </w:pPr>
            <w:r>
              <w:rPr>
                <w:rFonts w:ascii="Calibri" w:cs="Calibri" w:eastAsia="Calibri" w:hAnsi="Calibri"/>
                <w:b w:val="false"/>
                <w:bCs w:val="false"/>
                <w:color w:val="111111"/>
                <w:sz w:val="18"/>
                <w:szCs w:val="18"/>
              </w:rPr>
              <w:t xml:space="preserve">Entity IDs that require lookup to a customer/vendor master</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Custom extensions</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Fixed extension points (CFDI complementos, UBL CustomizationID)</w:t>
            </w:r>
          </w:p>
        </w:tc>
        <w:tc>
          <w:tcPr>
            <w:tcW w:type="dxa" w:w="4900"/>
            <w:shd w:fill="EEF5FC" w:val="clear"/>
            <w:vAlign w:val="top"/>
          </w:tcPr>
          <w:p>
            <w:pPr>
              <w:spacing w:after="60" w:before="60"/>
              <w:ind w:left="72"/>
            </w:pPr>
            <w:r>
              <w:rPr>
                <w:rFonts w:ascii="Calibri" w:cs="Calibri" w:eastAsia="Calibri" w:hAnsi="Calibri"/>
                <w:b w:val="false"/>
                <w:bCs w:val="false"/>
                <w:color w:val="111111"/>
                <w:sz w:val="18"/>
                <w:szCs w:val="18"/>
              </w:rPr>
              <w:t xml:space="preserve">Unlimited custom fields; naming convention varies by customer</w:t>
            </w:r>
          </w:p>
        </w:tc>
      </w:tr>
      <w:tr>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Delivery model</w:t>
            </w:r>
          </w:p>
        </w:tc>
        <w:tc>
          <w:tcPr>
            <w:tcW w:type="dxa" w:w="2800"/>
            <w:shd w:fill="FFFFFF" w:val="clear"/>
            <w:vAlign w:val="top"/>
          </w:tcPr>
          <w:p>
            <w:pPr>
              <w:spacing w:after="60" w:before="60"/>
              <w:ind w:left="72"/>
            </w:pPr>
            <w:r>
              <w:rPr>
                <w:rFonts w:ascii="Calibri" w:cs="Calibri" w:eastAsia="Calibri" w:hAnsi="Calibri"/>
                <w:b w:val="false"/>
                <w:bCs w:val="false"/>
                <w:color w:val="111111"/>
                <w:sz w:val="18"/>
                <w:szCs w:val="18"/>
              </w:rPr>
              <w:t xml:space="preserve">Push to authority</w:t>
            </w:r>
          </w:p>
        </w:tc>
        <w:tc>
          <w:tcPr>
            <w:tcW w:type="dxa" w:w="4900"/>
            <w:shd w:fill="FFFFFF" w:val="clear"/>
            <w:vAlign w:val="top"/>
          </w:tcPr>
          <w:p>
            <w:pPr>
              <w:spacing w:after="60" w:before="60"/>
              <w:ind w:left="72"/>
            </w:pPr>
            <w:r>
              <w:rPr>
                <w:rFonts w:ascii="Calibri" w:cs="Calibri" w:eastAsia="Calibri" w:hAnsi="Calibri"/>
                <w:b w:val="false"/>
                <w:bCs w:val="false"/>
                <w:color w:val="111111"/>
                <w:sz w:val="18"/>
                <w:szCs w:val="18"/>
              </w:rPr>
              <w:t xml:space="preserve">Pull from ERP via API or receive via event/webhook</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Who configures it</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Mandate analyst reads authority spec</w:t>
            </w:r>
          </w:p>
        </w:tc>
        <w:tc>
          <w:tcPr>
            <w:tcW w:type="dxa" w:w="4900"/>
            <w:shd w:fill="EEF5FC" w:val="clear"/>
            <w:vAlign w:val="top"/>
          </w:tcPr>
          <w:p>
            <w:pPr>
              <w:spacing w:after="60" w:before="60"/>
              <w:ind w:left="72"/>
            </w:pPr>
            <w:r>
              <w:rPr>
                <w:rFonts w:ascii="Calibri" w:cs="Calibri" w:eastAsia="Calibri" w:hAnsi="Calibri"/>
                <w:b w:val="false"/>
                <w:bCs w:val="false"/>
                <w:color w:val="111111"/>
                <w:sz w:val="18"/>
                <w:szCs w:val="18"/>
              </w:rPr>
              <w:t xml:space="preserve">ERP admin knows their own system; may not know tax semantics</w:t>
            </w:r>
          </w:p>
        </w:tc>
      </w:tr>
    </w:tbl>
    <w:p>
      <w:pPr>
        <w:pStyle w:val="Heading2"/>
        <w:spacing w:after="120" w:before="280"/>
      </w:pPr>
      <w:r>
        <w:rPr>
          <w:rFonts w:ascii="Calibri" w:cs="Calibri" w:eastAsia="Calibri" w:hAnsi="Calibri"/>
          <w:b/>
          <w:bCs/>
          <w:color w:val="1A4A8A"/>
          <w:sz w:val="30"/>
          <w:szCs w:val="30"/>
        </w:rPr>
        <w:t xml:space="preserve">2.2  ERP Output Modalities</w:t>
      </w:r>
    </w:p>
    <w:p>
      <w:pPr>
        <w:spacing w:after="80" w:before="80"/>
        <w:jc w:val="left"/>
      </w:pPr>
      <w:r>
        <w:rPr>
          <w:rFonts w:ascii="Calibri" w:cs="Calibri" w:eastAsia="Calibri" w:hAnsi="Calibri"/>
          <w:b w:val="false"/>
          <w:bCs w:val="false"/>
          <w:i w:val="false"/>
          <w:iCs w:val="false"/>
          <w:color w:val="111111"/>
          <w:sz w:val="22"/>
          <w:szCs w:val="22"/>
        </w:rPr>
        <w:t xml:space="preserve">ERP systems emit invoice data in several ways. The Stage 1 connector must handle all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600"/>
        <w:gridCol w:w="2400"/>
        <w:gridCol w:w="2000"/>
        <w:gridCol w:w="3600"/>
      </w:tblGrid>
      <w:tr>
        <w:trPr>
          <w:tblHeader/>
        </w:trPr>
        <w:tc>
          <w:tcPr>
            <w:tcW w:type="dxa" w:w="1600"/>
            <w:shd w:fill="0F2040" w:val="clear"/>
            <w:vAlign w:val="top"/>
          </w:tcPr>
          <w:p>
            <w:pPr>
              <w:spacing w:after="60" w:before="60"/>
              <w:ind w:left="72"/>
            </w:pPr>
            <w:r>
              <w:rPr>
                <w:rFonts w:ascii="Calibri" w:cs="Calibri" w:eastAsia="Calibri" w:hAnsi="Calibri"/>
                <w:b/>
                <w:bCs/>
                <w:color w:val="FFFFFF"/>
                <w:sz w:val="18"/>
                <w:szCs w:val="18"/>
              </w:rPr>
              <w:t xml:space="preserve">ERP</w:t>
            </w:r>
          </w:p>
        </w:tc>
        <w:tc>
          <w:tcPr>
            <w:tcW w:type="dxa" w:w="2400"/>
            <w:shd w:fill="0F2040" w:val="clear"/>
            <w:vAlign w:val="top"/>
          </w:tcPr>
          <w:p>
            <w:pPr>
              <w:spacing w:after="60" w:before="60"/>
              <w:ind w:left="72"/>
            </w:pPr>
            <w:r>
              <w:rPr>
                <w:rFonts w:ascii="Calibri" w:cs="Calibri" w:eastAsia="Calibri" w:hAnsi="Calibri"/>
                <w:b/>
                <w:bCs/>
                <w:color w:val="FFFFFF"/>
                <w:sz w:val="18"/>
                <w:szCs w:val="18"/>
              </w:rPr>
              <w:t xml:space="preserve">Primary modality</w:t>
            </w:r>
          </w:p>
        </w:tc>
        <w:tc>
          <w:tcPr>
            <w:tcW w:type="dxa" w:w="2000"/>
            <w:shd w:fill="0F2040" w:val="clear"/>
            <w:vAlign w:val="top"/>
          </w:tcPr>
          <w:p>
            <w:pPr>
              <w:spacing w:after="60" w:before="60"/>
              <w:ind w:left="72"/>
            </w:pPr>
            <w:r>
              <w:rPr>
                <w:rFonts w:ascii="Calibri" w:cs="Calibri" w:eastAsia="Calibri" w:hAnsi="Calibri"/>
                <w:b/>
                <w:bCs/>
                <w:color w:val="FFFFFF"/>
                <w:sz w:val="18"/>
                <w:szCs w:val="18"/>
              </w:rPr>
              <w:t xml:space="preserve">Secondary modalities</w:t>
            </w:r>
          </w:p>
        </w:tc>
        <w:tc>
          <w:tcPr>
            <w:tcW w:type="dxa" w:w="3600"/>
            <w:shd w:fill="0F2040" w:val="clear"/>
            <w:vAlign w:val="top"/>
          </w:tcPr>
          <w:p>
            <w:pPr>
              <w:spacing w:after="60" w:before="60"/>
              <w:ind w:left="72"/>
            </w:pPr>
            <w:r>
              <w:rPr>
                <w:rFonts w:ascii="Calibri" w:cs="Calibri" w:eastAsia="Calibri" w:hAnsi="Calibri"/>
                <w:b/>
                <w:bCs/>
                <w:color w:val="FFFFFF"/>
                <w:sz w:val="18"/>
                <w:szCs w:val="18"/>
              </w:rPr>
              <w:t xml:space="preserve">Key schema characteristics</w:t>
            </w:r>
          </w:p>
        </w:tc>
      </w:tr>
      <w:tr>
        <w:tc>
          <w:tcPr>
            <w:tcW w:type="dxa" w:w="1600"/>
            <w:shd w:fill="EEF5FC" w:val="clear"/>
            <w:vAlign w:val="top"/>
          </w:tcPr>
          <w:p>
            <w:pPr>
              <w:spacing w:after="60" w:before="60"/>
              <w:ind w:left="72"/>
            </w:pPr>
            <w:r>
              <w:rPr>
                <w:rFonts w:ascii="Calibri" w:cs="Calibri" w:eastAsia="Calibri" w:hAnsi="Calibri"/>
                <w:b w:val="false"/>
                <w:bCs w:val="false"/>
                <w:color w:val="111111"/>
                <w:sz w:val="18"/>
                <w:szCs w:val="18"/>
              </w:rPr>
              <w:t xml:space="preserve">SAP S/4HANA / ECC</w:t>
            </w:r>
          </w:p>
        </w:tc>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INVOIC02 IDoc (XML or flat file)</w:t>
            </w:r>
          </w:p>
        </w:tc>
        <w:tc>
          <w:tcPr>
            <w:tcW w:type="dxa" w:w="2000"/>
            <w:shd w:fill="EEF5FC" w:val="clear"/>
            <w:vAlign w:val="top"/>
          </w:tcPr>
          <w:p>
            <w:pPr>
              <w:spacing w:after="60" w:before="60"/>
              <w:ind w:left="72"/>
            </w:pPr>
            <w:r>
              <w:rPr>
                <w:rFonts w:ascii="Calibri" w:cs="Calibri" w:eastAsia="Calibri" w:hAnsi="Calibri"/>
                <w:b w:val="false"/>
                <w:bCs w:val="false"/>
                <w:color w:val="111111"/>
                <w:sz w:val="18"/>
                <w:szCs w:val="18"/>
              </w:rPr>
              <w:t xml:space="preserve">RFC/BAPI calls, BW extracts, S/4 APIs</w:t>
            </w:r>
          </w:p>
        </w:tc>
        <w:tc>
          <w:tcPr>
            <w:tcW w:type="dxa" w:w="3600"/>
            <w:shd w:fill="EEF5FC" w:val="clear"/>
            <w:vAlign w:val="top"/>
          </w:tcPr>
          <w:p>
            <w:pPr>
              <w:spacing w:after="60" w:before="60"/>
              <w:ind w:left="72"/>
            </w:pPr>
            <w:r>
              <w:rPr>
                <w:rFonts w:ascii="Calibri" w:cs="Calibri" w:eastAsia="Calibri" w:hAnsi="Calibri"/>
                <w:b w:val="false"/>
                <w:bCs w:val="false"/>
                <w:color w:val="111111"/>
                <w:sz w:val="18"/>
                <w:szCs w:val="18"/>
              </w:rPr>
              <w:t xml:space="preserve">Segment-based (E1EDK01 header, E1EDP01 lines, E1EDKT1 text); Z-segments for custom data; tax via MWSKZ tax codes mapped to FI posting keys</w:t>
            </w:r>
          </w:p>
        </w:tc>
      </w:tr>
      <w:tr>
        <w:tc>
          <w:tcPr>
            <w:tcW w:type="dxa" w:w="1600"/>
            <w:shd w:fill="FFFFFF" w:val="clear"/>
            <w:vAlign w:val="top"/>
          </w:tcPr>
          <w:p>
            <w:pPr>
              <w:spacing w:after="60" w:before="60"/>
              <w:ind w:left="72"/>
            </w:pPr>
            <w:r>
              <w:rPr>
                <w:rFonts w:ascii="Calibri" w:cs="Calibri" w:eastAsia="Calibri" w:hAnsi="Calibri"/>
                <w:b w:val="false"/>
                <w:bCs w:val="false"/>
                <w:color w:val="111111"/>
                <w:sz w:val="18"/>
                <w:szCs w:val="18"/>
              </w:rPr>
              <w:t xml:space="preserve">Oracle Fusion Cloud</w:t>
            </w:r>
          </w:p>
        </w:tc>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REST API (JSON, BI Publisher XML)</w:t>
            </w:r>
          </w:p>
        </w:tc>
        <w:tc>
          <w:tcPr>
            <w:tcW w:type="dxa" w:w="2000"/>
            <w:shd w:fill="FFFFFF" w:val="clear"/>
            <w:vAlign w:val="top"/>
          </w:tcPr>
          <w:p>
            <w:pPr>
              <w:spacing w:after="60" w:before="60"/>
              <w:ind w:left="72"/>
            </w:pPr>
            <w:r>
              <w:rPr>
                <w:rFonts w:ascii="Calibri" w:cs="Calibri" w:eastAsia="Calibri" w:hAnsi="Calibri"/>
                <w:b w:val="false"/>
                <w:bCs w:val="false"/>
                <w:color w:val="111111"/>
                <w:sz w:val="18"/>
                <w:szCs w:val="18"/>
              </w:rPr>
              <w:t xml:space="preserve">SOAP, Oracle Integration Cloud events</w:t>
            </w:r>
          </w:p>
        </w:tc>
        <w:tc>
          <w:tcPr>
            <w:tcW w:type="dxa" w:w="3600"/>
            <w:shd w:fill="FFFFFF" w:val="clear"/>
            <w:vAlign w:val="top"/>
          </w:tcPr>
          <w:p>
            <w:pPr>
              <w:spacing w:after="60" w:before="60"/>
              <w:ind w:left="72"/>
            </w:pPr>
            <w:r>
              <w:rPr>
                <w:rFonts w:ascii="Calibri" w:cs="Calibri" w:eastAsia="Calibri" w:hAnsi="Calibri"/>
                <w:b w:val="false"/>
                <w:bCs w:val="false"/>
                <w:color w:val="111111"/>
                <w:sz w:val="18"/>
                <w:szCs w:val="18"/>
              </w:rPr>
              <w:t xml:space="preserve">Nested JSON with internal entity IDs; SuiteTax for tax; custom descriptive flexfields (DFF) as key:value pairs</w:t>
            </w:r>
          </w:p>
        </w:tc>
      </w:tr>
      <w:tr>
        <w:tc>
          <w:tcPr>
            <w:tcW w:type="dxa" w:w="1600"/>
            <w:shd w:fill="EEF5FC" w:val="clear"/>
            <w:vAlign w:val="top"/>
          </w:tcPr>
          <w:p>
            <w:pPr>
              <w:spacing w:after="60" w:before="60"/>
              <w:ind w:left="72"/>
            </w:pPr>
            <w:r>
              <w:rPr>
                <w:rFonts w:ascii="Calibri" w:cs="Calibri" w:eastAsia="Calibri" w:hAnsi="Calibri"/>
                <w:b w:val="false"/>
                <w:bCs w:val="false"/>
                <w:color w:val="111111"/>
                <w:sz w:val="18"/>
                <w:szCs w:val="18"/>
              </w:rPr>
              <w:t xml:space="preserve">NetSuite</w:t>
            </w:r>
          </w:p>
        </w:tc>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REST record API (JSON)</w:t>
            </w:r>
          </w:p>
        </w:tc>
        <w:tc>
          <w:tcPr>
            <w:tcW w:type="dxa" w:w="2000"/>
            <w:shd w:fill="EEF5FC" w:val="clear"/>
            <w:vAlign w:val="top"/>
          </w:tcPr>
          <w:p>
            <w:pPr>
              <w:spacing w:after="60" w:before="60"/>
              <w:ind w:left="72"/>
            </w:pPr>
            <w:r>
              <w:rPr>
                <w:rFonts w:ascii="Calibri" w:cs="Calibri" w:eastAsia="Calibri" w:hAnsi="Calibri"/>
                <w:b w:val="false"/>
                <w:bCs w:val="false"/>
                <w:color w:val="111111"/>
                <w:sz w:val="18"/>
                <w:szCs w:val="18"/>
              </w:rPr>
              <w:t xml:space="preserve">SuiteTalk SOAP, SuiteScript events, CSV export</w:t>
            </w:r>
          </w:p>
        </w:tc>
        <w:tc>
          <w:tcPr>
            <w:tcW w:type="dxa" w:w="3600"/>
            <w:shd w:fill="EEF5FC" w:val="clear"/>
            <w:vAlign w:val="top"/>
          </w:tcPr>
          <w:p>
            <w:pPr>
              <w:spacing w:after="60" w:before="60"/>
              <w:ind w:left="72"/>
            </w:pPr>
            <w:r>
              <w:rPr>
                <w:rFonts w:ascii="Calibri" w:cs="Calibri" w:eastAsia="Calibri" w:hAnsi="Calibri"/>
                <w:b w:val="false"/>
                <w:bCs w:val="false"/>
                <w:color w:val="111111"/>
                <w:sz w:val="18"/>
                <w:szCs w:val="18"/>
              </w:rPr>
              <w:t xml:space="preserve">Flat JSON with ERP-internal field names; custbody_* for custom fields; taxDetails not exposed via REST — requires SuiteTax workaround</w:t>
            </w:r>
          </w:p>
        </w:tc>
      </w:tr>
      <w:tr>
        <w:tc>
          <w:tcPr>
            <w:tcW w:type="dxa" w:w="1600"/>
            <w:shd w:fill="FFFFFF" w:val="clear"/>
            <w:vAlign w:val="top"/>
          </w:tcPr>
          <w:p>
            <w:pPr>
              <w:spacing w:after="60" w:before="60"/>
              <w:ind w:left="72"/>
            </w:pPr>
            <w:r>
              <w:rPr>
                <w:rFonts w:ascii="Calibri" w:cs="Calibri" w:eastAsia="Calibri" w:hAnsi="Calibri"/>
                <w:b w:val="false"/>
                <w:bCs w:val="false"/>
                <w:color w:val="111111"/>
                <w:sz w:val="18"/>
                <w:szCs w:val="18"/>
              </w:rPr>
              <w:t xml:space="preserve">Microsoft Dynamics 365</w:t>
            </w:r>
          </w:p>
        </w:tc>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Dataverse API (OData JSON)</w:t>
            </w:r>
          </w:p>
        </w:tc>
        <w:tc>
          <w:tcPr>
            <w:tcW w:type="dxa" w:w="2000"/>
            <w:shd w:fill="FFFFFF" w:val="clear"/>
            <w:vAlign w:val="top"/>
          </w:tcPr>
          <w:p>
            <w:pPr>
              <w:spacing w:after="60" w:before="60"/>
              <w:ind w:left="72"/>
            </w:pPr>
            <w:r>
              <w:rPr>
                <w:rFonts w:ascii="Calibri" w:cs="Calibri" w:eastAsia="Calibri" w:hAnsi="Calibri"/>
                <w:b w:val="false"/>
                <w:bCs w:val="false"/>
                <w:color w:val="111111"/>
                <w:sz w:val="18"/>
                <w:szCs w:val="18"/>
              </w:rPr>
              <w:t xml:space="preserve">Finance &amp; Operations direct queries, Power Automate flows</w:t>
            </w:r>
          </w:p>
        </w:tc>
        <w:tc>
          <w:tcPr>
            <w:tcW w:type="dxa" w:w="3600"/>
            <w:shd w:fill="FFFFFF" w:val="clear"/>
            <w:vAlign w:val="top"/>
          </w:tcPr>
          <w:p>
            <w:pPr>
              <w:spacing w:after="60" w:before="60"/>
              <w:ind w:left="72"/>
            </w:pPr>
            <w:r>
              <w:rPr>
                <w:rFonts w:ascii="Calibri" w:cs="Calibri" w:eastAsia="Calibri" w:hAnsi="Calibri"/>
                <w:b w:val="false"/>
                <w:bCs w:val="false"/>
                <w:color w:val="111111"/>
                <w:sz w:val="18"/>
                <w:szCs w:val="18"/>
              </w:rPr>
              <w:t xml:space="preserve">Entity-model JSON; tax via TaxGroup and TaxItemGroup codes; custom entities via solutions</w:t>
            </w:r>
          </w:p>
        </w:tc>
      </w:tr>
      <w:tr>
        <w:tc>
          <w:tcPr>
            <w:tcW w:type="dxa" w:w="1600"/>
            <w:shd w:fill="EEF5FC" w:val="clear"/>
            <w:vAlign w:val="top"/>
          </w:tcPr>
          <w:p>
            <w:pPr>
              <w:spacing w:after="60" w:before="60"/>
              <w:ind w:left="72"/>
            </w:pPr>
            <w:r>
              <w:rPr>
                <w:rFonts w:ascii="Calibri" w:cs="Calibri" w:eastAsia="Calibri" w:hAnsi="Calibri"/>
                <w:b w:val="false"/>
                <w:bCs w:val="false"/>
                <w:color w:val="111111"/>
                <w:sz w:val="18"/>
                <w:szCs w:val="18"/>
              </w:rPr>
              <w:t xml:space="preserve">Workday</w:t>
            </w:r>
          </w:p>
        </w:tc>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REST API (JSON / XML)</w:t>
            </w:r>
          </w:p>
        </w:tc>
        <w:tc>
          <w:tcPr>
            <w:tcW w:type="dxa" w:w="2000"/>
            <w:shd w:fill="EEF5FC" w:val="clear"/>
            <w:vAlign w:val="top"/>
          </w:tcPr>
          <w:p>
            <w:pPr>
              <w:spacing w:after="60" w:before="60"/>
              <w:ind w:left="72"/>
            </w:pPr>
            <w:r>
              <w:rPr>
                <w:rFonts w:ascii="Calibri" w:cs="Calibri" w:eastAsia="Calibri" w:hAnsi="Calibri"/>
                <w:b w:val="false"/>
                <w:bCs w:val="false"/>
                <w:color w:val="111111"/>
                <w:sz w:val="18"/>
                <w:szCs w:val="18"/>
              </w:rPr>
              <w:t xml:space="preserve">RaaS reports, EIB integration</w:t>
            </w:r>
          </w:p>
        </w:tc>
        <w:tc>
          <w:tcPr>
            <w:tcW w:type="dxa" w:w="3600"/>
            <w:shd w:fill="EEF5FC" w:val="clear"/>
            <w:vAlign w:val="top"/>
          </w:tcPr>
          <w:p>
            <w:pPr>
              <w:spacing w:after="60" w:before="60"/>
              <w:ind w:left="72"/>
            </w:pPr>
            <w:r>
              <w:rPr>
                <w:rFonts w:ascii="Calibri" w:cs="Calibri" w:eastAsia="Calibri" w:hAnsi="Calibri"/>
                <w:b w:val="false"/>
                <w:bCs w:val="false"/>
                <w:color w:val="111111"/>
                <w:sz w:val="18"/>
                <w:szCs w:val="18"/>
              </w:rPr>
              <w:t xml:space="preserve">Revenue management model; tax codes via worktags; custom fields via Extended Business Objects (EBO)</w:t>
            </w:r>
          </w:p>
        </w:tc>
      </w:tr>
      <w:tr>
        <w:tc>
          <w:tcPr>
            <w:tcW w:type="dxa" w:w="1600"/>
            <w:shd w:fill="FFFFFF" w:val="clear"/>
            <w:vAlign w:val="top"/>
          </w:tcPr>
          <w:p>
            <w:pPr>
              <w:spacing w:after="60" w:before="60"/>
              <w:ind w:left="72"/>
            </w:pPr>
            <w:r>
              <w:rPr>
                <w:rFonts w:ascii="Calibri" w:cs="Calibri" w:eastAsia="Calibri" w:hAnsi="Calibri"/>
                <w:b w:val="false"/>
                <w:bCs w:val="false"/>
                <w:color w:val="111111"/>
                <w:sz w:val="18"/>
                <w:szCs w:val="18"/>
              </w:rPr>
              <w:t xml:space="preserve">Custom ERP</w:t>
            </w:r>
          </w:p>
        </w:tc>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Varies: JSON, CSV, XML, proprietary</w:t>
            </w:r>
          </w:p>
        </w:tc>
        <w:tc>
          <w:tcPr>
            <w:tcW w:type="dxa" w:w="2000"/>
            <w:shd w:fill="FFFFFF" w:val="clear"/>
            <w:vAlign w:val="top"/>
          </w:tcPr>
          <w:p>
            <w:pPr>
              <w:spacing w:after="60" w:before="60"/>
              <w:ind w:left="72"/>
            </w:pPr>
            <w:r>
              <w:rPr>
                <w:rFonts w:ascii="Calibri" w:cs="Calibri" w:eastAsia="Calibri" w:hAnsi="Calibri"/>
                <w:b w:val="false"/>
                <w:bCs w:val="false"/>
                <w:color w:val="111111"/>
                <w:sz w:val="18"/>
                <w:szCs w:val="18"/>
              </w:rPr>
              <w:t xml:space="preserve">Direct DB extract, file drop, message queue</w:t>
            </w:r>
          </w:p>
        </w:tc>
        <w:tc>
          <w:tcPr>
            <w:tcW w:type="dxa" w:w="3600"/>
            <w:shd w:fill="FFFFFF" w:val="clear"/>
            <w:vAlign w:val="top"/>
          </w:tcPr>
          <w:p>
            <w:pPr>
              <w:spacing w:after="60" w:before="60"/>
              <w:ind w:left="72"/>
            </w:pPr>
            <w:r>
              <w:rPr>
                <w:rFonts w:ascii="Calibri" w:cs="Calibri" w:eastAsia="Calibri" w:hAnsi="Calibri"/>
                <w:b w:val="false"/>
                <w:bCs w:val="false"/>
                <w:color w:val="111111"/>
                <w:sz w:val="18"/>
                <w:szCs w:val="18"/>
              </w:rPr>
              <w:t xml:space="preserve">Fully customer-defined; connector profile must declare the schema explicitly</w:t>
            </w:r>
          </w:p>
        </w:tc>
      </w:tr>
    </w:tbl>
    <w:p>
      <w:pPr>
        <w:pStyle w:val="Heading2"/>
        <w:spacing w:after="120" w:before="280"/>
      </w:pPr>
      <w:r>
        <w:rPr>
          <w:rFonts w:ascii="Calibri" w:cs="Calibri" w:eastAsia="Calibri" w:hAnsi="Calibri"/>
          <w:b/>
          <w:bCs/>
          <w:color w:val="1A4A8A"/>
          <w:sz w:val="30"/>
          <w:szCs w:val="30"/>
        </w:rPr>
        <w:t xml:space="preserve">2.3  The Two-Stage Pipeline</w:t>
      </w:r>
    </w:p>
    <w:p>
      <w:pPr>
        <w:spacing w:after="80" w:before="80"/>
        <w:jc w:val="left"/>
      </w:pPr>
      <w:r>
        <w:rPr>
          <w:rFonts w:ascii="Calibri" w:cs="Calibri" w:eastAsia="Calibri" w:hAnsi="Calibri"/>
          <w:b w:val="false"/>
          <w:bCs w:val="false"/>
          <w:i w:val="false"/>
          <w:iCs w:val="false"/>
          <w:color w:val="111111"/>
          <w:sz w:val="22"/>
          <w:szCs w:val="22"/>
        </w:rPr>
        <w:t xml:space="preserve">The complete pipeline from ERP to tax authority now has two stages, with the SemanticDocument as the pivot:</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Stage 1: ERP Connector — accepts ERP output in any modality, applies a configurable field mapping profile, produces a SemanticDocument. No mandate knowledge required.</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Stage 2: CTC Transformer — accepts a SemanticDocument (from Stage 1 or from a direct CTC format submission), applies mandate rules, signs, emits, and delivers. No ERP knowledge required.</w:t>
      </w:r>
    </w:p>
    <w:p>
      <w:pPr>
        <w:spacing w:after="80" w:before="80"/>
        <w:jc w:val="left"/>
      </w:pPr>
      <w:r>
        <w:rPr>
          <w:rFonts w:ascii="Calibri" w:cs="Calibri" w:eastAsia="Calibri" w:hAnsi="Calibri"/>
          <w:b w:val="false"/>
          <w:bCs w:val="false"/>
          <w:i w:val="false"/>
          <w:iCs w:val="false"/>
          <w:color w:val="111111"/>
          <w:sz w:val="22"/>
          <w:szCs w:val="22"/>
        </w:rPr>
        <w:t xml:space="preserve">A document submitted directly in a CTC format (UBL, FatturaPA, CFDI) bypasses Stage 1 entirely and enters Stage 2 directly. The API differentiates these via the </w:t>
      </w:r>
      <w:r>
        <w:rPr>
          <w:rFonts w:ascii="Courier New" w:cs="Courier New" w:eastAsia="Courier New" w:hAnsi="Courier New"/>
          <w:b w:val="false"/>
          <w:bCs w:val="false"/>
          <w:color w:val="1A4A8A"/>
          <w:sz w:val="18"/>
          <w:szCs w:val="18"/>
        </w:rPr>
        <w:t xml:space="preserve">sourceType</w:t>
      </w:r>
      <w:r>
        <w:rPr>
          <w:rFonts w:ascii="Calibri" w:cs="Calibri" w:eastAsia="Calibri" w:hAnsi="Calibri"/>
          <w:b w:val="false"/>
          <w:bCs w:val="false"/>
          <w:i w:val="false"/>
          <w:iCs w:val="false"/>
          <w:color w:val="111111"/>
          <w:sz w:val="22"/>
          <w:szCs w:val="22"/>
        </w:rPr>
        <w:t xml:space="preserve"> field: </w:t>
      </w:r>
      <w:r>
        <w:rPr>
          <w:rFonts w:ascii="Courier New" w:cs="Courier New" w:eastAsia="Courier New" w:hAnsi="Courier New"/>
          <w:b w:val="false"/>
          <w:bCs w:val="false"/>
          <w:color w:val="1A4A8A"/>
          <w:sz w:val="18"/>
          <w:szCs w:val="18"/>
        </w:rPr>
        <w:t xml:space="preserve">"erp"</w:t>
      </w:r>
      <w:r>
        <w:rPr>
          <w:rFonts w:ascii="Calibri" w:cs="Calibri" w:eastAsia="Calibri" w:hAnsi="Calibri"/>
          <w:b w:val="false"/>
          <w:bCs w:val="false"/>
          <w:i w:val="false"/>
          <w:iCs w:val="false"/>
          <w:color w:val="111111"/>
          <w:sz w:val="22"/>
          <w:szCs w:val="22"/>
        </w:rPr>
        <w:t xml:space="preserve"> routes through Stage 1; </w:t>
      </w:r>
      <w:r>
        <w:rPr>
          <w:rFonts w:ascii="Courier New" w:cs="Courier New" w:eastAsia="Courier New" w:hAnsi="Courier New"/>
          <w:b w:val="false"/>
          <w:bCs w:val="false"/>
          <w:color w:val="1A4A8A"/>
          <w:sz w:val="18"/>
          <w:szCs w:val="18"/>
        </w:rPr>
        <w:t xml:space="preserve">"ctc_format"</w:t>
      </w:r>
      <w:r>
        <w:rPr>
          <w:rFonts w:ascii="Calibri" w:cs="Calibri" w:eastAsia="Calibri" w:hAnsi="Calibri"/>
          <w:b w:val="false"/>
          <w:bCs w:val="false"/>
          <w:i w:val="false"/>
          <w:iCs w:val="false"/>
          <w:color w:val="111111"/>
          <w:sz w:val="22"/>
          <w:szCs w:val="22"/>
        </w:rPr>
        <w:t xml:space="preserve"> skips to Stage 2.</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3  Stage 1 — ERP Connector Design</w:t>
      </w:r>
    </w:p>
    <w:p>
      <w:pPr>
        <w:pStyle w:val="Heading2"/>
        <w:spacing w:after="120" w:before="280"/>
      </w:pPr>
      <w:r>
        <w:rPr>
          <w:rFonts w:ascii="Calibri" w:cs="Calibri" w:eastAsia="Calibri" w:hAnsi="Calibri"/>
          <w:b/>
          <w:bCs/>
          <w:color w:val="1A4A8A"/>
          <w:sz w:val="30"/>
          <w:szCs w:val="30"/>
        </w:rPr>
        <w:t xml:space="preserve">3.1  Component Architecture</w:t>
      </w:r>
    </w:p>
    <w:p>
      <w:pPr>
        <w:spacing w:after="80" w:before="80"/>
        <w:jc w:val="left"/>
      </w:pPr>
      <w:r>
        <w:rPr>
          <w:rFonts w:ascii="Calibri" w:cs="Calibri" w:eastAsia="Calibri" w:hAnsi="Calibri"/>
          <w:b w:val="false"/>
          <w:bCs w:val="false"/>
          <w:i w:val="false"/>
          <w:iCs w:val="false"/>
          <w:color w:val="111111"/>
          <w:sz w:val="22"/>
          <w:szCs w:val="22"/>
        </w:rPr>
        <w:t xml:space="preserve">Stage 1 has three components: the Connector Registry, the Field Mapping Engine, and the Value Normaliser. Each is stateless and driven entirely by configuration.</w:t>
      </w:r>
    </w:p>
    <w:p>
      <w:pPr>
        <w:pStyle w:val="Heading3"/>
        <w:spacing w:after="80" w:before="200"/>
      </w:pPr>
      <w:r>
        <w:rPr>
          <w:rFonts w:ascii="Calibri" w:cs="Calibri" w:eastAsia="Calibri" w:hAnsi="Calibri"/>
          <w:b/>
          <w:bCs/>
          <w:color w:val="2E6DB4"/>
          <w:sz w:val="24"/>
          <w:szCs w:val="24"/>
        </w:rPr>
        <w:t xml:space="preserve">3.1.1  Connector Registry</w:t>
      </w:r>
    </w:p>
    <w:p>
      <w:pPr>
        <w:spacing w:after="80" w:before="80"/>
        <w:jc w:val="left"/>
      </w:pPr>
      <w:r>
        <w:rPr>
          <w:rFonts w:ascii="Calibri" w:cs="Calibri" w:eastAsia="Calibri" w:hAnsi="Calibri"/>
          <w:b w:val="false"/>
          <w:bCs w:val="false"/>
          <w:i w:val="false"/>
          <w:iCs w:val="false"/>
          <w:color w:val="111111"/>
          <w:sz w:val="22"/>
          <w:szCs w:val="22"/>
        </w:rPr>
        <w:t xml:space="preserve">The Connector Registry resolves the correct connector profile for an incoming document based on </w:t>
      </w:r>
      <w:r>
        <w:rPr>
          <w:rFonts w:ascii="Courier New" w:cs="Courier New" w:eastAsia="Courier New" w:hAnsi="Courier New"/>
          <w:b w:val="false"/>
          <w:bCs w:val="false"/>
          <w:color w:val="1A4A8A"/>
          <w:sz w:val="18"/>
          <w:szCs w:val="18"/>
        </w:rPr>
        <w:t xml:space="preserve">(erpType, erpVersion, outputFormat)</w:t>
      </w:r>
      <w:r>
        <w:rPr>
          <w:rFonts w:ascii="Calibri" w:cs="Calibri" w:eastAsia="Calibri" w:hAnsi="Calibri"/>
          <w:b w:val="false"/>
          <w:bCs w:val="false"/>
          <w:i w:val="false"/>
          <w:iCs w:val="false"/>
          <w:color w:val="111111"/>
          <w:sz w:val="22"/>
          <w:szCs w:val="22"/>
        </w:rPr>
        <w:t xml:space="preserve">. A connector profile declares:</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erpType</w:t>
      </w:r>
      <w:r>
        <w:rPr>
          <w:rFonts w:ascii="Calibri" w:cs="Calibri" w:eastAsia="Calibri" w:hAnsi="Calibri"/>
          <w:b w:val="false"/>
          <w:bCs w:val="false"/>
          <w:i w:val="false"/>
          <w:iCs w:val="false"/>
          <w:color w:val="111111"/>
          <w:sz w:val="22"/>
          <w:szCs w:val="22"/>
        </w:rPr>
        <w:t xml:space="preserve"> — "SAP_IDOC" | "ORACLE_FUSION" | "NETSUITE" | "DYNAMICS_365" | "WORKDAY" | "CUSTOM"</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erpVersion</w:t>
      </w:r>
      <w:r>
        <w:rPr>
          <w:rFonts w:ascii="Calibri" w:cs="Calibri" w:eastAsia="Calibri" w:hAnsi="Calibri"/>
          <w:b w:val="false"/>
          <w:bCs w:val="false"/>
          <w:i w:val="false"/>
          <w:iCs w:val="false"/>
          <w:color w:val="111111"/>
          <w:sz w:val="22"/>
          <w:szCs w:val="22"/>
        </w:rPr>
        <w:t xml:space="preserve"> — e.g. "S4HANA_2023" | "NETSUITE_2026.1" | any string for custom</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outputFormat</w:t>
      </w:r>
      <w:r>
        <w:rPr>
          <w:rFonts w:ascii="Calibri" w:cs="Calibri" w:eastAsia="Calibri" w:hAnsi="Calibri"/>
          <w:b w:val="false"/>
          <w:bCs w:val="false"/>
          <w:i w:val="false"/>
          <w:iCs w:val="false"/>
          <w:color w:val="111111"/>
          <w:sz w:val="22"/>
          <w:szCs w:val="22"/>
        </w:rPr>
        <w:t xml:space="preserve"> — "IDOC_XML" | "IDOC_FLAT" | "REST_JSON" | "BI_XML" | "CSV" | "ODATA_JSON"</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entityType</w:t>
      </w:r>
      <w:r>
        <w:rPr>
          <w:rFonts w:ascii="Calibri" w:cs="Calibri" w:eastAsia="Calibri" w:hAnsi="Calibri"/>
          <w:b w:val="false"/>
          <w:bCs w:val="false"/>
          <w:i w:val="false"/>
          <w:iCs w:val="false"/>
          <w:color w:val="111111"/>
          <w:sz w:val="22"/>
          <w:szCs w:val="22"/>
        </w:rPr>
        <w:t xml:space="preserve"> — "INVOICE" | "CREDIT_MEMO" | "DEBIT_NOTE" (maps to typeCode)</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fieldMapFile</w:t>
      </w:r>
      <w:r>
        <w:rPr>
          <w:rFonts w:ascii="Calibri" w:cs="Calibri" w:eastAsia="Calibri" w:hAnsi="Calibri"/>
          <w:b w:val="false"/>
          <w:bCs w:val="false"/>
          <w:i w:val="false"/>
          <w:iCs w:val="false"/>
          <w:color w:val="111111"/>
          <w:sz w:val="22"/>
          <w:szCs w:val="22"/>
        </w:rPr>
        <w:t xml:space="preserve"> — path to the field mapping YAML for this profile</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valueMapsFile</w:t>
      </w:r>
      <w:r>
        <w:rPr>
          <w:rFonts w:ascii="Calibri" w:cs="Calibri" w:eastAsia="Calibri" w:hAnsi="Calibri"/>
          <w:b w:val="false"/>
          <w:bCs w:val="false"/>
          <w:i w:val="false"/>
          <w:iCs w:val="false"/>
          <w:color w:val="111111"/>
          <w:sz w:val="22"/>
          <w:szCs w:val="22"/>
        </w:rPr>
        <w:t xml:space="preserve"> — path to the value translation table (tax codes, UOM codes, GL accounts)</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customFieldsFile</w:t>
      </w:r>
      <w:r>
        <w:rPr>
          <w:rFonts w:ascii="Calibri" w:cs="Calibri" w:eastAsia="Calibri" w:hAnsi="Calibri"/>
          <w:b w:val="false"/>
          <w:bCs w:val="false"/>
          <w:i w:val="false"/>
          <w:iCs w:val="false"/>
          <w:color w:val="111111"/>
          <w:sz w:val="22"/>
          <w:szCs w:val="22"/>
        </w:rPr>
        <w:t xml:space="preserve"> — optional path to custom field registry for this customer/instance</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gapPolicy</w:t>
      </w:r>
      <w:r>
        <w:rPr>
          <w:rFonts w:ascii="Calibri" w:cs="Calibri" w:eastAsia="Calibri" w:hAnsi="Calibri"/>
          <w:b w:val="false"/>
          <w:bCs w:val="false"/>
          <w:i w:val="false"/>
          <w:iCs w:val="false"/>
          <w:color w:val="111111"/>
          <w:sz w:val="22"/>
          <w:szCs w:val="22"/>
        </w:rPr>
        <w:t xml:space="preserve"> — "error" | "warn" | "skip" — what to do when a mandatory semantic field cannot be populated from ERP data</w:t>
      </w:r>
    </w:p>
    <w:tbl>
      <w:tblPr>
        <w:tblW w:type="pct" w:w="100%"/>
        <w:tblBorders>
          <w:top w:val="none"/>
          <w:left w:val="none"/>
          <w:bottom w:val="none"/>
          <w:right w:val="none"/>
          <w:insideH w:val="single" w:color="auto" w:sz="4"/>
          <w:insideV w:val="single" w:color="auto" w:sz="4"/>
        </w:tblBorders>
        <w:tblCellMar>
          <w:top w:type="dxa" w:w="0"/>
          <w:left w:type="dxa" w:w="0"/>
          <w:bottom w:type="dxa" w:w="200"/>
          <w:right w:type="dxa" w:w="0"/>
        </w:tblCellMar>
      </w:tblPr>
      <w:tblGrid>
        <w:gridCol w:w="100"/>
        <w:gridCol w:w="100"/>
      </w:tblGrid>
      <w:tr>
        <w:tc>
          <w:tcPr>
            <w:tcW w:type="dxa" w:w="800"/>
            <w:shd w:fill="2E6DB4" w:val="clear"/>
          </w:tcPr>
          <w:p>
            <w:pPr>
              <w:spacing w:after="80" w:before="80"/>
              <w:jc w:val="center"/>
            </w:pPr>
            <w:r>
              <w:rPr>
                <w:rFonts w:ascii="Calibri" w:cs="Calibri" w:eastAsia="Calibri" w:hAnsi="Calibri"/>
                <w:b/>
                <w:bCs/>
                <w:color w:val="FFFFFF"/>
                <w:sz w:val="20"/>
                <w:szCs w:val="20"/>
              </w:rPr>
              <w:t xml:space="preserve">IMPORTANT</w:t>
            </w:r>
          </w:p>
        </w:tc>
        <w:tc>
          <w:tcPr>
            <w:tcW w:type="dxa" w:w="8800"/>
            <w:shd w:fill="EEF5FC" w:val="clear"/>
          </w:tcPr>
          <w:p>
            <w:pPr>
              <w:spacing w:after="80" w:before="80"/>
              <w:ind w:left="144"/>
            </w:pPr>
            <w:r>
              <w:rPr>
                <w:rFonts w:ascii="Calibri" w:cs="Calibri" w:eastAsia="Calibri" w:hAnsi="Calibri"/>
                <w:color w:val="111111"/>
                <w:sz w:val="20"/>
                <w:szCs w:val="20"/>
              </w:rPr>
              <w:t xml:space="preserve">One connector profile per (erpType, erpVersion, entityType). A customer running SAP S/4HANA 2023 with custom Z-segments registers their own profile that references the standard SAP field map plus an additional customFieldsFile. They never modify the base SAP profile.</w:t>
            </w:r>
          </w:p>
        </w:tc>
      </w:tr>
    </w:tbl>
    <w:p>
      <w:pPr>
        <w:pStyle w:val="Heading3"/>
        <w:spacing w:after="80" w:before="200"/>
      </w:pPr>
      <w:r>
        <w:rPr>
          <w:rFonts w:ascii="Calibri" w:cs="Calibri" w:eastAsia="Calibri" w:hAnsi="Calibri"/>
          <w:b/>
          <w:bCs/>
          <w:color w:val="2E6DB4"/>
          <w:sz w:val="24"/>
          <w:szCs w:val="24"/>
        </w:rPr>
        <w:t xml:space="preserve">3.1.2  Field Mapping Engine</w:t>
      </w:r>
    </w:p>
    <w:p>
      <w:pPr>
        <w:spacing w:after="80" w:before="80"/>
        <w:jc w:val="left"/>
      </w:pPr>
      <w:r>
        <w:rPr>
          <w:rFonts w:ascii="Calibri" w:cs="Calibri" w:eastAsia="Calibri" w:hAnsi="Calibri"/>
          <w:b w:val="false"/>
          <w:bCs w:val="false"/>
          <w:i w:val="false"/>
          <w:iCs w:val="false"/>
          <w:color w:val="111111"/>
          <w:sz w:val="22"/>
          <w:szCs w:val="22"/>
        </w:rPr>
        <w:t xml:space="preserve">The Field Mapping Engine applies a YAML rule file to extract values from the ERP document tree and write them to SemanticDocument paths. It reuses the existing Rule DSL v2 with four new rule kinds specific to ERP ingestion: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3000"/>
        <w:gridCol w:w="4800"/>
      </w:tblGrid>
      <w:tr>
        <w:trPr>
          <w:tblHeader/>
        </w:trPr>
        <w:tc>
          <w:tcPr>
            <w:tcW w:type="dxa" w:w="1800"/>
            <w:shd w:fill="0F2040" w:val="clear"/>
            <w:vAlign w:val="top"/>
          </w:tcPr>
          <w:p>
            <w:pPr>
              <w:spacing w:after="60" w:before="60"/>
              <w:ind w:left="72"/>
            </w:pPr>
            <w:r>
              <w:rPr>
                <w:rFonts w:ascii="Calibri" w:cs="Calibri" w:eastAsia="Calibri" w:hAnsi="Calibri"/>
                <w:b/>
                <w:bCs/>
                <w:color w:val="FFFFFF"/>
                <w:sz w:val="18"/>
                <w:szCs w:val="18"/>
              </w:rPr>
              <w:t xml:space="preserve">New rule kind</w:t>
            </w:r>
          </w:p>
        </w:tc>
        <w:tc>
          <w:tcPr>
            <w:tcW w:type="dxa" w:w="3000"/>
            <w:shd w:fill="0F2040" w:val="clear"/>
            <w:vAlign w:val="top"/>
          </w:tcPr>
          <w:p>
            <w:pPr>
              <w:spacing w:after="60" w:before="60"/>
              <w:ind w:left="72"/>
            </w:pPr>
            <w:r>
              <w:rPr>
                <w:rFonts w:ascii="Calibri" w:cs="Calibri" w:eastAsia="Calibri" w:hAnsi="Calibri"/>
                <w:b/>
                <w:bCs/>
                <w:color w:val="FFFFFF"/>
                <w:sz w:val="18"/>
                <w:szCs w:val="18"/>
              </w:rPr>
              <w:t xml:space="preserve">Purpose</w:t>
            </w:r>
          </w:p>
        </w:tc>
        <w:tc>
          <w:tcPr>
            <w:tcW w:type="dxa" w:w="4800"/>
            <w:shd w:fill="0F2040" w:val="clear"/>
            <w:vAlign w:val="top"/>
          </w:tcPr>
          <w:p>
            <w:pPr>
              <w:spacing w:after="60" w:before="60"/>
              <w:ind w:left="72"/>
            </w:pPr>
            <w:r>
              <w:rPr>
                <w:rFonts w:ascii="Calibri" w:cs="Calibri" w:eastAsia="Calibri" w:hAnsi="Calibri"/>
                <w:b/>
                <w:bCs/>
                <w:color w:val="FFFFFF"/>
                <w:sz w:val="18"/>
                <w:szCs w:val="18"/>
              </w:rPr>
              <w:t xml:space="preserve">Example</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erp_path</w:t>
            </w:r>
          </w:p>
        </w:tc>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Extract a value from the ERP document using a format-specific path expression. Supports XPath (IDoc/XML), JSONPath (REST), ODataPath, CSV column index, and fixed literal.</w:t>
            </w:r>
          </w:p>
        </w:tc>
        <w:tc>
          <w:tcPr>
            <w:tcW w:type="dxa" w:w="4800"/>
            <w:shd w:fill="EEF5FC" w:val="clear"/>
            <w:vAlign w:val="top"/>
          </w:tcPr>
          <w:p>
            <w:pPr>
              <w:spacing w:after="60" w:before="60"/>
              <w:ind w:left="72"/>
            </w:pPr>
            <w:r>
              <w:rPr>
                <w:rFonts w:ascii="Calibri" w:cs="Calibri" w:eastAsia="Calibri" w:hAnsi="Calibri"/>
                <w:b w:val="false"/>
                <w:bCs w:val="false"/>
                <w:color w:val="111111"/>
                <w:sz w:val="18"/>
                <w:szCs w:val="18"/>
              </w:rPr>
              <w:t xml:space="preserve">source: "E1EDK01/BELNR" target: "identity.id"</w:t>
            </w:r>
          </w:p>
        </w:tc>
      </w:tr>
      <w:tr>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erp_lookup</w:t>
            </w:r>
          </w:p>
        </w:tc>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Translate an ERP code to a canonical value via a lookup table in the valueMapsFile. Used for tax codes, unit of measure codes, GL accounts, payment terms codes.</w:t>
            </w:r>
          </w:p>
        </w:tc>
        <w:tc>
          <w:tcPr>
            <w:tcW w:type="dxa" w:w="4800"/>
            <w:shd w:fill="FFFFFF" w:val="clear"/>
            <w:vAlign w:val="top"/>
          </w:tcPr>
          <w:p>
            <w:pPr>
              <w:spacing w:after="60" w:before="60"/>
              <w:ind w:left="72"/>
            </w:pPr>
            <w:r>
              <w:rPr>
                <w:rFonts w:ascii="Calibri" w:cs="Calibri" w:eastAsia="Calibri" w:hAnsi="Calibri"/>
                <w:b w:val="false"/>
                <w:bCs w:val="false"/>
                <w:color w:val="111111"/>
                <w:sz w:val="18"/>
                <w:szCs w:val="18"/>
              </w:rPr>
              <w:t xml:space="preserve">source: "E1EDK01/ZTERM" lookupTable: "payment_terms" target: "paymentMeans[0].meansCode"</w:t>
            </w:r>
          </w:p>
        </w:tc>
      </w:tr>
      <w:tr>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erp_custom</w:t>
            </w:r>
          </w:p>
        </w:tc>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Extract a value from a custom field (SAP Z-segment field, NetSuite custbody_*, Oracle DFF). References the customFieldsFile by field alias.</w:t>
            </w:r>
          </w:p>
        </w:tc>
        <w:tc>
          <w:tcPr>
            <w:tcW w:type="dxa" w:w="4800"/>
            <w:shd w:fill="EEF5FC" w:val="clear"/>
            <w:vAlign w:val="top"/>
          </w:tcPr>
          <w:p>
            <w:pPr>
              <w:spacing w:after="60" w:before="60"/>
              <w:ind w:left="72"/>
            </w:pPr>
            <w:r>
              <w:rPr>
                <w:rFonts w:ascii="Calibri" w:cs="Calibri" w:eastAsia="Calibri" w:hAnsi="Calibri"/>
                <w:b w:val="false"/>
                <w:bCs w:val="false"/>
                <w:color w:val="111111"/>
                <w:sz w:val="18"/>
                <w:szCs w:val="18"/>
              </w:rPr>
              <w:t xml:space="preserve">customFieldAlias: "intercompany_ref" target: "references.contractRef"</w:t>
            </w:r>
          </w:p>
        </w:tc>
      </w:tr>
      <w:tr>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erp_enrich</w:t>
            </w:r>
          </w:p>
        </w:tc>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Derive a SemanticDocument value from ERP context that cannot be extracted from a single field. Calls a registered fn rule. Used for tax aggregation from GL lines, party resolution from entity IDs, address construction from address segments.</w:t>
            </w:r>
          </w:p>
        </w:tc>
        <w:tc>
          <w:tcPr>
            <w:tcW w:type="dxa" w:w="4800"/>
            <w:shd w:fill="FFFFFF" w:val="clear"/>
            <w:vAlign w:val="top"/>
          </w:tcPr>
          <w:p>
            <w:pPr>
              <w:spacing w:after="60" w:before="60"/>
              <w:ind w:left="72"/>
            </w:pPr>
            <w:r>
              <w:rPr>
                <w:rFonts w:ascii="Calibri" w:cs="Calibri" w:eastAsia="Calibri" w:hAnsi="Calibri"/>
                <w:b w:val="false"/>
                <w:bCs w:val="false"/>
                <w:color w:val="111111"/>
                <w:sz w:val="18"/>
                <w:szCs w:val="18"/>
              </w:rPr>
              <w:t xml:space="preserve">fn: "sap.aggregateTaxFromMwskz" outputs: [{target: "taxApplications"}]</w:t>
            </w:r>
          </w:p>
        </w:tc>
      </w:tr>
    </w:tbl>
    <w:p>
      <w:pPr>
        <w:pStyle w:val="Heading3"/>
        <w:spacing w:after="80" w:before="200"/>
      </w:pPr>
      <w:r>
        <w:rPr>
          <w:rFonts w:ascii="Calibri" w:cs="Calibri" w:eastAsia="Calibri" w:hAnsi="Calibri"/>
          <w:b/>
          <w:bCs/>
          <w:color w:val="2E6DB4"/>
          <w:sz w:val="24"/>
          <w:szCs w:val="24"/>
        </w:rPr>
        <w:t xml:space="preserve">3.1.3  Value Normaliser</w:t>
      </w:r>
    </w:p>
    <w:p>
      <w:pPr>
        <w:spacing w:after="80" w:before="80"/>
        <w:jc w:val="left"/>
      </w:pPr>
      <w:r>
        <w:rPr>
          <w:rFonts w:ascii="Calibri" w:cs="Calibri" w:eastAsia="Calibri" w:hAnsi="Calibri"/>
          <w:b w:val="false"/>
          <w:bCs w:val="false"/>
          <w:i w:val="false"/>
          <w:iCs w:val="false"/>
          <w:color w:val="111111"/>
          <w:sz w:val="22"/>
          <w:szCs w:val="22"/>
        </w:rPr>
        <w:t xml:space="preserve">ERP systems use their own code sets for tax categories, units of measure, payment means, and currencies. The Value Normaliser translates these to canonical codes before the SemanticDocument is populated. It is driven by a </w:t>
      </w:r>
      <w:r>
        <w:rPr>
          <w:rFonts w:ascii="Courier New" w:cs="Courier New" w:eastAsia="Courier New" w:hAnsi="Courier New"/>
          <w:b w:val="false"/>
          <w:bCs w:val="false"/>
          <w:color w:val="1A4A8A"/>
          <w:sz w:val="18"/>
          <w:szCs w:val="18"/>
        </w:rPr>
        <w:t xml:space="preserve">valueMapsFile</w:t>
      </w:r>
      <w:r>
        <w:rPr>
          <w:rFonts w:ascii="Calibri" w:cs="Calibri" w:eastAsia="Calibri" w:hAnsi="Calibri"/>
          <w:b w:val="false"/>
          <w:bCs w:val="false"/>
          <w:i w:val="false"/>
          <w:iCs w:val="false"/>
          <w:color w:val="111111"/>
          <w:sz w:val="22"/>
          <w:szCs w:val="22"/>
        </w:rPr>
        <w:t xml:space="preserve"> YAML file containing named lookup tables:</w:t>
      </w:r>
    </w:p>
    <w:p>
      <w:pPr>
        <w:spacing w:after="80" w:before="40"/>
        <w:ind w:left="144"/>
        <w:jc w:val="left"/>
      </w:pPr>
      <w:r>
        <w:rPr>
          <w:rFonts w:ascii="Courier New" w:cs="Courier New" w:eastAsia="Courier New" w:hAnsi="Courier New"/>
          <w:b w:val="false"/>
          <w:bCs w:val="false"/>
          <w:color w:val="1A4A8A"/>
          <w:sz w:val="18"/>
          <w:szCs w:val="18"/>
        </w:rPr>
        <w:t xml:space="preserve"># valuemaps/sap-s4hana-2023.yaml</w:t>
      </w:r>
    </w:p>
    <w:p>
      <w:pPr>
        <w:spacing w:after="80" w:before="80"/>
        <w:ind w:left="144"/>
        <w:jc w:val="left"/>
      </w:pPr>
      <w:r>
        <w:rPr>
          <w:rFonts w:ascii="Courier New" w:cs="Courier New" w:eastAsia="Courier New" w:hAnsi="Courier New"/>
          <w:b w:val="false"/>
          <w:bCs w:val="false"/>
          <w:color w:val="1A4A8A"/>
          <w:sz w:val="18"/>
          <w:szCs w:val="18"/>
        </w:rPr>
        <w:t xml:space="preserve">tax_codes:</w:t>
      </w:r>
    </w:p>
    <w:p>
      <w:pPr>
        <w:spacing w:after="80" w:before="80"/>
        <w:ind w:left="288"/>
        <w:jc w:val="left"/>
      </w:pPr>
      <w:r>
        <w:rPr>
          <w:rFonts w:ascii="Courier New" w:cs="Courier New" w:eastAsia="Courier New" w:hAnsi="Courier New"/>
          <w:b w:val="false"/>
          <w:bCs w:val="false"/>
          <w:color w:val="1A4A8A"/>
          <w:sz w:val="18"/>
          <w:szCs w:val="18"/>
        </w:rPr>
        <w:t xml:space="preserve">  A1: { categoryCode: "S", rate: "19.00" }  # DE standard VAT</w:t>
      </w:r>
    </w:p>
    <w:p>
      <w:pPr>
        <w:spacing w:after="80" w:before="80"/>
        <w:ind w:left="288"/>
        <w:jc w:val="left"/>
      </w:pPr>
      <w:r>
        <w:rPr>
          <w:rFonts w:ascii="Courier New" w:cs="Courier New" w:eastAsia="Courier New" w:hAnsi="Courier New"/>
          <w:b w:val="false"/>
          <w:bCs w:val="false"/>
          <w:color w:val="1A4A8A"/>
          <w:sz w:val="18"/>
          <w:szCs w:val="18"/>
        </w:rPr>
        <w:t xml:space="preserve">  A2: { categoryCode: "S", rate: "7.00"  }  # DE reduced VAT</w:t>
      </w:r>
    </w:p>
    <w:p>
      <w:pPr>
        <w:spacing w:after="80" w:before="80"/>
        <w:ind w:left="288"/>
        <w:jc w:val="left"/>
      </w:pPr>
      <w:r>
        <w:rPr>
          <w:rFonts w:ascii="Courier New" w:cs="Courier New" w:eastAsia="Courier New" w:hAnsi="Courier New"/>
          <w:b w:val="false"/>
          <w:bCs w:val="false"/>
          <w:color w:val="1A4A8A"/>
          <w:sz w:val="18"/>
          <w:szCs w:val="18"/>
        </w:rPr>
        <w:t xml:space="preserve">  B1: { categoryCode: "E", rate: null    }  # exempt</w:t>
      </w:r>
    </w:p>
    <w:p>
      <w:pPr>
        <w:spacing w:after="80" w:before="80"/>
        <w:ind w:left="288"/>
        <w:jc w:val="left"/>
      </w:pPr>
      <w:r>
        <w:rPr>
          <w:rFonts w:ascii="Courier New" w:cs="Courier New" w:eastAsia="Courier New" w:hAnsi="Courier New"/>
          <w:b w:val="false"/>
          <w:bCs w:val="false"/>
          <w:color w:val="1A4A8A"/>
          <w:sz w:val="18"/>
          <w:szCs w:val="18"/>
        </w:rPr>
        <w:t xml:space="preserve">  V5: { categoryCode: "AE", rate: "0.00" }  # reverse charge</w:t>
      </w:r>
    </w:p>
    <w:p>
      <w:pPr>
        <w:spacing w:after="80" w:before="80"/>
        <w:ind w:left="144"/>
        <w:jc w:val="left"/>
      </w:pPr>
      <w:r>
        <w:rPr>
          <w:rFonts w:ascii="Courier New" w:cs="Courier New" w:eastAsia="Courier New" w:hAnsi="Courier New"/>
          <w:b w:val="false"/>
          <w:bCs w:val="false"/>
          <w:color w:val="1A4A8A"/>
          <w:sz w:val="18"/>
          <w:szCs w:val="18"/>
        </w:rPr>
        <w:t xml:space="preserve">payment_terms:</w:t>
      </w:r>
    </w:p>
    <w:p>
      <w:pPr>
        <w:spacing w:after="80" w:before="80"/>
        <w:ind w:left="288"/>
        <w:jc w:val="left"/>
      </w:pPr>
      <w:r>
        <w:rPr>
          <w:rFonts w:ascii="Courier New" w:cs="Courier New" w:eastAsia="Courier New" w:hAnsi="Courier New"/>
          <w:b w:val="false"/>
          <w:bCs w:val="false"/>
          <w:color w:val="1A4A8A"/>
          <w:sz w:val="18"/>
          <w:szCs w:val="18"/>
        </w:rPr>
        <w:t xml:space="preserve">  ZB01: { meansCode: "30", daysNet: 30 }   # 30-day net transfer</w:t>
      </w:r>
    </w:p>
    <w:p>
      <w:pPr>
        <w:spacing w:after="80" w:before="80"/>
        <w:ind w:left="288"/>
        <w:jc w:val="left"/>
      </w:pPr>
      <w:r>
        <w:rPr>
          <w:rFonts w:ascii="Courier New" w:cs="Courier New" w:eastAsia="Courier New" w:hAnsi="Courier New"/>
          <w:b w:val="false"/>
          <w:bCs w:val="false"/>
          <w:color w:val="1A4A8A"/>
          <w:sz w:val="18"/>
          <w:szCs w:val="18"/>
        </w:rPr>
        <w:t xml:space="preserve">  Z000: { meansCode: "10" }                 # immediate cash</w:t>
      </w:r>
    </w:p>
    <w:p>
      <w:pPr>
        <w:spacing w:after="80" w:before="80"/>
        <w:ind w:left="144"/>
        <w:jc w:val="left"/>
      </w:pPr>
      <w:r>
        <w:rPr>
          <w:rFonts w:ascii="Courier New" w:cs="Courier New" w:eastAsia="Courier New" w:hAnsi="Courier New"/>
          <w:b w:val="false"/>
          <w:bCs w:val="false"/>
          <w:color w:val="1A4A8A"/>
          <w:sz w:val="18"/>
          <w:szCs w:val="18"/>
        </w:rPr>
        <w:t xml:space="preserve">unit_of_measure:</w:t>
      </w:r>
    </w:p>
    <w:p>
      <w:pPr>
        <w:spacing w:after="80" w:before="80"/>
        <w:ind w:left="288"/>
        <w:jc w:val="left"/>
      </w:pPr>
      <w:r>
        <w:rPr>
          <w:rFonts w:ascii="Courier New" w:cs="Courier New" w:eastAsia="Courier New" w:hAnsi="Courier New"/>
          <w:b w:val="false"/>
          <w:bCs w:val="false"/>
          <w:color w:val="1A4A8A"/>
          <w:sz w:val="18"/>
          <w:szCs w:val="18"/>
        </w:rPr>
        <w:t xml:space="preserve">  ST: "C62"   # SAP "piece" → UN/CEFACT each</w:t>
      </w:r>
    </w:p>
    <w:p>
      <w:pPr>
        <w:spacing w:after="80" w:before="80"/>
        <w:ind w:left="288"/>
        <w:jc w:val="left"/>
      </w:pPr>
      <w:r>
        <w:rPr>
          <w:rFonts w:ascii="Courier New" w:cs="Courier New" w:eastAsia="Courier New" w:hAnsi="Courier New"/>
          <w:b w:val="false"/>
          <w:bCs w:val="false"/>
          <w:color w:val="1A4A8A"/>
          <w:sz w:val="18"/>
          <w:szCs w:val="18"/>
        </w:rPr>
        <w:t xml:space="preserve">  KG: "KGM"   # kilogram (already canonical)</w:t>
      </w:r>
    </w:p>
    <w:p>
      <w:pPr>
        <w:pStyle w:val="Heading2"/>
        <w:spacing w:after="120" w:before="280"/>
      </w:pPr>
      <w:r>
        <w:rPr>
          <w:rFonts w:ascii="Calibri" w:cs="Calibri" w:eastAsia="Calibri" w:hAnsi="Calibri"/>
          <w:b/>
          <w:bCs/>
          <w:color w:val="1A4A8A"/>
          <w:sz w:val="30"/>
          <w:szCs w:val="30"/>
        </w:rPr>
        <w:t xml:space="preserve">3.2  The Custom Field Problem</w:t>
      </w:r>
    </w:p>
    <w:p>
      <w:pPr>
        <w:spacing w:after="80" w:before="80"/>
        <w:jc w:val="left"/>
      </w:pPr>
      <w:r>
        <w:rPr>
          <w:rFonts w:ascii="Calibri" w:cs="Calibri" w:eastAsia="Calibri" w:hAnsi="Calibri"/>
          <w:b w:val="false"/>
          <w:bCs w:val="false"/>
          <w:i w:val="false"/>
          <w:iCs w:val="false"/>
          <w:color w:val="111111"/>
          <w:sz w:val="22"/>
          <w:szCs w:val="22"/>
        </w:rPr>
        <w:t xml:space="preserve">Custom fields are the most operationally significant ERP integration challenge. Every SAP customer can add Z-segments to IDoc. Every NetSuite customer has custbody_* fields. Every Oracle customer has Descriptive Flexfields. These fields carry data that may be </w:t>
      </w:r>
      <w:r>
        <w:rPr>
          <w:rFonts w:ascii="Calibri" w:cs="Calibri" w:eastAsia="Calibri" w:hAnsi="Calibri"/>
          <w:b w:val="false"/>
          <w:bCs w:val="false"/>
          <w:i/>
          <w:iCs/>
          <w:color w:val="111111"/>
          <w:sz w:val="22"/>
          <w:szCs w:val="22"/>
        </w:rPr>
        <w:t xml:space="preserve">mandatory</w:t>
      </w:r>
      <w:r>
        <w:rPr>
          <w:rFonts w:ascii="Calibri" w:cs="Calibri" w:eastAsia="Calibri" w:hAnsi="Calibri"/>
          <w:b w:val="false"/>
          <w:bCs w:val="false"/>
          <w:i w:val="false"/>
          <w:iCs w:val="false"/>
          <w:color w:val="111111"/>
          <w:sz w:val="22"/>
          <w:szCs w:val="22"/>
        </w:rPr>
        <w:t xml:space="preserve"> for specific CTC mandates — for example, a purchase order reference required by Belgium, or a CIG code required by Italian public sector invoices.</w:t>
      </w:r>
    </w:p>
    <w:p>
      <w:pPr>
        <w:spacing w:after="80" w:before="80"/>
        <w:jc w:val="left"/>
      </w:pPr>
      <w:r>
        <w:rPr>
          <w:rFonts w:ascii="Calibri" w:cs="Calibri" w:eastAsia="Calibri" w:hAnsi="Calibri"/>
          <w:b w:val="false"/>
          <w:bCs w:val="false"/>
          <w:i w:val="false"/>
          <w:iCs w:val="false"/>
          <w:color w:val="111111"/>
          <w:sz w:val="22"/>
          <w:szCs w:val="22"/>
        </w:rPr>
        <w:t xml:space="preserve">The custom field registry solves this by mapping ERP-specific field names to semantic model paths or native bag entries:</w:t>
      </w:r>
    </w:p>
    <w:p>
      <w:pPr>
        <w:spacing w:after="80" w:before="40"/>
        <w:ind w:left="144"/>
        <w:jc w:val="left"/>
      </w:pPr>
      <w:r>
        <w:rPr>
          <w:rFonts w:ascii="Courier New" w:cs="Courier New" w:eastAsia="Courier New" w:hAnsi="Courier New"/>
          <w:b w:val="false"/>
          <w:bCs w:val="false"/>
          <w:color w:val="1A4A8A"/>
          <w:sz w:val="18"/>
          <w:szCs w:val="18"/>
        </w:rPr>
        <w:t xml:space="preserve"># customfields/acme-corp-sap.yaml</w:t>
      </w:r>
    </w:p>
    <w:p>
      <w:pPr>
        <w:spacing w:after="80" w:before="80"/>
        <w:ind w:left="144"/>
        <w:jc w:val="left"/>
      </w:pPr>
      <w:r>
        <w:rPr>
          <w:rFonts w:ascii="Courier New" w:cs="Courier New" w:eastAsia="Courier New" w:hAnsi="Courier New"/>
          <w:b w:val="false"/>
          <w:bCs w:val="false"/>
          <w:color w:val="1A4A8A"/>
          <w:sz w:val="18"/>
          <w:szCs w:val="18"/>
        </w:rPr>
        <w:t xml:space="preserve">custom_fields:</w:t>
      </w:r>
    </w:p>
    <w:p>
      <w:pPr>
        <w:spacing w:after="80" w:before="80"/>
        <w:ind w:left="288"/>
        <w:jc w:val="left"/>
      </w:pPr>
      <w:r>
        <w:rPr>
          <w:rFonts w:ascii="Courier New" w:cs="Courier New" w:eastAsia="Courier New" w:hAnsi="Courier New"/>
          <w:b w:val="false"/>
          <w:bCs w:val="false"/>
          <w:color w:val="1A4A8A"/>
          <w:sz w:val="18"/>
          <w:szCs w:val="18"/>
        </w:rPr>
        <w:t xml:space="preserve">  - alias: po_reference</w:t>
      </w:r>
    </w:p>
    <w:p>
      <w:pPr>
        <w:spacing w:after="80" w:before="80"/>
        <w:ind w:left="288"/>
        <w:jc w:val="left"/>
      </w:pPr>
      <w:r>
        <w:rPr>
          <w:rFonts w:ascii="Courier New" w:cs="Courier New" w:eastAsia="Courier New" w:hAnsi="Courier New"/>
          <w:b w:val="false"/>
          <w:bCs w:val="false"/>
          <w:color w:val="1A4A8A"/>
          <w:sz w:val="18"/>
          <w:szCs w:val="18"/>
        </w:rPr>
        <w:t xml:space="preserve">    erp_path: "ZACME_HDR/ZREF_PO"  # Z-segment field</w:t>
      </w:r>
    </w:p>
    <w:p>
      <w:pPr>
        <w:spacing w:after="80" w:before="80"/>
        <w:ind w:left="288"/>
        <w:jc w:val="left"/>
      </w:pPr>
      <w:r>
        <w:rPr>
          <w:rFonts w:ascii="Courier New" w:cs="Courier New" w:eastAsia="Courier New" w:hAnsi="Courier New"/>
          <w:b w:val="false"/>
          <w:bCs w:val="false"/>
          <w:color w:val="1A4A8A"/>
          <w:sz w:val="18"/>
          <w:szCs w:val="18"/>
        </w:rPr>
        <w:t xml:space="preserve">    target: "references.orderRef"</w:t>
      </w:r>
    </w:p>
    <w:p>
      <w:pPr>
        <w:spacing w:after="80" w:before="80"/>
        <w:ind w:left="288"/>
        <w:jc w:val="left"/>
      </w:pPr>
      <w:r>
        <w:rPr>
          <w:rFonts w:ascii="Courier New" w:cs="Courier New" w:eastAsia="Courier New" w:hAnsi="Courier New"/>
          <w:b w:val="false"/>
          <w:bCs w:val="false"/>
          <w:color w:val="1A4A8A"/>
          <w:sz w:val="18"/>
          <w:szCs w:val="18"/>
        </w:rPr>
        <w:t xml:space="preserve">  - alias: it_cig_code</w:t>
      </w:r>
    </w:p>
    <w:p>
      <w:pPr>
        <w:spacing w:after="80" w:before="80"/>
        <w:ind w:left="288"/>
        <w:jc w:val="left"/>
      </w:pPr>
      <w:r>
        <w:rPr>
          <w:rFonts w:ascii="Courier New" w:cs="Courier New" w:eastAsia="Courier New" w:hAnsi="Courier New"/>
          <w:b w:val="false"/>
          <w:bCs w:val="false"/>
          <w:color w:val="1A4A8A"/>
          <w:sz w:val="18"/>
          <w:szCs w:val="18"/>
        </w:rPr>
        <w:t xml:space="preserve">    erp_path: "ZACME_HDR/ZCIG_CODE"</w:t>
      </w:r>
    </w:p>
    <w:p>
      <w:pPr>
        <w:spacing w:after="80" w:before="80"/>
        <w:ind w:left="288"/>
        <w:jc w:val="left"/>
      </w:pPr>
      <w:r>
        <w:rPr>
          <w:rFonts w:ascii="Courier New" w:cs="Courier New" w:eastAsia="Courier New" w:hAnsi="Courier New"/>
          <w:b w:val="false"/>
          <w:bCs w:val="false"/>
          <w:color w:val="1A4A8A"/>
          <w:sz w:val="18"/>
          <w:szCs w:val="18"/>
        </w:rPr>
        <w:t xml:space="preserve">    target: "native.sdi.cig"</w:t>
      </w:r>
    </w:p>
    <w:p>
      <w:pPr>
        <w:spacing w:after="80" w:before="80"/>
        <w:ind w:left="288"/>
        <w:jc w:val="left"/>
      </w:pPr>
      <w:r>
        <w:rPr>
          <w:rFonts w:ascii="Courier New" w:cs="Courier New" w:eastAsia="Courier New" w:hAnsi="Courier New"/>
          <w:b w:val="false"/>
          <w:bCs w:val="false"/>
          <w:color w:val="1A4A8A"/>
          <w:sz w:val="18"/>
          <w:szCs w:val="18"/>
        </w:rPr>
        <w:t xml:space="preserve">    condition:</w:t>
      </w:r>
    </w:p>
    <w:p>
      <w:pPr>
        <w:spacing w:after="80" w:before="80"/>
        <w:ind w:left="431"/>
        <w:jc w:val="left"/>
      </w:pPr>
      <w:r>
        <w:rPr>
          <w:rFonts w:ascii="Courier New" w:cs="Courier New" w:eastAsia="Courier New" w:hAnsi="Courier New"/>
          <w:b w:val="false"/>
          <w:bCs w:val="false"/>
          <w:color w:val="1A4A8A"/>
          <w:sz w:val="18"/>
          <w:szCs w:val="18"/>
        </w:rPr>
        <w:t xml:space="preserve">      targetCountry: IT</w:t>
      </w:r>
    </w:p>
    <w:p>
      <w:pPr>
        <w:spacing w:after="80" w:before="80"/>
        <w:jc w:val="left"/>
      </w:pPr>
      <w:r>
        <w:rPr>
          <w:rFonts w:ascii="Calibri" w:cs="Calibri" w:eastAsia="Calibri" w:hAnsi="Calibri"/>
          <w:b w:val="false"/>
          <w:bCs w:val="false"/>
          <w:i w:val="false"/>
          <w:iCs w:val="false"/>
          <w:color w:val="111111"/>
          <w:sz w:val="22"/>
          <w:szCs w:val="22"/>
        </w:rPr>
        <w:t xml:space="preserve">The </w:t>
      </w:r>
      <w:r>
        <w:rPr>
          <w:rFonts w:ascii="Courier New" w:cs="Courier New" w:eastAsia="Courier New" w:hAnsi="Courier New"/>
          <w:b w:val="false"/>
          <w:bCs w:val="false"/>
          <w:color w:val="1A4A8A"/>
          <w:sz w:val="18"/>
          <w:szCs w:val="18"/>
        </w:rPr>
        <w:t xml:space="preserve">condition</w:t>
      </w:r>
      <w:r>
        <w:rPr>
          <w:rFonts w:ascii="Calibri" w:cs="Calibri" w:eastAsia="Calibri" w:hAnsi="Calibri"/>
          <w:b w:val="false"/>
          <w:bCs w:val="false"/>
          <w:i w:val="false"/>
          <w:iCs w:val="false"/>
          <w:color w:val="111111"/>
          <w:sz w:val="22"/>
          <w:szCs w:val="22"/>
        </w:rPr>
        <w:t xml:space="preserve"> block is a new feature specific to custom field rules: a custom field mapping can be conditional on the target mandate scope. A CIG code is only relevant when the target country is Italy. The same ERP document submitted to Belgium produces no CIG in the output — the condition is not met and the mapping is silently skipped.</w:t>
      </w:r>
    </w:p>
    <w:p>
      <w:pPr>
        <w:pStyle w:val="Heading2"/>
        <w:spacing w:after="120" w:before="280"/>
      </w:pPr>
      <w:r>
        <w:rPr>
          <w:rFonts w:ascii="Calibri" w:cs="Calibri" w:eastAsia="Calibri" w:hAnsi="Calibri"/>
          <w:b/>
          <w:bCs/>
          <w:color w:val="1A4A8A"/>
          <w:sz w:val="30"/>
          <w:szCs w:val="30"/>
        </w:rPr>
        <w:t xml:space="preserve">3.3  Tax Reconstruction from ERP GL Data</w:t>
      </w:r>
    </w:p>
    <w:p>
      <w:pPr>
        <w:spacing w:after="80" w:before="80"/>
        <w:jc w:val="left"/>
      </w:pPr>
      <w:r>
        <w:rPr>
          <w:rFonts w:ascii="Calibri" w:cs="Calibri" w:eastAsia="Calibri" w:hAnsi="Calibri"/>
          <w:b w:val="false"/>
          <w:bCs w:val="false"/>
          <w:i w:val="false"/>
          <w:iCs w:val="false"/>
          <w:color w:val="111111"/>
          <w:sz w:val="22"/>
          <w:szCs w:val="22"/>
        </w:rPr>
        <w:t xml:space="preserve">The most technically complex part of ERP integration is tax. CTC mandates require explicit tax category codes, rates, taxable amounts, and tax amounts per line. ERP systems typically carry tax as:</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A tax code on each line item (MWSKZ in SAP, TaxGroup in Dynamics 365)</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GL account postings for tax amounts (visible in BSEG/accounting document, not in the IDoc itself)</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A total tax amount on the document header (E1EDK04 in IDoc INVOIC02)</w:t>
      </w:r>
    </w:p>
    <w:p>
      <w:pPr>
        <w:spacing w:after="80" w:before="80"/>
        <w:jc w:val="left"/>
      </w:pPr>
      <w:r>
        <w:rPr>
          <w:rFonts w:ascii="Calibri" w:cs="Calibri" w:eastAsia="Calibri" w:hAnsi="Calibri"/>
          <w:b w:val="false"/>
          <w:bCs w:val="false"/>
          <w:i w:val="false"/>
          <w:iCs w:val="false"/>
          <w:color w:val="111111"/>
          <w:sz w:val="22"/>
          <w:szCs w:val="22"/>
        </w:rPr>
        <w:t xml:space="preserve">The </w:t>
      </w:r>
      <w:r>
        <w:rPr>
          <w:rFonts w:ascii="Courier New" w:cs="Courier New" w:eastAsia="Courier New" w:hAnsi="Courier New"/>
          <w:b w:val="false"/>
          <w:bCs w:val="false"/>
          <w:color w:val="1A4A8A"/>
          <w:sz w:val="18"/>
          <w:szCs w:val="18"/>
        </w:rPr>
        <w:t xml:space="preserve">erp_enrich</w:t>
      </w:r>
      <w:r>
        <w:rPr>
          <w:rFonts w:ascii="Calibri" w:cs="Calibri" w:eastAsia="Calibri" w:hAnsi="Calibri"/>
          <w:b w:val="false"/>
          <w:bCs w:val="false"/>
          <w:i w:val="false"/>
          <w:iCs w:val="false"/>
          <w:color w:val="111111"/>
          <w:sz w:val="22"/>
          <w:szCs w:val="22"/>
        </w:rPr>
        <w:t xml:space="preserve"> rule kind handles tax reconstruction. For each supported ERP type, a registered fn rule reads the tax code per line, looks it up in the value map to get categoryCode and rate, and constructs TaxApplication entries. For SAP IDoc specifically, tax amounts must be derived from the IDOC totals segment E1EDK04 when line-level tax amounts are absent.</w:t>
      </w:r>
    </w:p>
    <w:tbl>
      <w:tblPr>
        <w:tblW w:type="pct" w:w="100%"/>
        <w:tblBorders>
          <w:top w:val="none"/>
          <w:left w:val="none"/>
          <w:bottom w:val="none"/>
          <w:right w:val="none"/>
          <w:insideH w:val="single" w:color="auto" w:sz="4"/>
          <w:insideV w:val="single" w:color="auto" w:sz="4"/>
        </w:tblBorders>
        <w:tblCellMar>
          <w:top w:type="dxa" w:w="0"/>
          <w:left w:type="dxa" w:w="0"/>
          <w:bottom w:type="dxa" w:w="200"/>
          <w:right w:type="dxa" w:w="0"/>
        </w:tblCellMar>
      </w:tblPr>
      <w:tblGrid>
        <w:gridCol w:w="100"/>
        <w:gridCol w:w="100"/>
      </w:tblGrid>
      <w:tr>
        <w:tc>
          <w:tcPr>
            <w:tcW w:type="dxa" w:w="800"/>
            <w:shd w:fill="B85C00" w:val="clear"/>
          </w:tcPr>
          <w:p>
            <w:pPr>
              <w:spacing w:after="80" w:before="80"/>
              <w:jc w:val="center"/>
            </w:pPr>
            <w:r>
              <w:rPr>
                <w:rFonts w:ascii="Calibri" w:cs="Calibri" w:eastAsia="Calibri" w:hAnsi="Calibri"/>
                <w:b/>
                <w:bCs/>
                <w:color w:val="FFFFFF"/>
                <w:sz w:val="20"/>
                <w:szCs w:val="20"/>
              </w:rPr>
              <w:t xml:space="preserve">CAUTION</w:t>
            </w:r>
          </w:p>
        </w:tc>
        <w:tc>
          <w:tcPr>
            <w:tcW w:type="dxa" w:w="8800"/>
            <w:shd w:fill="FAEEDA" w:val="clear"/>
          </w:tcPr>
          <w:p>
            <w:pPr>
              <w:spacing w:after="80" w:before="80"/>
              <w:ind w:left="144"/>
            </w:pPr>
            <w:r>
              <w:rPr>
                <w:rFonts w:ascii="Calibri" w:cs="Calibri" w:eastAsia="Calibri" w:hAnsi="Calibri"/>
                <w:color w:val="111111"/>
                <w:sz w:val="20"/>
                <w:szCs w:val="20"/>
              </w:rPr>
              <w:t xml:space="preserve">NetSuite REST API does not expose taxDetails for vendor bills. Tax information for NetSuite must be retrieved via a supplementary SuiteQL query or extracted from the BI Publisher XML export. This is documented in the NetSuite connector profile and handled by the erp_enrich fn rule netsuite.reconstructTaxFromSuiteTax.</w:t>
            </w:r>
          </w:p>
        </w:tc>
      </w:tr>
    </w:tbl>
    <w:p>
      <w:pPr>
        <w:pStyle w:val="Heading2"/>
        <w:spacing w:after="120" w:before="280"/>
      </w:pPr>
      <w:r>
        <w:rPr>
          <w:rFonts w:ascii="Calibri" w:cs="Calibri" w:eastAsia="Calibri" w:hAnsi="Calibri"/>
          <w:b/>
          <w:bCs/>
          <w:color w:val="1A4A8A"/>
          <w:sz w:val="30"/>
          <w:szCs w:val="30"/>
        </w:rPr>
        <w:t xml:space="preserve">3.4  Party Resolution from Entity IDs</w:t>
      </w:r>
    </w:p>
    <w:p>
      <w:pPr>
        <w:spacing w:after="80" w:before="80"/>
        <w:jc w:val="left"/>
      </w:pPr>
      <w:r>
        <w:rPr>
          <w:rFonts w:ascii="Calibri" w:cs="Calibri" w:eastAsia="Calibri" w:hAnsi="Calibri"/>
          <w:b w:val="false"/>
          <w:bCs w:val="false"/>
          <w:i w:val="false"/>
          <w:iCs w:val="false"/>
          <w:color w:val="111111"/>
          <w:sz w:val="22"/>
          <w:szCs w:val="22"/>
        </w:rPr>
        <w:t xml:space="preserve">ERP systems typically carry customer and vendor data as internal entity IDs (SAP debtor number, NetSuite entity.id, Oracle party_id) rather than as structured address and identifier objects. Stage 1 must resolve these IDs to party data.</w:t>
      </w:r>
    </w:p>
    <w:p>
      <w:pPr>
        <w:spacing w:after="80" w:before="80"/>
        <w:jc w:val="left"/>
      </w:pPr>
      <w:r>
        <w:rPr>
          <w:rFonts w:ascii="Calibri" w:cs="Calibri" w:eastAsia="Calibri" w:hAnsi="Calibri"/>
          <w:b w:val="false"/>
          <w:bCs w:val="false"/>
          <w:i w:val="false"/>
          <w:iCs w:val="false"/>
          <w:color w:val="111111"/>
          <w:sz w:val="22"/>
          <w:szCs w:val="22"/>
        </w:rPr>
        <w:t xml:space="preserve">The connector profile declares a party resolution strategy:</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"inline"</w:t>
      </w:r>
      <w:r>
        <w:rPr>
          <w:rFonts w:ascii="Calibri" w:cs="Calibri" w:eastAsia="Calibri" w:hAnsi="Calibri"/>
          <w:b w:val="false"/>
          <w:bCs w:val="false"/>
          <w:i w:val="false"/>
          <w:iCs w:val="false"/>
          <w:color w:val="111111"/>
          <w:sz w:val="22"/>
          <w:szCs w:val="22"/>
        </w:rPr>
        <w:t xml:space="preserve"> — party data is embedded in the ERP output (most IDoc formats carry name and address in E1EDKA1 segments). Resolution is a simple field map.</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"lookup_api"</w:t>
      </w:r>
      <w:r>
        <w:rPr>
          <w:rFonts w:ascii="Calibri" w:cs="Calibri" w:eastAsia="Calibri" w:hAnsi="Calibri"/>
          <w:b w:val="false"/>
          <w:bCs w:val="false"/>
          <w:i w:val="false"/>
          <w:iCs w:val="false"/>
          <w:color w:val="111111"/>
          <w:sz w:val="22"/>
          <w:szCs w:val="22"/>
        </w:rPr>
        <w:t xml:space="preserve"> — party data must be fetched from the ERP master data API using the entity ID. The connector profile declares the lookup endpoint, authentication, and field mapping for the response. The result is cached by entity ID with a configurable TTL.</w:t>
      </w:r>
    </w:p>
    <w:p>
      <w:pPr>
        <w:pStyle w:val="ListParagraph"/>
        <w:numPr>
          <w:ilvl w:val="0"/>
          <w:numId w:val="1"/>
        </w:numPr>
        <w:spacing w:after="40" w:before="40"/>
        <w:ind w:left="360" w:hanging="360"/>
      </w:pPr>
      <w:r>
        <w:rPr>
          <w:rFonts w:ascii="Courier New" w:cs="Courier New" w:eastAsia="Courier New" w:hAnsi="Courier New"/>
          <w:b w:val="false"/>
          <w:bCs w:val="false"/>
          <w:color w:val="1A4A8A"/>
          <w:sz w:val="18"/>
          <w:szCs w:val="18"/>
        </w:rPr>
        <w:t xml:space="preserve">"lookup_file"</w:t>
      </w:r>
      <w:r>
        <w:rPr>
          <w:rFonts w:ascii="Calibri" w:cs="Calibri" w:eastAsia="Calibri" w:hAnsi="Calibri"/>
          <w:b w:val="false"/>
          <w:bCs w:val="false"/>
          <w:i w:val="false"/>
          <w:iCs w:val="false"/>
          <w:color w:val="111111"/>
          <w:sz w:val="22"/>
          <w:szCs w:val="22"/>
        </w:rPr>
        <w:t xml:space="preserve"> — party master data is provided as a pre-exported YAML/CSV file injected into the config volume. Suitable for environments where live API calls to ERP are not permitted.</w:t>
      </w:r>
    </w:p>
    <w:p>
      <w:pPr>
        <w:spacing w:after="80" w:before="80"/>
        <w:jc w:val="left"/>
      </w:pPr>
      <w:r>
        <w:rPr>
          <w:rFonts w:ascii="Calibri" w:cs="Calibri" w:eastAsia="Calibri" w:hAnsi="Calibri"/>
          <w:b w:val="false"/>
          <w:bCs w:val="false"/>
          <w:i w:val="false"/>
          <w:iCs w:val="false"/>
          <w:color w:val="111111"/>
          <w:sz w:val="22"/>
          <w:szCs w:val="22"/>
        </w:rPr>
        <w:t xml:space="preserve">Party lookup results are cached in Redis with a default 1-hour TTL. The TTL is configurable in the connector profile. Cache invalidation can be triggered via </w:t>
      </w:r>
      <w:r>
        <w:rPr>
          <w:rFonts w:ascii="Courier New" w:cs="Courier New" w:eastAsia="Courier New" w:hAnsi="Courier New"/>
          <w:b w:val="false"/>
          <w:bCs w:val="false"/>
          <w:color w:val="1A4A8A"/>
          <w:sz w:val="18"/>
          <w:szCs w:val="18"/>
        </w:rPr>
        <w:t xml:space="preserve">POST /admin/erp/cache/{entityType}/invalidate</w:t>
      </w:r>
      <w:r>
        <w:rPr>
          <w:rFonts w:ascii="Calibri" w:cs="Calibri" w:eastAsia="Calibri" w:hAnsi="Calibri"/>
          <w:b w:val="false"/>
          <w:bCs w:val="false"/>
          <w:i w:val="false"/>
          <w:iCs w:val="false"/>
          <w:color w:val="111111"/>
          <w:sz w:val="22"/>
          <w:szCs w:val="22"/>
        </w:rPr>
        <w:t xml:space="preserve">.</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4  Configuration Changes</w:t>
      </w:r>
    </w:p>
    <w:p>
      <w:pPr>
        <w:pStyle w:val="Heading2"/>
        <w:spacing w:after="120" w:before="280"/>
      </w:pPr>
      <w:r>
        <w:rPr>
          <w:rFonts w:ascii="Calibri" w:cs="Calibri" w:eastAsia="Calibri" w:hAnsi="Calibri"/>
          <w:b/>
          <w:bCs/>
          <w:color w:val="1A4A8A"/>
          <w:sz w:val="30"/>
          <w:szCs w:val="30"/>
        </w:rPr>
        <w:t xml:space="preserve">4.1  New Configuration Artefact Types</w:t>
      </w:r>
    </w:p>
    <w:p>
      <w:pPr>
        <w:spacing w:after="80" w:before="80"/>
        <w:jc w:val="left"/>
      </w:pPr>
      <w:r>
        <w:rPr>
          <w:rFonts w:ascii="Calibri" w:cs="Calibri" w:eastAsia="Calibri" w:hAnsi="Calibri"/>
          <w:b w:val="false"/>
          <w:bCs w:val="false"/>
          <w:i w:val="false"/>
          <w:iCs w:val="false"/>
          <w:color w:val="111111"/>
          <w:sz w:val="22"/>
          <w:szCs w:val="22"/>
        </w:rPr>
        <w:t xml:space="preserve">The following artefact types are added to the configuration volume alongside the existing mandate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200"/>
        <w:gridCol w:w="2800"/>
        <w:gridCol w:w="1200"/>
        <w:gridCol w:w="3400"/>
      </w:tblGrid>
      <w:tr>
        <w:trPr>
          <w:tblHeader/>
        </w:trPr>
        <w:tc>
          <w:tcPr>
            <w:tcW w:type="dxa" w:w="2200"/>
            <w:shd w:fill="0F2040" w:val="clear"/>
            <w:vAlign w:val="top"/>
          </w:tcPr>
          <w:p>
            <w:pPr>
              <w:spacing w:after="60" w:before="60"/>
              <w:ind w:left="72"/>
            </w:pPr>
            <w:r>
              <w:rPr>
                <w:rFonts w:ascii="Calibri" w:cs="Calibri" w:eastAsia="Calibri" w:hAnsi="Calibri"/>
                <w:b/>
                <w:bCs/>
                <w:color w:val="FFFFFF"/>
                <w:sz w:val="18"/>
                <w:szCs w:val="18"/>
              </w:rPr>
              <w:t xml:space="preserve">Artefact</w:t>
            </w:r>
          </w:p>
        </w:tc>
        <w:tc>
          <w:tcPr>
            <w:tcW w:type="dxa" w:w="2800"/>
            <w:shd w:fill="0F2040" w:val="clear"/>
            <w:vAlign w:val="top"/>
          </w:tcPr>
          <w:p>
            <w:pPr>
              <w:spacing w:after="60" w:before="60"/>
              <w:ind w:left="72"/>
            </w:pPr>
            <w:r>
              <w:rPr>
                <w:rFonts w:ascii="Calibri" w:cs="Calibri" w:eastAsia="Calibri" w:hAnsi="Calibri"/>
                <w:b/>
                <w:bCs/>
                <w:color w:val="FFFFFF"/>
                <w:sz w:val="18"/>
                <w:szCs w:val="18"/>
              </w:rPr>
              <w:t xml:space="preserve">Location</w:t>
            </w:r>
          </w:p>
        </w:tc>
        <w:tc>
          <w:tcPr>
            <w:tcW w:type="dxa" w:w="1200"/>
            <w:shd w:fill="0F2040" w:val="clear"/>
            <w:vAlign w:val="top"/>
          </w:tcPr>
          <w:p>
            <w:pPr>
              <w:spacing w:after="60" w:before="60"/>
              <w:ind w:left="72"/>
            </w:pPr>
            <w:r>
              <w:rPr>
                <w:rFonts w:ascii="Calibri" w:cs="Calibri" w:eastAsia="Calibri" w:hAnsi="Calibri"/>
                <w:b/>
                <w:bCs/>
                <w:color w:val="FFFFFF"/>
                <w:sz w:val="18"/>
                <w:szCs w:val="18"/>
              </w:rPr>
              <w:t xml:space="preserve">Hot-reload?</w:t>
            </w:r>
          </w:p>
        </w:tc>
        <w:tc>
          <w:tcPr>
            <w:tcW w:type="dxa" w:w="3400"/>
            <w:shd w:fill="0F2040" w:val="clear"/>
            <w:vAlign w:val="top"/>
          </w:tcPr>
          <w:p>
            <w:pPr>
              <w:spacing w:after="60" w:before="60"/>
              <w:ind w:left="72"/>
            </w:pPr>
            <w:r>
              <w:rPr>
                <w:rFonts w:ascii="Calibri" w:cs="Calibri" w:eastAsia="Calibri" w:hAnsi="Calibri"/>
                <w:b/>
                <w:bCs/>
                <w:color w:val="FFFFFF"/>
                <w:sz w:val="18"/>
                <w:szCs w:val="18"/>
              </w:rPr>
              <w:t xml:space="preserve">Description</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Connector profile</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config/erp/connectors/{erpType}-{version}.yaml</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3400"/>
            <w:shd w:fill="EEF5FC" w:val="clear"/>
            <w:vAlign w:val="top"/>
          </w:tcPr>
          <w:p>
            <w:pPr>
              <w:spacing w:after="60" w:before="60"/>
              <w:ind w:left="72"/>
            </w:pPr>
            <w:r>
              <w:rPr>
                <w:rFonts w:ascii="Calibri" w:cs="Calibri" w:eastAsia="Calibri" w:hAnsi="Calibri"/>
                <w:b w:val="false"/>
                <w:bCs w:val="false"/>
                <w:color w:val="111111"/>
                <w:sz w:val="18"/>
                <w:szCs w:val="18"/>
              </w:rPr>
              <w:t xml:space="preserve">Declares erpType, outputFormat, entityType, and references to field map, value maps, and custom field files.</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ERP field map</w:t>
            </w:r>
          </w:p>
        </w:tc>
        <w:tc>
          <w:tcPr>
            <w:tcW w:type="dxa" w:w="2800"/>
            <w:shd w:fill="FFFFFF" w:val="clear"/>
            <w:vAlign w:val="top"/>
          </w:tcPr>
          <w:p>
            <w:pPr>
              <w:spacing w:after="60" w:before="60"/>
              <w:ind w:left="72"/>
            </w:pPr>
            <w:r>
              <w:rPr>
                <w:rFonts w:ascii="Calibri" w:cs="Calibri" w:eastAsia="Calibri" w:hAnsi="Calibri"/>
                <w:b w:val="false"/>
                <w:bCs w:val="false"/>
                <w:color w:val="111111"/>
                <w:sz w:val="18"/>
                <w:szCs w:val="18"/>
              </w:rPr>
              <w:t xml:space="preserve">config/erp/fieldmaps/{erpType}-{version}-{entityType}.yaml</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3400"/>
            <w:shd w:fill="FFFFFF" w:val="clear"/>
            <w:vAlign w:val="top"/>
          </w:tcPr>
          <w:p>
            <w:pPr>
              <w:spacing w:after="60" w:before="60"/>
              <w:ind w:left="72"/>
            </w:pPr>
            <w:r>
              <w:rPr>
                <w:rFonts w:ascii="Calibri" w:cs="Calibri" w:eastAsia="Calibri" w:hAnsi="Calibri"/>
                <w:b w:val="false"/>
                <w:bCs w:val="false"/>
                <w:color w:val="111111"/>
                <w:sz w:val="18"/>
                <w:szCs w:val="18"/>
              </w:rPr>
              <w:t xml:space="preserve">Rule file using erp_path, erp_lookup, erp_custom, erp_enrich rule kinds. Maps ERP fields to SemanticDocument paths.</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Value maps</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config/erp/valuemaps/{erpType}-{version}.yaml</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3400"/>
            <w:shd w:fill="EEF5FC" w:val="clear"/>
            <w:vAlign w:val="top"/>
          </w:tcPr>
          <w:p>
            <w:pPr>
              <w:spacing w:after="60" w:before="60"/>
              <w:ind w:left="72"/>
            </w:pPr>
            <w:r>
              <w:rPr>
                <w:rFonts w:ascii="Calibri" w:cs="Calibri" w:eastAsia="Calibri" w:hAnsi="Calibri"/>
                <w:b w:val="false"/>
                <w:bCs w:val="false"/>
                <w:color w:val="111111"/>
                <w:sz w:val="18"/>
                <w:szCs w:val="18"/>
              </w:rPr>
              <w:t xml:space="preserve">Lookup tables for tax codes, UOM codes, payment terms, GL account mappings.</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Custom field registry</w:t>
            </w:r>
          </w:p>
        </w:tc>
        <w:tc>
          <w:tcPr>
            <w:tcW w:type="dxa" w:w="2800"/>
            <w:shd w:fill="FFFFFF" w:val="clear"/>
            <w:vAlign w:val="top"/>
          </w:tcPr>
          <w:p>
            <w:pPr>
              <w:spacing w:after="60" w:before="60"/>
              <w:ind w:left="72"/>
            </w:pPr>
            <w:r>
              <w:rPr>
                <w:rFonts w:ascii="Calibri" w:cs="Calibri" w:eastAsia="Calibri" w:hAnsi="Calibri"/>
                <w:b w:val="false"/>
                <w:bCs w:val="false"/>
                <w:color w:val="111111"/>
                <w:sz w:val="18"/>
                <w:szCs w:val="18"/>
              </w:rPr>
              <w:t xml:space="preserve">config/erp/customfields/{customerId}-{erpType}.yaml</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3400"/>
            <w:shd w:fill="FFFFFF" w:val="clear"/>
            <w:vAlign w:val="top"/>
          </w:tcPr>
          <w:p>
            <w:pPr>
              <w:spacing w:after="60" w:before="60"/>
              <w:ind w:left="72"/>
            </w:pPr>
            <w:r>
              <w:rPr>
                <w:rFonts w:ascii="Calibri" w:cs="Calibri" w:eastAsia="Calibri" w:hAnsi="Calibri"/>
                <w:b w:val="false"/>
                <w:bCs w:val="false"/>
                <w:color w:val="111111"/>
                <w:sz w:val="18"/>
                <w:szCs w:val="18"/>
              </w:rPr>
              <w:t xml:space="preserve">Per-customer custom field declarations. Injected alongside the standard field map. Multiple customers can share the same ERP type with different custom field files.</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Party lookup config</w:t>
            </w:r>
          </w:p>
        </w:tc>
        <w:tc>
          <w:tcPr>
            <w:tcW w:type="dxa" w:w="2800"/>
            <w:shd w:fill="EEF5FC" w:val="clear"/>
            <w:vAlign w:val="top"/>
          </w:tcPr>
          <w:p>
            <w:pPr>
              <w:spacing w:after="60" w:before="60"/>
              <w:ind w:left="72"/>
            </w:pPr>
            <w:r>
              <w:rPr>
                <w:rFonts w:ascii="Calibri" w:cs="Calibri" w:eastAsia="Calibri" w:hAnsi="Calibri"/>
                <w:b w:val="false"/>
                <w:bCs w:val="false"/>
                <w:color w:val="111111"/>
                <w:sz w:val="18"/>
                <w:szCs w:val="18"/>
              </w:rPr>
              <w:t xml:space="preserve">config/erp/partylookup/{erpType}.yaml</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3400"/>
            <w:shd w:fill="EEF5FC" w:val="clear"/>
            <w:vAlign w:val="top"/>
          </w:tcPr>
          <w:p>
            <w:pPr>
              <w:spacing w:after="60" w:before="60"/>
              <w:ind w:left="72"/>
            </w:pPr>
            <w:r>
              <w:rPr>
                <w:rFonts w:ascii="Calibri" w:cs="Calibri" w:eastAsia="Calibri" w:hAnsi="Calibri"/>
                <w:b w:val="false"/>
                <w:bCs w:val="false"/>
                <w:color w:val="111111"/>
                <w:sz w:val="18"/>
                <w:szCs w:val="18"/>
              </w:rPr>
              <w:t xml:space="preserve">Party resolution strategy, lookup endpoint, auth method, field mapping, cache TTL.</w:t>
            </w:r>
          </w:p>
        </w:tc>
      </w:tr>
    </w:tbl>
    <w:p>
      <w:pPr>
        <w:pStyle w:val="Heading2"/>
        <w:spacing w:after="120" w:before="280"/>
      </w:pPr>
      <w:r>
        <w:rPr>
          <w:rFonts w:ascii="Calibri" w:cs="Calibri" w:eastAsia="Calibri" w:hAnsi="Calibri"/>
          <w:b/>
          <w:bCs/>
          <w:color w:val="1A4A8A"/>
          <w:sz w:val="30"/>
          <w:szCs w:val="30"/>
        </w:rPr>
        <w:t xml:space="preserve">4.2  Updated Directory Layout</w:t>
      </w:r>
    </w:p>
    <w:p>
      <w:pPr>
        <w:spacing w:after="80" w:before="40"/>
        <w:jc w:val="left"/>
      </w:pPr>
      <w:r>
        <w:rPr>
          <w:rFonts w:ascii="Courier New" w:cs="Courier New" w:eastAsia="Courier New" w:hAnsi="Courier New"/>
          <w:b w:val="false"/>
          <w:bCs w:val="false"/>
          <w:color w:val="1A4A8A"/>
          <w:sz w:val="18"/>
          <w:szCs w:val="18"/>
        </w:rPr>
        <w:t xml:space="preserve">/config</w:t>
      </w:r>
    </w:p>
    <w:p>
      <w:pPr>
        <w:spacing w:after="80" w:before="80"/>
        <w:ind w:left="144"/>
        <w:jc w:val="left"/>
      </w:pPr>
      <w:r>
        <w:rPr>
          <w:rFonts w:ascii="Courier New" w:cs="Courier New" w:eastAsia="Courier New" w:hAnsi="Courier New"/>
          <w:b w:val="false"/>
          <w:bCs w:val="false"/>
          <w:color w:val="1A4A8A"/>
          <w:sz w:val="18"/>
          <w:szCs w:val="18"/>
        </w:rPr>
        <w:t xml:space="preserve">  /erp                        # NEW — ERP integration configuration</w:t>
      </w:r>
    </w:p>
    <w:p>
      <w:pPr>
        <w:spacing w:after="80" w:before="80"/>
        <w:ind w:left="288"/>
        <w:jc w:val="left"/>
      </w:pPr>
      <w:r>
        <w:rPr>
          <w:rFonts w:ascii="Courier New" w:cs="Courier New" w:eastAsia="Courier New" w:hAnsi="Courier New"/>
          <w:b w:val="false"/>
          <w:bCs w:val="false"/>
          <w:color w:val="1A4A8A"/>
          <w:sz w:val="18"/>
          <w:szCs w:val="18"/>
        </w:rPr>
        <w:t xml:space="preserve">    /connectors               # One file per (erpType, version)</w:t>
      </w:r>
    </w:p>
    <w:p>
      <w:pPr>
        <w:spacing w:after="80" w:before="80"/>
        <w:ind w:left="431"/>
        <w:jc w:val="left"/>
      </w:pPr>
      <w:r>
        <w:rPr>
          <w:rFonts w:ascii="Courier New" w:cs="Courier New" w:eastAsia="Courier New" w:hAnsi="Courier New"/>
          <w:b w:val="false"/>
          <w:bCs w:val="false"/>
          <w:color w:val="1A4A8A"/>
          <w:sz w:val="18"/>
          <w:szCs w:val="18"/>
        </w:rPr>
        <w:t xml:space="preserve">      sap-idoc-s4hana2023.yaml</w:t>
      </w:r>
    </w:p>
    <w:p>
      <w:pPr>
        <w:spacing w:after="80" w:before="80"/>
        <w:ind w:left="431"/>
        <w:jc w:val="left"/>
      </w:pPr>
      <w:r>
        <w:rPr>
          <w:rFonts w:ascii="Courier New" w:cs="Courier New" w:eastAsia="Courier New" w:hAnsi="Courier New"/>
          <w:b w:val="false"/>
          <w:bCs w:val="false"/>
          <w:color w:val="1A4A8A"/>
          <w:sz w:val="18"/>
          <w:szCs w:val="18"/>
        </w:rPr>
        <w:t xml:space="preserve">      netsuite-2026.1.yaml</w:t>
      </w:r>
    </w:p>
    <w:p>
      <w:pPr>
        <w:spacing w:after="80" w:before="80"/>
        <w:ind w:left="431"/>
        <w:jc w:val="left"/>
      </w:pPr>
      <w:r>
        <w:rPr>
          <w:rFonts w:ascii="Courier New" w:cs="Courier New" w:eastAsia="Courier New" w:hAnsi="Courier New"/>
          <w:b w:val="false"/>
          <w:bCs w:val="false"/>
          <w:color w:val="1A4A8A"/>
          <w:sz w:val="18"/>
          <w:szCs w:val="18"/>
        </w:rPr>
        <w:t xml:space="preserve">      oracle-fusion-24b.yaml</w:t>
      </w:r>
    </w:p>
    <w:p>
      <w:pPr>
        <w:spacing w:after="80" w:before="80"/>
        <w:ind w:left="431"/>
        <w:jc w:val="left"/>
      </w:pPr>
      <w:r>
        <w:rPr>
          <w:rFonts w:ascii="Courier New" w:cs="Courier New" w:eastAsia="Courier New" w:hAnsi="Courier New"/>
          <w:b w:val="false"/>
          <w:bCs w:val="false"/>
          <w:color w:val="1A4A8A"/>
          <w:sz w:val="18"/>
          <w:szCs w:val="18"/>
        </w:rPr>
        <w:t xml:space="preserve">      dynamics-365-fo-2024.yaml</w:t>
      </w:r>
    </w:p>
    <w:p>
      <w:pPr>
        <w:spacing w:after="80" w:before="80"/>
        <w:ind w:left="431"/>
        <w:jc w:val="left"/>
      </w:pPr>
      <w:r>
        <w:rPr>
          <w:rFonts w:ascii="Courier New" w:cs="Courier New" w:eastAsia="Courier New" w:hAnsi="Courier New"/>
          <w:b w:val="false"/>
          <w:bCs w:val="false"/>
          <w:color w:val="1A4A8A"/>
          <w:sz w:val="18"/>
          <w:szCs w:val="18"/>
        </w:rPr>
        <w:t xml:space="preserve">      custom-{customerId}.yaml</w:t>
      </w:r>
    </w:p>
    <w:p>
      <w:pPr>
        <w:spacing w:after="80" w:before="80"/>
        <w:ind w:left="288"/>
        <w:jc w:val="left"/>
      </w:pPr>
      <w:r>
        <w:rPr>
          <w:rFonts w:ascii="Courier New" w:cs="Courier New" w:eastAsia="Courier New" w:hAnsi="Courier New"/>
          <w:b w:val="false"/>
          <w:bCs w:val="false"/>
          <w:color w:val="1A4A8A"/>
          <w:sz w:val="18"/>
          <w:szCs w:val="18"/>
        </w:rPr>
        <w:t xml:space="preserve">    /fieldmaps                # ERP → SemanticDocument mapping rules</w:t>
      </w:r>
    </w:p>
    <w:p>
      <w:pPr>
        <w:spacing w:after="80" w:before="80"/>
        <w:ind w:left="431"/>
        <w:jc w:val="left"/>
      </w:pPr>
      <w:r>
        <w:rPr>
          <w:rFonts w:ascii="Courier New" w:cs="Courier New" w:eastAsia="Courier New" w:hAnsi="Courier New"/>
          <w:b w:val="false"/>
          <w:bCs w:val="false"/>
          <w:color w:val="1A4A8A"/>
          <w:sz w:val="18"/>
          <w:szCs w:val="18"/>
        </w:rPr>
        <w:t xml:space="preserve">      sap-idoc-s4hana2023-invoice.yaml</w:t>
      </w:r>
    </w:p>
    <w:p>
      <w:pPr>
        <w:spacing w:after="80" w:before="80"/>
        <w:ind w:left="431"/>
        <w:jc w:val="left"/>
      </w:pPr>
      <w:r>
        <w:rPr>
          <w:rFonts w:ascii="Courier New" w:cs="Courier New" w:eastAsia="Courier New" w:hAnsi="Courier New"/>
          <w:b w:val="false"/>
          <w:bCs w:val="false"/>
          <w:color w:val="1A4A8A"/>
          <w:sz w:val="18"/>
          <w:szCs w:val="18"/>
        </w:rPr>
        <w:t xml:space="preserve">      sap-idoc-s4hana2023-creditmemo.yaml</w:t>
      </w:r>
    </w:p>
    <w:p>
      <w:pPr>
        <w:spacing w:after="80" w:before="80"/>
        <w:ind w:left="431"/>
        <w:jc w:val="left"/>
      </w:pPr>
      <w:r>
        <w:rPr>
          <w:rFonts w:ascii="Courier New" w:cs="Courier New" w:eastAsia="Courier New" w:hAnsi="Courier New"/>
          <w:b w:val="false"/>
          <w:bCs w:val="false"/>
          <w:color w:val="1A4A8A"/>
          <w:sz w:val="18"/>
          <w:szCs w:val="18"/>
        </w:rPr>
        <w:t xml:space="preserve">      netsuite-2026.1-invoice.yaml</w:t>
      </w:r>
    </w:p>
    <w:p>
      <w:pPr>
        <w:spacing w:after="80" w:before="80"/>
        <w:ind w:left="288"/>
        <w:jc w:val="left"/>
      </w:pPr>
      <w:r>
        <w:rPr>
          <w:rFonts w:ascii="Courier New" w:cs="Courier New" w:eastAsia="Courier New" w:hAnsi="Courier New"/>
          <w:b w:val="false"/>
          <w:bCs w:val="false"/>
          <w:color w:val="1A4A8A"/>
          <w:sz w:val="18"/>
          <w:szCs w:val="18"/>
        </w:rPr>
        <w:t xml:space="preserve">    /valuemaps                # Tax code, UOM, payment term lookups</w:t>
      </w:r>
    </w:p>
    <w:p>
      <w:pPr>
        <w:spacing w:after="80" w:before="80"/>
        <w:ind w:left="431"/>
        <w:jc w:val="left"/>
      </w:pPr>
      <w:r>
        <w:rPr>
          <w:rFonts w:ascii="Courier New" w:cs="Courier New" w:eastAsia="Courier New" w:hAnsi="Courier New"/>
          <w:b w:val="false"/>
          <w:bCs w:val="false"/>
          <w:color w:val="1A4A8A"/>
          <w:sz w:val="18"/>
          <w:szCs w:val="18"/>
        </w:rPr>
        <w:t xml:space="preserve">      sap-s4hana2023.yaml</w:t>
      </w:r>
    </w:p>
    <w:p>
      <w:pPr>
        <w:spacing w:after="80" w:before="80"/>
        <w:ind w:left="431"/>
        <w:jc w:val="left"/>
      </w:pPr>
      <w:r>
        <w:rPr>
          <w:rFonts w:ascii="Courier New" w:cs="Courier New" w:eastAsia="Courier New" w:hAnsi="Courier New"/>
          <w:b w:val="false"/>
          <w:bCs w:val="false"/>
          <w:color w:val="1A4A8A"/>
          <w:sz w:val="18"/>
          <w:szCs w:val="18"/>
        </w:rPr>
        <w:t xml:space="preserve">      netsuite-2026.1.yaml</w:t>
      </w:r>
    </w:p>
    <w:p>
      <w:pPr>
        <w:spacing w:after="80" w:before="80"/>
        <w:ind w:left="288"/>
        <w:jc w:val="left"/>
      </w:pPr>
      <w:r>
        <w:rPr>
          <w:rFonts w:ascii="Courier New" w:cs="Courier New" w:eastAsia="Courier New" w:hAnsi="Courier New"/>
          <w:b w:val="false"/>
          <w:bCs w:val="false"/>
          <w:color w:val="1A4A8A"/>
          <w:sz w:val="18"/>
          <w:szCs w:val="18"/>
        </w:rPr>
        <w:t xml:space="preserve">    /customfields             # Per-customer custom field registries</w:t>
      </w:r>
    </w:p>
    <w:p>
      <w:pPr>
        <w:spacing w:after="80" w:before="80"/>
        <w:ind w:left="431"/>
        <w:jc w:val="left"/>
      </w:pPr>
      <w:r>
        <w:rPr>
          <w:rFonts w:ascii="Courier New" w:cs="Courier New" w:eastAsia="Courier New" w:hAnsi="Courier New"/>
          <w:b w:val="false"/>
          <w:bCs w:val="false"/>
          <w:color w:val="1A4A8A"/>
          <w:sz w:val="18"/>
          <w:szCs w:val="18"/>
        </w:rPr>
        <w:t xml:space="preserve">      acme-corp-sap.yaml</w:t>
      </w:r>
    </w:p>
    <w:p>
      <w:pPr>
        <w:spacing w:after="80" w:before="80"/>
        <w:ind w:left="431"/>
        <w:jc w:val="left"/>
      </w:pPr>
      <w:r>
        <w:rPr>
          <w:rFonts w:ascii="Courier New" w:cs="Courier New" w:eastAsia="Courier New" w:hAnsi="Courier New"/>
          <w:b w:val="false"/>
          <w:bCs w:val="false"/>
          <w:color w:val="1A4A8A"/>
          <w:sz w:val="18"/>
          <w:szCs w:val="18"/>
        </w:rPr>
        <w:t xml:space="preserve">      betacorp-netsuite.yaml</w:t>
      </w:r>
    </w:p>
    <w:p>
      <w:pPr>
        <w:spacing w:after="80" w:before="80"/>
        <w:ind w:left="288"/>
        <w:jc w:val="left"/>
      </w:pPr>
      <w:r>
        <w:rPr>
          <w:rFonts w:ascii="Courier New" w:cs="Courier New" w:eastAsia="Courier New" w:hAnsi="Courier New"/>
          <w:b w:val="false"/>
          <w:bCs w:val="false"/>
          <w:color w:val="1A4A8A"/>
          <w:sz w:val="18"/>
          <w:szCs w:val="18"/>
        </w:rPr>
        <w:t xml:space="preserve">    /partylookup              # Party resolution strategies</w:t>
      </w:r>
    </w:p>
    <w:p>
      <w:pPr>
        <w:spacing w:after="80" w:before="80"/>
        <w:ind w:left="431"/>
        <w:jc w:val="left"/>
      </w:pPr>
      <w:r>
        <w:rPr>
          <w:rFonts w:ascii="Courier New" w:cs="Courier New" w:eastAsia="Courier New" w:hAnsi="Courier New"/>
          <w:b w:val="false"/>
          <w:bCs w:val="false"/>
          <w:color w:val="1A4A8A"/>
          <w:sz w:val="18"/>
          <w:szCs w:val="18"/>
        </w:rPr>
        <w:t xml:space="preserve">      sap-idoc-partylookup.yaml</w:t>
      </w:r>
    </w:p>
    <w:p>
      <w:pPr>
        <w:spacing w:after="80" w:before="80"/>
        <w:ind w:left="144"/>
        <w:jc w:val="left"/>
      </w:pPr>
      <w:r>
        <w:rPr>
          <w:rFonts w:ascii="Courier New" w:cs="Courier New" w:eastAsia="Courier New" w:hAnsi="Courier New"/>
          <w:b w:val="false"/>
          <w:bCs w:val="false"/>
          <w:color w:val="1A4A8A"/>
          <w:sz w:val="18"/>
          <w:szCs w:val="18"/>
        </w:rPr>
        <w:t xml:space="preserve">  /mandates                   # UNCHANGED — country mandate packs</w:t>
      </w:r>
    </w:p>
    <w:p>
      <w:pPr>
        <w:spacing w:after="80" w:before="80"/>
        <w:ind w:left="144"/>
        <w:jc w:val="left"/>
      </w:pPr>
      <w:r>
        <w:rPr>
          <w:rFonts w:ascii="Courier New" w:cs="Courier New" w:eastAsia="Courier New" w:hAnsi="Courier New"/>
          <w:b w:val="false"/>
          <w:bCs w:val="false"/>
          <w:color w:val="1A4A8A"/>
          <w:sz w:val="18"/>
          <w:szCs w:val="18"/>
        </w:rPr>
        <w:t xml:space="preserve">  /lookups                    # UNCHANGED — shared code tables</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5  API Changes</w:t>
      </w:r>
    </w:p>
    <w:p>
      <w:pPr>
        <w:pStyle w:val="Heading2"/>
        <w:spacing w:after="120" w:before="280"/>
      </w:pPr>
      <w:r>
        <w:rPr>
          <w:rFonts w:ascii="Calibri" w:cs="Calibri" w:eastAsia="Calibri" w:hAnsi="Calibri"/>
          <w:b/>
          <w:bCs/>
          <w:color w:val="1A4A8A"/>
          <w:sz w:val="30"/>
          <w:szCs w:val="30"/>
        </w:rPr>
        <w:t xml:space="preserve">5.1  Updated Transform Endpoint</w:t>
      </w:r>
    </w:p>
    <w:p>
      <w:pPr>
        <w:spacing w:after="80" w:before="80"/>
        <w:jc w:val="left"/>
      </w:pPr>
      <w:r>
        <w:rPr>
          <w:rFonts w:ascii="Calibri" w:cs="Calibri" w:eastAsia="Calibri" w:hAnsi="Calibri"/>
          <w:b w:val="false"/>
          <w:bCs w:val="false"/>
          <w:i w:val="false"/>
          <w:iCs w:val="false"/>
          <w:color w:val="111111"/>
          <w:sz w:val="22"/>
          <w:szCs w:val="22"/>
        </w:rPr>
        <w:t xml:space="preserve">The </w:t>
      </w:r>
      <w:r>
        <w:rPr>
          <w:rFonts w:ascii="Courier New" w:cs="Courier New" w:eastAsia="Courier New" w:hAnsi="Courier New"/>
          <w:b w:val="false"/>
          <w:bCs w:val="false"/>
          <w:color w:val="1A4A8A"/>
          <w:sz w:val="18"/>
          <w:szCs w:val="18"/>
        </w:rPr>
        <w:t xml:space="preserve">POST /v1/transform</w:t>
      </w:r>
      <w:r>
        <w:rPr>
          <w:rFonts w:ascii="Calibri" w:cs="Calibri" w:eastAsia="Calibri" w:hAnsi="Calibri"/>
          <w:b w:val="false"/>
          <w:bCs w:val="false"/>
          <w:i w:val="false"/>
          <w:iCs w:val="false"/>
          <w:color w:val="111111"/>
          <w:sz w:val="22"/>
          <w:szCs w:val="22"/>
        </w:rPr>
        <w:t xml:space="preserve"> endpoint gains a </w:t>
      </w:r>
      <w:r>
        <w:rPr>
          <w:rFonts w:ascii="Courier New" w:cs="Courier New" w:eastAsia="Courier New" w:hAnsi="Courier New"/>
          <w:b w:val="false"/>
          <w:bCs w:val="false"/>
          <w:color w:val="1A4A8A"/>
          <w:sz w:val="18"/>
          <w:szCs w:val="18"/>
        </w:rPr>
        <w:t xml:space="preserve">sourceType</w:t>
      </w:r>
      <w:r>
        <w:rPr>
          <w:rFonts w:ascii="Calibri" w:cs="Calibri" w:eastAsia="Calibri" w:hAnsi="Calibri"/>
          <w:b w:val="false"/>
          <w:bCs w:val="false"/>
          <w:i w:val="false"/>
          <w:iCs w:val="false"/>
          <w:color w:val="111111"/>
          <w:sz w:val="22"/>
          <w:szCs w:val="22"/>
        </w:rPr>
        <w:t xml:space="preserve"> discriminator and an </w:t>
      </w:r>
      <w:r>
        <w:rPr>
          <w:rFonts w:ascii="Courier New" w:cs="Courier New" w:eastAsia="Courier New" w:hAnsi="Courier New"/>
          <w:b w:val="false"/>
          <w:bCs w:val="false"/>
          <w:color w:val="1A4A8A"/>
          <w:sz w:val="18"/>
          <w:szCs w:val="18"/>
        </w:rPr>
        <w:t xml:space="preserve">erpConnector</w:t>
      </w:r>
      <w:r>
        <w:rPr>
          <w:rFonts w:ascii="Calibri" w:cs="Calibri" w:eastAsia="Calibri" w:hAnsi="Calibri"/>
          <w:b w:val="false"/>
          <w:bCs w:val="false"/>
          <w:i w:val="false"/>
          <w:iCs w:val="false"/>
          <w:color w:val="111111"/>
          <w:sz w:val="22"/>
          <w:szCs w:val="22"/>
        </w:rPr>
        <w:t xml:space="preserve"> object for ERP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400"/>
        <w:gridCol w:w="1800"/>
        <w:gridCol w:w="1400"/>
        <w:gridCol w:w="4000"/>
      </w:tblGrid>
      <w:tr>
        <w:trPr>
          <w:tblHeader/>
        </w:trPr>
        <w:tc>
          <w:tcPr>
            <w:tcW w:type="dxa" w:w="2400"/>
            <w:shd w:fill="0F2040" w:val="clear"/>
            <w:vAlign w:val="top"/>
          </w:tcPr>
          <w:p>
            <w:pPr>
              <w:spacing w:after="60" w:before="60"/>
              <w:ind w:left="72"/>
            </w:pPr>
            <w:r>
              <w:rPr>
                <w:rFonts w:ascii="Calibri" w:cs="Calibri" w:eastAsia="Calibri" w:hAnsi="Calibri"/>
                <w:b/>
                <w:bCs/>
                <w:color w:val="FFFFFF"/>
                <w:sz w:val="18"/>
                <w:szCs w:val="18"/>
              </w:rPr>
              <w:t xml:space="preserve">Field</w:t>
            </w:r>
          </w:p>
        </w:tc>
        <w:tc>
          <w:tcPr>
            <w:tcW w:type="dxa" w:w="1800"/>
            <w:shd w:fill="0F2040" w:val="clear"/>
            <w:vAlign w:val="top"/>
          </w:tcPr>
          <w:p>
            <w:pPr>
              <w:spacing w:after="60" w:before="60"/>
              <w:ind w:left="72"/>
            </w:pPr>
            <w:r>
              <w:rPr>
                <w:rFonts w:ascii="Calibri" w:cs="Calibri" w:eastAsia="Calibri" w:hAnsi="Calibri"/>
                <w:b/>
                <w:bCs/>
                <w:color w:val="FFFFFF"/>
                <w:sz w:val="18"/>
                <w:szCs w:val="18"/>
              </w:rPr>
              <w:t xml:space="preserve">Type</w:t>
            </w:r>
          </w:p>
        </w:tc>
        <w:tc>
          <w:tcPr>
            <w:tcW w:type="dxa" w:w="1400"/>
            <w:shd w:fill="0F2040" w:val="clear"/>
            <w:vAlign w:val="top"/>
          </w:tcPr>
          <w:p>
            <w:pPr>
              <w:spacing w:after="60" w:before="60"/>
              <w:ind w:left="72"/>
            </w:pPr>
            <w:r>
              <w:rPr>
                <w:rFonts w:ascii="Calibri" w:cs="Calibri" w:eastAsia="Calibri" w:hAnsi="Calibri"/>
                <w:b/>
                <w:bCs/>
                <w:color w:val="FFFFFF"/>
                <w:sz w:val="18"/>
                <w:szCs w:val="18"/>
              </w:rPr>
              <w:t xml:space="preserve">Required</w:t>
            </w:r>
          </w:p>
        </w:tc>
        <w:tc>
          <w:tcPr>
            <w:tcW w:type="dxa" w:w="4000"/>
            <w:shd w:fill="0F2040" w:val="clear"/>
            <w:vAlign w:val="top"/>
          </w:tcPr>
          <w:p>
            <w:pPr>
              <w:spacing w:after="60" w:before="60"/>
              <w:ind w:left="72"/>
            </w:pPr>
            <w:r>
              <w:rPr>
                <w:rFonts w:ascii="Calibri" w:cs="Calibri" w:eastAsia="Calibri" w:hAnsi="Calibri"/>
                <w:b/>
                <w:bCs/>
                <w:color w:val="FFFFFF"/>
                <w:sz w:val="18"/>
                <w:szCs w:val="18"/>
              </w:rPr>
              <w:t xml:space="preserve">Change from v1.0</w:t>
            </w:r>
          </w:p>
        </w:tc>
      </w:tr>
      <w:tr>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sourceType</w:t>
            </w:r>
          </w:p>
        </w:tc>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"ctc_format" | "erp"</w:t>
            </w:r>
          </w:p>
        </w:tc>
        <w:tc>
          <w:tcPr>
            <w:tcW w:type="dxa" w:w="1400"/>
            <w:shd w:fill="EEF5FC" w:val="clear"/>
            <w:vAlign w:val="top"/>
          </w:tcPr>
          <w:p>
            <w:pPr>
              <w:spacing w:after="60" w:before="60"/>
              <w:ind w:left="72"/>
            </w:pPr>
            <w:r>
              <w:rPr>
                <w:rFonts w:ascii="Calibri" w:cs="Calibri" w:eastAsia="Calibri" w:hAnsi="Calibri"/>
                <w:b w:val="false"/>
                <w:bCs w:val="false"/>
                <w:color w:val="111111"/>
                <w:sz w:val="18"/>
                <w:szCs w:val="18"/>
              </w:rPr>
              <w:t xml:space="preserve">Yes (new)</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New field. "ctc_format" = existing CTC format path; "erp" = Stage 1 ERP path. Default: auto-detect.</w:t>
            </w:r>
          </w:p>
        </w:tc>
      </w:tr>
      <w:tr>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erpConnector.erpType</w:t>
            </w:r>
          </w:p>
        </w:tc>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string</w:t>
            </w:r>
          </w:p>
        </w:tc>
        <w:tc>
          <w:tcPr>
            <w:tcW w:type="dxa" w:w="1400"/>
            <w:shd w:fill="FFFFFF" w:val="clear"/>
            <w:vAlign w:val="top"/>
          </w:tcPr>
          <w:p>
            <w:pPr>
              <w:spacing w:after="60" w:before="60"/>
              <w:ind w:left="72"/>
            </w:pPr>
            <w:r>
              <w:rPr>
                <w:rFonts w:ascii="Calibri" w:cs="Calibri" w:eastAsia="Calibri" w:hAnsi="Calibri"/>
                <w:b w:val="false"/>
                <w:bCs w:val="false"/>
                <w:color w:val="111111"/>
                <w:sz w:val="18"/>
                <w:szCs w:val="18"/>
              </w:rPr>
              <w:t xml:space="preserve">When sourceType="erp"</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New. Identifies the ERP system: "SAP_IDOC", "NETSUITE", "ORACLE_FUSION", etc.</w:t>
            </w:r>
          </w:p>
        </w:tc>
      </w:tr>
      <w:tr>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erpConnector.erpVersion</w:t>
            </w:r>
          </w:p>
        </w:tc>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string</w:t>
            </w:r>
          </w:p>
        </w:tc>
        <w:tc>
          <w:tcPr>
            <w:tcW w:type="dxa" w:w="1400"/>
            <w:shd w:fill="EEF5FC" w:val="clear"/>
            <w:vAlign w:val="top"/>
          </w:tcPr>
          <w:p>
            <w:pPr>
              <w:spacing w:after="60" w:before="60"/>
              <w:ind w:left="72"/>
            </w:pPr>
            <w:r>
              <w:rPr>
                <w:rFonts w:ascii="Calibri" w:cs="Calibri" w:eastAsia="Calibri" w:hAnsi="Calibri"/>
                <w:b w:val="false"/>
                <w:bCs w:val="false"/>
                <w:color w:val="111111"/>
                <w:sz w:val="18"/>
                <w:szCs w:val="18"/>
              </w:rPr>
              <w:t xml:space="preserve">When sourceType="erp"</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New. ERP schema version: "S4HANA_2023", "NETSUITE_2026.1", etc.</w:t>
            </w:r>
          </w:p>
        </w:tc>
      </w:tr>
      <w:tr>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erpConnector.entityType</w:t>
            </w:r>
          </w:p>
        </w:tc>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"INVOICE"|"CREDIT_MEMO"|"DEBIT_NOTE"</w:t>
            </w:r>
          </w:p>
        </w:tc>
        <w:tc>
          <w:tcPr>
            <w:tcW w:type="dxa" w:w="1400"/>
            <w:shd w:fill="FFFFFF" w:val="clear"/>
            <w:vAlign w:val="top"/>
          </w:tcPr>
          <w:p>
            <w:pPr>
              <w:spacing w:after="60" w:before="60"/>
              <w:ind w:left="72"/>
            </w:pPr>
            <w:r>
              <w:rPr>
                <w:rFonts w:ascii="Calibri" w:cs="Calibri" w:eastAsia="Calibri" w:hAnsi="Calibri"/>
                <w:b w:val="false"/>
                <w:bCs w:val="false"/>
                <w:color w:val="111111"/>
                <w:sz w:val="18"/>
                <w:szCs w:val="18"/>
              </w:rPr>
              <w:t xml:space="preserve">When sourceType="erp"</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New. The ERP document type being submitted.</w:t>
            </w:r>
          </w:p>
        </w:tc>
      </w:tr>
      <w:tr>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erpConnector.customerId</w:t>
            </w:r>
          </w:p>
        </w:tc>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string</w:t>
            </w:r>
          </w:p>
        </w:tc>
        <w:tc>
          <w:tcPr>
            <w:tcW w:type="dxa" w:w="1400"/>
            <w:shd w:fill="EEF5FC" w:val="clear"/>
            <w:vAlign w:val="top"/>
          </w:tcPr>
          <w:p>
            <w:pPr>
              <w:spacing w:after="60" w:before="60"/>
              <w:ind w:left="72"/>
            </w:pPr>
            <w:r>
              <w:rPr>
                <w:rFonts w:ascii="Calibri" w:cs="Calibri" w:eastAsia="Calibri" w:hAnsi="Calibri"/>
                <w:b w:val="false"/>
                <w:bCs w:val="false"/>
                <w:color w:val="111111"/>
                <w:sz w:val="18"/>
                <w:szCs w:val="18"/>
              </w:rPr>
              <w:t xml:space="preserve">No</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New. When provided, loads the per-customer custom field registry for this request.</w:t>
            </w:r>
          </w:p>
        </w:tc>
      </w:tr>
      <w:tr>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document</w:t>
            </w:r>
          </w:p>
        </w:tc>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string (base64)</w:t>
            </w:r>
          </w:p>
        </w:tc>
        <w:tc>
          <w:tcPr>
            <w:tcW w:type="dxa" w:w="1400"/>
            <w:shd w:fill="FFFFFF"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 Raw ERP document or CTC format document.</w:t>
            </w:r>
          </w:p>
        </w:tc>
      </w:tr>
      <w:tr>
        <w:tc>
          <w:tcPr>
            <w:tcW w:type="dxa" w:w="2400"/>
            <w:shd w:fill="EEF5FC" w:val="clear"/>
            <w:vAlign w:val="top"/>
          </w:tcPr>
          <w:p>
            <w:pPr>
              <w:spacing w:after="60" w:before="60"/>
              <w:ind w:left="72"/>
            </w:pPr>
            <w:r>
              <w:rPr>
                <w:rFonts w:ascii="Calibri" w:cs="Calibri" w:eastAsia="Calibri" w:hAnsi="Calibri"/>
                <w:b w:val="false"/>
                <w:bCs w:val="false"/>
                <w:color w:val="111111"/>
                <w:sz w:val="18"/>
                <w:szCs w:val="18"/>
              </w:rPr>
              <w:t xml:space="preserve">targetScope</w:t>
            </w:r>
          </w:p>
        </w:tc>
        <w:tc>
          <w:tcPr>
            <w:tcW w:type="dxa" w:w="1800"/>
            <w:shd w:fill="EEF5FC" w:val="clear"/>
            <w:vAlign w:val="top"/>
          </w:tcPr>
          <w:p>
            <w:pPr>
              <w:spacing w:after="60" w:before="60"/>
              <w:ind w:left="72"/>
            </w:pPr>
            <w:r>
              <w:rPr>
                <w:rFonts w:ascii="Calibri" w:cs="Calibri" w:eastAsia="Calibri" w:hAnsi="Calibri"/>
                <w:b w:val="false"/>
                <w:bCs w:val="false"/>
                <w:color w:val="111111"/>
                <w:sz w:val="18"/>
                <w:szCs w:val="18"/>
              </w:rPr>
              <w:t xml:space="preserve">MandateScope</w:t>
            </w:r>
          </w:p>
        </w:tc>
        <w:tc>
          <w:tcPr>
            <w:tcW w:type="dxa" w:w="1400"/>
            <w:shd w:fill="EEF5FC"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UNCHANGED. Target country mandate for Stage 2.</w:t>
            </w:r>
          </w:p>
        </w:tc>
      </w:tr>
      <w:tr>
        <w:tc>
          <w:tcPr>
            <w:tcW w:type="dxa" w:w="2400"/>
            <w:shd w:fill="FFFFFF" w:val="clear"/>
            <w:vAlign w:val="top"/>
          </w:tcPr>
          <w:p>
            <w:pPr>
              <w:spacing w:after="60" w:before="60"/>
              <w:ind w:left="72"/>
            </w:pPr>
            <w:r>
              <w:rPr>
                <w:rFonts w:ascii="Calibri" w:cs="Calibri" w:eastAsia="Calibri" w:hAnsi="Calibri"/>
                <w:b w:val="false"/>
                <w:bCs w:val="false"/>
                <w:color w:val="111111"/>
                <w:sz w:val="18"/>
                <w:szCs w:val="18"/>
              </w:rPr>
              <w:t xml:space="preserve">idempotencyKey</w:t>
            </w:r>
          </w:p>
        </w:tc>
        <w:tc>
          <w:tcPr>
            <w:tcW w:type="dxa" w:w="1800"/>
            <w:shd w:fill="FFFFFF" w:val="clear"/>
            <w:vAlign w:val="top"/>
          </w:tcPr>
          <w:p>
            <w:pPr>
              <w:spacing w:after="60" w:before="60"/>
              <w:ind w:left="72"/>
            </w:pPr>
            <w:r>
              <w:rPr>
                <w:rFonts w:ascii="Calibri" w:cs="Calibri" w:eastAsia="Calibri" w:hAnsi="Calibri"/>
                <w:b w:val="false"/>
                <w:bCs w:val="false"/>
                <w:color w:val="111111"/>
                <w:sz w:val="18"/>
                <w:szCs w:val="18"/>
              </w:rPr>
              <w:t xml:space="preserve">UUID</w:t>
            </w:r>
          </w:p>
        </w:tc>
        <w:tc>
          <w:tcPr>
            <w:tcW w:type="dxa" w:w="1400"/>
            <w:shd w:fill="FFFFFF" w:val="clear"/>
            <w:vAlign w:val="top"/>
          </w:tcPr>
          <w:p>
            <w:pPr>
              <w:spacing w:after="60" w:before="60"/>
              <w:ind w:left="72"/>
            </w:pPr>
            <w:r>
              <w:rPr>
                <w:rFonts w:ascii="Calibri" w:cs="Calibri" w:eastAsia="Calibri" w:hAnsi="Calibri"/>
                <w:b w:val="false"/>
                <w:bCs w:val="false"/>
                <w:color w:val="111111"/>
                <w:sz w:val="18"/>
                <w:szCs w:val="18"/>
              </w:rPr>
              <w:t xml:space="preserve">Yes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w:t>
            </w:r>
          </w:p>
        </w:tc>
      </w:tr>
    </w:tbl>
    <w:p>
      <w:pPr>
        <w:pStyle w:val="Heading2"/>
        <w:spacing w:after="120" w:before="280"/>
      </w:pPr>
      <w:r>
        <w:rPr>
          <w:rFonts w:ascii="Calibri" w:cs="Calibri" w:eastAsia="Calibri" w:hAnsi="Calibri"/>
          <w:b/>
          <w:bCs/>
          <w:color w:val="1A4A8A"/>
          <w:sz w:val="30"/>
          <w:szCs w:val="30"/>
        </w:rPr>
        <w:t xml:space="preserve">5.2  New ERP Admin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1200"/>
        <w:gridCol w:w="5200"/>
      </w:tblGrid>
      <w:tr>
        <w:trPr>
          <w:tblHeader/>
        </w:trPr>
        <w:tc>
          <w:tcPr>
            <w:tcW w:type="dxa" w:w="3200"/>
            <w:shd w:fill="0F2040" w:val="clear"/>
            <w:vAlign w:val="top"/>
          </w:tcPr>
          <w:p>
            <w:pPr>
              <w:spacing w:after="60" w:before="60"/>
              <w:ind w:left="72"/>
            </w:pPr>
            <w:r>
              <w:rPr>
                <w:rFonts w:ascii="Calibri" w:cs="Calibri" w:eastAsia="Calibri" w:hAnsi="Calibri"/>
                <w:b/>
                <w:bCs/>
                <w:color w:val="FFFFFF"/>
                <w:sz w:val="18"/>
                <w:szCs w:val="18"/>
              </w:rPr>
              <w:t xml:space="preserve">Endpoint</w:t>
            </w:r>
          </w:p>
        </w:tc>
        <w:tc>
          <w:tcPr>
            <w:tcW w:type="dxa" w:w="1200"/>
            <w:shd w:fill="0F2040" w:val="clear"/>
            <w:vAlign w:val="top"/>
          </w:tcPr>
          <w:p>
            <w:pPr>
              <w:spacing w:after="60" w:before="60"/>
              <w:ind w:left="72"/>
            </w:pPr>
            <w:r>
              <w:rPr>
                <w:rFonts w:ascii="Calibri" w:cs="Calibri" w:eastAsia="Calibri" w:hAnsi="Calibri"/>
                <w:b/>
                <w:bCs/>
                <w:color w:val="FFFFFF"/>
                <w:sz w:val="18"/>
                <w:szCs w:val="18"/>
              </w:rPr>
              <w:t xml:space="preserve">Method</w:t>
            </w:r>
          </w:p>
        </w:tc>
        <w:tc>
          <w:tcPr>
            <w:tcW w:type="dxa" w:w="5200"/>
            <w:shd w:fill="0F2040" w:val="clear"/>
            <w:vAlign w:val="top"/>
          </w:tcPr>
          <w:p>
            <w:pPr>
              <w:spacing w:after="60" w:before="60"/>
              <w:ind w:left="72"/>
            </w:pPr>
            <w:r>
              <w:rPr>
                <w:rFonts w:ascii="Calibri" w:cs="Calibri" w:eastAsia="Calibri" w:hAnsi="Calibri"/>
                <w:b/>
                <w:bCs/>
                <w:color w:val="FFFFFF"/>
                <w:sz w:val="18"/>
                <w:szCs w:val="18"/>
              </w:rPr>
              <w:t xml:space="preserve">Description</w:t>
            </w:r>
          </w:p>
        </w:tc>
      </w:tr>
      <w:tr>
        <w:tc>
          <w:tcPr>
            <w:tcW w:type="dxa" w:w="3200"/>
            <w:shd w:fill="EEF5FC" w:val="clear"/>
            <w:vAlign w:val="top"/>
          </w:tcPr>
          <w:p>
            <w:pPr>
              <w:spacing w:after="60" w:before="60"/>
              <w:ind w:left="72"/>
            </w:pPr>
            <w:r>
              <w:rPr>
                <w:rFonts w:ascii="Calibri" w:cs="Calibri" w:eastAsia="Calibri" w:hAnsi="Calibri"/>
                <w:b w:val="false"/>
                <w:bCs w:val="false"/>
                <w:color w:val="111111"/>
                <w:sz w:val="18"/>
                <w:szCs w:val="18"/>
              </w:rPr>
              <w:t xml:space="preserve">/admin/erp/connectors</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GET</w:t>
            </w:r>
          </w:p>
        </w:tc>
        <w:tc>
          <w:tcPr>
            <w:tcW w:type="dxa" w:w="5200"/>
            <w:shd w:fill="EEF5FC" w:val="clear"/>
            <w:vAlign w:val="top"/>
          </w:tcPr>
          <w:p>
            <w:pPr>
              <w:spacing w:after="60" w:before="60"/>
              <w:ind w:left="72"/>
            </w:pPr>
            <w:r>
              <w:rPr>
                <w:rFonts w:ascii="Calibri" w:cs="Calibri" w:eastAsia="Calibri" w:hAnsi="Calibri"/>
                <w:b w:val="false"/>
                <w:bCs w:val="false"/>
                <w:color w:val="111111"/>
                <w:sz w:val="18"/>
                <w:szCs w:val="18"/>
              </w:rPr>
              <w:t xml:space="preserve">List all loaded connector profiles with last-loaded timestamp and field map rule counts.</w:t>
            </w:r>
          </w:p>
        </w:tc>
      </w:tr>
      <w:tr>
        <w:tc>
          <w:tcPr>
            <w:tcW w:type="dxa" w:w="3200"/>
            <w:shd w:fill="FFFFFF" w:val="clear"/>
            <w:vAlign w:val="top"/>
          </w:tcPr>
          <w:p>
            <w:pPr>
              <w:spacing w:after="60" w:before="60"/>
              <w:ind w:left="72"/>
            </w:pPr>
            <w:r>
              <w:rPr>
                <w:rFonts w:ascii="Calibri" w:cs="Calibri" w:eastAsia="Calibri" w:hAnsi="Calibri"/>
                <w:b w:val="false"/>
                <w:bCs w:val="false"/>
                <w:color w:val="111111"/>
                <w:sz w:val="18"/>
                <w:szCs w:val="18"/>
              </w:rPr>
              <w:t xml:space="preserve">/admin/erp/connectors/{connectorId}</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GET</w:t>
            </w:r>
          </w:p>
        </w:tc>
        <w:tc>
          <w:tcPr>
            <w:tcW w:type="dxa" w:w="5200"/>
            <w:shd w:fill="FFFFFF" w:val="clear"/>
            <w:vAlign w:val="top"/>
          </w:tcPr>
          <w:p>
            <w:pPr>
              <w:spacing w:after="60" w:before="60"/>
              <w:ind w:left="72"/>
            </w:pPr>
            <w:r>
              <w:rPr>
                <w:rFonts w:ascii="Calibri" w:cs="Calibri" w:eastAsia="Calibri" w:hAnsi="Calibri"/>
                <w:b w:val="false"/>
                <w:bCs w:val="false"/>
                <w:color w:val="111111"/>
                <w:sz w:val="18"/>
                <w:szCs w:val="18"/>
              </w:rPr>
              <w:t xml:space="preserve">Full detail for one connector: profile config, field map rules, value map tables, custom field registry.</w:t>
            </w:r>
          </w:p>
        </w:tc>
      </w:tr>
      <w:tr>
        <w:tc>
          <w:tcPr>
            <w:tcW w:type="dxa" w:w="3200"/>
            <w:shd w:fill="EEF5FC" w:val="clear"/>
            <w:vAlign w:val="top"/>
          </w:tcPr>
          <w:p>
            <w:pPr>
              <w:spacing w:after="60" w:before="60"/>
              <w:ind w:left="72"/>
            </w:pPr>
            <w:r>
              <w:rPr>
                <w:rFonts w:ascii="Calibri" w:cs="Calibri" w:eastAsia="Calibri" w:hAnsi="Calibri"/>
                <w:b w:val="false"/>
                <w:bCs w:val="false"/>
                <w:color w:val="111111"/>
                <w:sz w:val="18"/>
                <w:szCs w:val="18"/>
              </w:rPr>
              <w:t xml:space="preserve">/admin/erp/connectors/{connectorId}/validate</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POST</w:t>
            </w:r>
          </w:p>
        </w:tc>
        <w:tc>
          <w:tcPr>
            <w:tcW w:type="dxa" w:w="5200"/>
            <w:shd w:fill="EEF5FC" w:val="clear"/>
            <w:vAlign w:val="top"/>
          </w:tcPr>
          <w:p>
            <w:pPr>
              <w:spacing w:after="60" w:before="60"/>
              <w:ind w:left="72"/>
            </w:pPr>
            <w:r>
              <w:rPr>
                <w:rFonts w:ascii="Calibri" w:cs="Calibri" w:eastAsia="Calibri" w:hAnsi="Calibri"/>
                <w:b w:val="false"/>
                <w:bCs w:val="false"/>
                <w:color w:val="111111"/>
                <w:sz w:val="18"/>
                <w:szCs w:val="18"/>
              </w:rPr>
              <w:t xml:space="preserve">Validate a candidate connector profile + field map against schema. Returns validation errors before applying.</w:t>
            </w:r>
          </w:p>
        </w:tc>
      </w:tr>
      <w:tr>
        <w:tc>
          <w:tcPr>
            <w:tcW w:type="dxa" w:w="3200"/>
            <w:shd w:fill="FFFFFF" w:val="clear"/>
            <w:vAlign w:val="top"/>
          </w:tcPr>
          <w:p>
            <w:pPr>
              <w:spacing w:after="60" w:before="60"/>
              <w:ind w:left="72"/>
            </w:pPr>
            <w:r>
              <w:rPr>
                <w:rFonts w:ascii="Calibri" w:cs="Calibri" w:eastAsia="Calibri" w:hAnsi="Calibri"/>
                <w:b w:val="false"/>
                <w:bCs w:val="false"/>
                <w:color w:val="111111"/>
                <w:sz w:val="18"/>
                <w:szCs w:val="18"/>
              </w:rPr>
              <w:t xml:space="preserve">/admin/erp/cache/{entityType}/invalidate</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POST</w:t>
            </w:r>
          </w:p>
        </w:tc>
        <w:tc>
          <w:tcPr>
            <w:tcW w:type="dxa" w:w="5200"/>
            <w:shd w:fill="FFFFFF" w:val="clear"/>
            <w:vAlign w:val="top"/>
          </w:tcPr>
          <w:p>
            <w:pPr>
              <w:spacing w:after="60" w:before="60"/>
              <w:ind w:left="72"/>
            </w:pPr>
            <w:r>
              <w:rPr>
                <w:rFonts w:ascii="Calibri" w:cs="Calibri" w:eastAsia="Calibri" w:hAnsi="Calibri"/>
                <w:b w:val="false"/>
                <w:bCs w:val="false"/>
                <w:color w:val="111111"/>
                <w:sz w:val="18"/>
                <w:szCs w:val="18"/>
              </w:rPr>
              <w:t xml:space="preserve">Flush party lookup cache for the given entity type across all replicas.</w:t>
            </w:r>
          </w:p>
        </w:tc>
      </w:tr>
      <w:tr>
        <w:tc>
          <w:tcPr>
            <w:tcW w:type="dxa" w:w="3200"/>
            <w:shd w:fill="EEF5FC" w:val="clear"/>
            <w:vAlign w:val="top"/>
          </w:tcPr>
          <w:p>
            <w:pPr>
              <w:spacing w:after="60" w:before="60"/>
              <w:ind w:left="72"/>
            </w:pPr>
            <w:r>
              <w:rPr>
                <w:rFonts w:ascii="Calibri" w:cs="Calibri" w:eastAsia="Calibri" w:hAnsi="Calibri"/>
                <w:b w:val="false"/>
                <w:bCs w:val="false"/>
                <w:color w:val="111111"/>
                <w:sz w:val="18"/>
                <w:szCs w:val="18"/>
              </w:rPr>
              <w:t xml:space="preserve">/admin/erp/test-map</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POST</w:t>
            </w:r>
          </w:p>
        </w:tc>
        <w:tc>
          <w:tcPr>
            <w:tcW w:type="dxa" w:w="5200"/>
            <w:shd w:fill="EEF5FC" w:val="clear"/>
            <w:vAlign w:val="top"/>
          </w:tcPr>
          <w:p>
            <w:pPr>
              <w:spacing w:after="60" w:before="60"/>
              <w:ind w:left="72"/>
            </w:pPr>
            <w:r>
              <w:rPr>
                <w:rFonts w:ascii="Calibri" w:cs="Calibri" w:eastAsia="Calibri" w:hAnsi="Calibri"/>
                <w:b w:val="false"/>
                <w:bCs w:val="false"/>
                <w:color w:val="111111"/>
                <w:sz w:val="18"/>
                <w:szCs w:val="18"/>
              </w:rPr>
              <w:t xml:space="preserve">Submit a sample ERP document and see the field mapping result (SemanticDocument) without progressing to Stage 2. Returns full lineage. Key tool for ERP admin onboarding.</w:t>
            </w:r>
          </w:p>
        </w:tc>
      </w:tr>
      <w:tr>
        <w:tc>
          <w:tcPr>
            <w:tcW w:type="dxa" w:w="3200"/>
            <w:shd w:fill="FFFFFF" w:val="clear"/>
            <w:vAlign w:val="top"/>
          </w:tcPr>
          <w:p>
            <w:pPr>
              <w:spacing w:after="60" w:before="60"/>
              <w:ind w:left="72"/>
            </w:pPr>
            <w:r>
              <w:rPr>
                <w:rFonts w:ascii="Calibri" w:cs="Calibri" w:eastAsia="Calibri" w:hAnsi="Calibri"/>
                <w:b w:val="false"/>
                <w:bCs w:val="false"/>
                <w:color w:val="111111"/>
                <w:sz w:val="18"/>
                <w:szCs w:val="18"/>
              </w:rPr>
              <w:t xml:space="preserve">/v1/viz/erp/connectors/{connectorId}/mapping</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GET</w:t>
            </w:r>
          </w:p>
        </w:tc>
        <w:tc>
          <w:tcPr>
            <w:tcW w:type="dxa" w:w="5200"/>
            <w:shd w:fill="FFFFFF" w:val="clear"/>
            <w:vAlign w:val="top"/>
          </w:tcPr>
          <w:p>
            <w:pPr>
              <w:spacing w:after="60" w:before="60"/>
              <w:ind w:left="72"/>
            </w:pPr>
            <w:r>
              <w:rPr>
                <w:rFonts w:ascii="Calibri" w:cs="Calibri" w:eastAsia="Calibri" w:hAnsi="Calibri"/>
                <w:b w:val="false"/>
                <w:bCs w:val="false"/>
                <w:color w:val="111111"/>
                <w:sz w:val="18"/>
                <w:szCs w:val="18"/>
              </w:rPr>
              <w:t xml:space="preserve">Visualisation API: full ERP field mapping graph. ERP field paths → SemanticDocument concepts. Colour-coded by rule kind (erp_path, erp_lookup, erp_custom, erp_enrich).</w:t>
            </w:r>
          </w:p>
        </w:tc>
      </w:tr>
      <w:tr>
        <w:tc>
          <w:tcPr>
            <w:tcW w:type="dxa" w:w="3200"/>
            <w:shd w:fill="EEF5FC" w:val="clear"/>
            <w:vAlign w:val="top"/>
          </w:tcPr>
          <w:p>
            <w:pPr>
              <w:spacing w:after="60" w:before="60"/>
              <w:ind w:left="72"/>
            </w:pPr>
            <w:r>
              <w:rPr>
                <w:rFonts w:ascii="Calibri" w:cs="Calibri" w:eastAsia="Calibri" w:hAnsi="Calibri"/>
                <w:b w:val="false"/>
                <w:bCs w:val="false"/>
                <w:color w:val="111111"/>
                <w:sz w:val="18"/>
                <w:szCs w:val="18"/>
              </w:rPr>
              <w:t xml:space="preserve">/v1/viz/erp/connectors/{connectorId}/gaps</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GET</w:t>
            </w:r>
          </w:p>
        </w:tc>
        <w:tc>
          <w:tcPr>
            <w:tcW w:type="dxa" w:w="5200"/>
            <w:shd w:fill="EEF5FC" w:val="clear"/>
            <w:vAlign w:val="top"/>
          </w:tcPr>
          <w:p>
            <w:pPr>
              <w:spacing w:after="60" w:before="60"/>
              <w:ind w:left="72"/>
            </w:pPr>
            <w:r>
              <w:rPr>
                <w:rFonts w:ascii="Calibri" w:cs="Calibri" w:eastAsia="Calibri" w:hAnsi="Calibri"/>
                <w:b w:val="false"/>
                <w:bCs w:val="false"/>
                <w:color w:val="111111"/>
                <w:sz w:val="18"/>
                <w:szCs w:val="18"/>
              </w:rPr>
              <w:t xml:space="preserve">Gap report: SemanticDocument mandatory fields that have no mapping for this connector. Severity rated by mandate (gap may be fine for one mandate, fatal for another).</w:t>
            </w:r>
          </w:p>
        </w:tc>
      </w:tr>
    </w:tbl>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6  New Visualisation Views for ERP Layer</w:t>
      </w:r>
    </w:p>
    <w:p>
      <w:pPr>
        <w:pStyle w:val="Heading2"/>
        <w:spacing w:after="120" w:before="280"/>
      </w:pPr>
      <w:r>
        <w:rPr>
          <w:rFonts w:ascii="Calibri" w:cs="Calibri" w:eastAsia="Calibri" w:hAnsi="Calibri"/>
          <w:b/>
          <w:bCs/>
          <w:color w:val="1A4A8A"/>
          <w:sz w:val="30"/>
          <w:szCs w:val="30"/>
        </w:rPr>
        <w:t xml:space="preserve">6.1  ERP Field Mapping Explorer</w:t>
      </w:r>
    </w:p>
    <w:p>
      <w:pPr>
        <w:spacing w:after="80" w:before="80"/>
        <w:jc w:val="left"/>
      </w:pPr>
      <w:r>
        <w:rPr>
          <w:rFonts w:ascii="Calibri" w:cs="Calibri" w:eastAsia="Calibri" w:hAnsi="Calibri"/>
          <w:b w:val="false"/>
          <w:bCs w:val="false"/>
          <w:i w:val="false"/>
          <w:iCs w:val="false"/>
          <w:color w:val="111111"/>
          <w:sz w:val="22"/>
          <w:szCs w:val="22"/>
        </w:rPr>
        <w:t xml:space="preserve">The most operationally valuable new view for ERP integration. It shows a three-column layout:</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1: ERP source fields (grouped by ERP segment or object type: header, line, party, tax).</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2: SemanticDocument concept (identity, supplier, buyer, lines, taxApplications, etc.).</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3: Downstream CTC mandate target fields (for the selected target country).</w:t>
      </w:r>
    </w:p>
    <w:p>
      <w:pPr>
        <w:spacing w:after="80" w:before="80"/>
        <w:jc w:val="left"/>
      </w:pPr>
      <w:r>
        <w:rPr>
          <w:rFonts w:ascii="Calibri" w:cs="Calibri" w:eastAsia="Calibri" w:hAnsi="Calibri"/>
          <w:b w:val="false"/>
          <w:bCs w:val="false"/>
          <w:i w:val="false"/>
          <w:iCs w:val="false"/>
          <w:color w:val="111111"/>
          <w:sz w:val="22"/>
          <w:szCs w:val="22"/>
        </w:rPr>
        <w:t xml:space="preserve">The ERP admin uses this view to understand which of their ERP fields are flowing through to the mandate output, which custom fields they need to register, and which gaps exist. Powered by </w:t>
      </w:r>
      <w:r>
        <w:rPr>
          <w:rFonts w:ascii="Courier New" w:cs="Courier New" w:eastAsia="Courier New" w:hAnsi="Courier New"/>
          <w:b w:val="false"/>
          <w:bCs w:val="false"/>
          <w:color w:val="1A4A8A"/>
          <w:sz w:val="18"/>
          <w:szCs w:val="18"/>
        </w:rPr>
        <w:t xml:space="preserve">GET /v1/viz/erp/connectors/{connectorId}/mapping</w:t>
      </w:r>
      <w:r>
        <w:rPr>
          <w:rFonts w:ascii="Calibri" w:cs="Calibri" w:eastAsia="Calibri" w:hAnsi="Calibri"/>
          <w:b w:val="false"/>
          <w:bCs w:val="false"/>
          <w:i w:val="false"/>
          <w:iCs w:val="false"/>
          <w:color w:val="111111"/>
          <w:sz w:val="22"/>
          <w:szCs w:val="22"/>
        </w:rPr>
        <w:t xml:space="preserve">.</w:t>
      </w:r>
    </w:p>
    <w:p>
      <w:pPr>
        <w:pStyle w:val="Heading2"/>
        <w:spacing w:after="120" w:before="280"/>
      </w:pPr>
      <w:r>
        <w:rPr>
          <w:rFonts w:ascii="Calibri" w:cs="Calibri" w:eastAsia="Calibri" w:hAnsi="Calibri"/>
          <w:b/>
          <w:bCs/>
          <w:color w:val="1A4A8A"/>
          <w:sz w:val="30"/>
          <w:szCs w:val="30"/>
        </w:rPr>
        <w:t xml:space="preserve">6.2  Gap Analysis View</w:t>
      </w:r>
    </w:p>
    <w:p>
      <w:pPr>
        <w:spacing w:after="80" w:before="80"/>
        <w:jc w:val="left"/>
      </w:pPr>
      <w:r>
        <w:rPr>
          <w:rFonts w:ascii="Calibri" w:cs="Calibri" w:eastAsia="Calibri" w:hAnsi="Calibri"/>
          <w:b w:val="false"/>
          <w:bCs w:val="false"/>
          <w:i w:val="false"/>
          <w:iCs w:val="false"/>
          <w:color w:val="111111"/>
          <w:sz w:val="22"/>
          <w:szCs w:val="22"/>
        </w:rPr>
        <w:t xml:space="preserve">A mandatory-field gap report per (connector, targetScope) pair. For each SemanticDocument field that the target mandate requires but the connector cannot populate, the view shows:</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Field path in SemanticDocument.</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Mandate requirement (mandatory / conditional / optional).</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Suggested resolution: "map from ERP field X", "add to custom field registry", "set as literal in field map", or "not available in ERP — must be added by ERP configuration".</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Severity: error (submission will fail), warning (submission may fail), info (recommended).</w:t>
      </w:r>
    </w:p>
    <w:p>
      <w:pPr>
        <w:spacing w:after="80" w:before="80"/>
        <w:jc w:val="left"/>
      </w:pPr>
      <w:r>
        <w:rPr>
          <w:rFonts w:ascii="Calibri" w:cs="Calibri" w:eastAsia="Calibri" w:hAnsi="Calibri"/>
          <w:b w:val="false"/>
          <w:bCs w:val="false"/>
          <w:i w:val="false"/>
          <w:iCs w:val="false"/>
          <w:color w:val="111111"/>
          <w:sz w:val="22"/>
          <w:szCs w:val="22"/>
        </w:rPr>
        <w:t xml:space="preserve">This view answers the question an ERP admin asks at the start of every new country rollout: "What do I need to add to our SAP configuration to support invoicing in Belgium?"</w:t>
      </w:r>
    </w:p>
    <w:p>
      <w:pPr>
        <w:pStyle w:val="Heading2"/>
        <w:spacing w:after="120" w:before="280"/>
      </w:pPr>
      <w:r>
        <w:rPr>
          <w:rFonts w:ascii="Calibri" w:cs="Calibri" w:eastAsia="Calibri" w:hAnsi="Calibri"/>
          <w:b/>
          <w:bCs/>
          <w:color w:val="1A4A8A"/>
          <w:sz w:val="30"/>
          <w:szCs w:val="30"/>
        </w:rPr>
        <w:t xml:space="preserve">6.3  End-to-End Transformation Trace</w:t>
      </w:r>
    </w:p>
    <w:p>
      <w:pPr>
        <w:spacing w:after="80" w:before="80"/>
        <w:jc w:val="left"/>
      </w:pPr>
      <w:r>
        <w:rPr>
          <w:rFonts w:ascii="Calibri" w:cs="Calibri" w:eastAsia="Calibri" w:hAnsi="Calibri"/>
          <w:b w:val="false"/>
          <w:bCs w:val="false"/>
          <w:i w:val="false"/>
          <w:iCs w:val="false"/>
          <w:color w:val="111111"/>
          <w:sz w:val="22"/>
          <w:szCs w:val="22"/>
        </w:rPr>
        <w:t xml:space="preserve">The lineage viewer gains a new first column for ERP-sourced documents:</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0 (new): ERP field path and raw value as it arrived from the ERP system.</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1 (existing): SemanticDocument concept and normalised value after Stage 1.</w:t>
      </w:r>
    </w:p>
    <w:p>
      <w:pPr>
        <w:pStyle w:val="ListParagraph"/>
        <w:numPr>
          <w:ilvl w:val="0"/>
          <w:numId w:val="1"/>
        </w:numPr>
        <w:spacing w:after="40" w:before="40"/>
        <w:ind w:left="360" w:hanging="360"/>
      </w:pPr>
      <w:r>
        <w:rPr>
          <w:rFonts w:ascii="Calibri" w:cs="Calibri" w:eastAsia="Calibri" w:hAnsi="Calibri"/>
          <w:b w:val="false"/>
          <w:bCs w:val="false"/>
          <w:i w:val="false"/>
          <w:iCs w:val="false"/>
          <w:color w:val="111111"/>
          <w:sz w:val="22"/>
          <w:szCs w:val="22"/>
        </w:rPr>
        <w:t xml:space="preserve">Column 2 (existing): Emitted target field and formatted value after Stage 2.</w:t>
      </w:r>
    </w:p>
    <w:p>
      <w:pPr>
        <w:spacing w:after="80" w:before="80"/>
        <w:jc w:val="left"/>
      </w:pPr>
      <w:r>
        <w:rPr>
          <w:rFonts w:ascii="Calibri" w:cs="Calibri" w:eastAsia="Calibri" w:hAnsi="Calibri"/>
          <w:b w:val="false"/>
          <w:bCs w:val="false"/>
          <w:i w:val="false"/>
          <w:iCs w:val="false"/>
          <w:color w:val="111111"/>
          <w:sz w:val="22"/>
          <w:szCs w:val="22"/>
        </w:rPr>
        <w:t xml:space="preserve">An operator can trace any value from the raw SAP IDoc segment through to the element in the FatturaPA XML that was submitted to SDI. This is the audit trail required when a tax authority challenges a specific field value.</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7  Performance Impact of ERP Layer</w:t>
      </w:r>
    </w:p>
    <w:p>
      <w:pPr>
        <w:pStyle w:val="Heading2"/>
        <w:spacing w:after="120" w:before="280"/>
      </w:pPr>
      <w:r>
        <w:rPr>
          <w:rFonts w:ascii="Calibri" w:cs="Calibri" w:eastAsia="Calibri" w:hAnsi="Calibri"/>
          <w:b/>
          <w:bCs/>
          <w:color w:val="1A4A8A"/>
          <w:sz w:val="30"/>
          <w:szCs w:val="30"/>
        </w:rPr>
        <w:t xml:space="preserve">7.1  Latency Budget</w:t>
      </w:r>
    </w:p>
    <w:p>
      <w:pPr>
        <w:spacing w:after="80" w:before="80"/>
        <w:jc w:val="left"/>
      </w:pPr>
      <w:r>
        <w:rPr>
          <w:rFonts w:ascii="Calibri" w:cs="Calibri" w:eastAsia="Calibri" w:hAnsi="Calibri"/>
          <w:b w:val="false"/>
          <w:bCs w:val="false"/>
          <w:i w:val="false"/>
          <w:iCs w:val="false"/>
          <w:color w:val="111111"/>
          <w:sz w:val="22"/>
          <w:szCs w:val="22"/>
        </w:rPr>
        <w:t xml:space="preserve">Stage 1 processing time is additive to the existing Stage 2 budget. The performance target for Stage 1 is: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000"/>
        <w:gridCol w:w="1300"/>
        <w:gridCol w:w="1300"/>
        <w:gridCol w:w="4000"/>
      </w:tblGrid>
      <w:tr>
        <w:trPr>
          <w:tblHeader/>
        </w:trPr>
        <w:tc>
          <w:tcPr>
            <w:tcW w:type="dxa" w:w="3000"/>
            <w:shd w:fill="0F2040" w:val="clear"/>
            <w:vAlign w:val="top"/>
          </w:tcPr>
          <w:p>
            <w:pPr>
              <w:spacing w:after="60" w:before="60"/>
              <w:ind w:left="72"/>
            </w:pPr>
            <w:r>
              <w:rPr>
                <w:rFonts w:ascii="Calibri" w:cs="Calibri" w:eastAsia="Calibri" w:hAnsi="Calibri"/>
                <w:b/>
                <w:bCs/>
                <w:color w:val="FFFFFF"/>
                <w:sz w:val="18"/>
                <w:szCs w:val="18"/>
              </w:rPr>
              <w:t xml:space="preserve">Stage 1 operation</w:t>
            </w:r>
          </w:p>
        </w:tc>
        <w:tc>
          <w:tcPr>
            <w:tcW w:type="dxa" w:w="1300"/>
            <w:shd w:fill="0F2040" w:val="clear"/>
            <w:vAlign w:val="top"/>
          </w:tcPr>
          <w:p>
            <w:pPr>
              <w:spacing w:after="60" w:before="60"/>
              <w:ind w:left="72"/>
            </w:pPr>
            <w:r>
              <w:rPr>
                <w:rFonts w:ascii="Calibri" w:cs="Calibri" w:eastAsia="Calibri" w:hAnsi="Calibri"/>
                <w:b/>
                <w:bCs/>
                <w:color w:val="FFFFFF"/>
                <w:sz w:val="18"/>
                <w:szCs w:val="18"/>
              </w:rPr>
              <w:t xml:space="preserve">p50 target</w:t>
            </w:r>
          </w:p>
        </w:tc>
        <w:tc>
          <w:tcPr>
            <w:tcW w:type="dxa" w:w="1300"/>
            <w:shd w:fill="0F2040" w:val="clear"/>
            <w:vAlign w:val="top"/>
          </w:tcPr>
          <w:p>
            <w:pPr>
              <w:spacing w:after="60" w:before="60"/>
              <w:ind w:left="72"/>
            </w:pPr>
            <w:r>
              <w:rPr>
                <w:rFonts w:ascii="Calibri" w:cs="Calibri" w:eastAsia="Calibri" w:hAnsi="Calibri"/>
                <w:b/>
                <w:bCs/>
                <w:color w:val="FFFFFF"/>
                <w:sz w:val="18"/>
                <w:szCs w:val="18"/>
              </w:rPr>
              <w:t xml:space="preserve">p99 target</w:t>
            </w:r>
          </w:p>
        </w:tc>
        <w:tc>
          <w:tcPr>
            <w:tcW w:type="dxa" w:w="4000"/>
            <w:shd w:fill="0F2040" w:val="clear"/>
            <w:vAlign w:val="top"/>
          </w:tcPr>
          <w:p>
            <w:pPr>
              <w:spacing w:after="60" w:before="60"/>
              <w:ind w:left="72"/>
            </w:pPr>
            <w:r>
              <w:rPr>
                <w:rFonts w:ascii="Calibri" w:cs="Calibri" w:eastAsia="Calibri" w:hAnsi="Calibri"/>
                <w:b/>
                <w:bCs/>
                <w:color w:val="FFFFFF"/>
                <w:sz w:val="18"/>
                <w:szCs w:val="18"/>
              </w:rPr>
              <w:t xml:space="preserve">Notes</w:t>
            </w:r>
          </w:p>
        </w:tc>
      </w:tr>
      <w:tr>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Connector profile resolution</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1ms</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5ms</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Served from in-process cache after first load.</w:t>
            </w:r>
          </w:p>
        </w:tc>
      </w:tr>
      <w:tr>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Field map execution (inline party data)</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10ms</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30ms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Pure in-memory rule evaluation; no I/O.</w:t>
            </w:r>
          </w:p>
        </w:tc>
      </w:tr>
      <w:tr>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Value map lookup</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1ms</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3ms</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In-process LRU cache; hash table lookup.</w:t>
            </w:r>
          </w:p>
        </w:tc>
      </w:tr>
      <w:tr>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Party lookup (inline — E1EDKA1 segment)</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2ms</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5ms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Parsed from document; no external call.</w:t>
            </w:r>
          </w:p>
        </w:tc>
      </w:tr>
      <w:tr>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Party lookup (API — ERP master data)</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200ms</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800ms</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External ERP API call. Cached 1h; cache hit &lt; 1ms.</w:t>
            </w:r>
          </w:p>
        </w:tc>
      </w:tr>
      <w:tr>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Tax reconstruction (erp_enrich fn)</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15ms</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40ms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CPU-bound; scales with line count.</w:t>
            </w:r>
          </w:p>
        </w:tc>
      </w:tr>
      <w:tr>
        <w:tc>
          <w:tcPr>
            <w:tcW w:type="dxa" w:w="3000"/>
            <w:shd w:fill="EEF5FC" w:val="clear"/>
            <w:vAlign w:val="top"/>
          </w:tcPr>
          <w:p>
            <w:pPr>
              <w:spacing w:after="60" w:before="60"/>
              <w:ind w:left="72"/>
            </w:pPr>
            <w:r>
              <w:rPr>
                <w:rFonts w:ascii="Calibri" w:cs="Calibri" w:eastAsia="Calibri" w:hAnsi="Calibri"/>
                <w:b w:val="false"/>
                <w:bCs w:val="false"/>
                <w:color w:val="111111"/>
                <w:sz w:val="18"/>
                <w:szCs w:val="18"/>
              </w:rPr>
              <w:t xml:space="preserve">Total Stage 1 (inline party, no API call)</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25ms</w:t>
            </w:r>
          </w:p>
        </w:tc>
        <w:tc>
          <w:tcPr>
            <w:tcW w:type="dxa" w:w="1300"/>
            <w:shd w:fill="EEF5FC" w:val="clear"/>
            <w:vAlign w:val="top"/>
          </w:tcPr>
          <w:p>
            <w:pPr>
              <w:spacing w:after="60" w:before="60"/>
              <w:ind w:left="72"/>
            </w:pPr>
            <w:r>
              <w:rPr>
                <w:rFonts w:ascii="Calibri" w:cs="Calibri" w:eastAsia="Calibri" w:hAnsi="Calibri"/>
                <w:b w:val="false"/>
                <w:bCs w:val="false"/>
                <w:color w:val="111111"/>
                <w:sz w:val="18"/>
                <w:szCs w:val="18"/>
              </w:rPr>
              <w:t xml:space="preserve">&lt; 75ms</w:t>
            </w:r>
          </w:p>
        </w:tc>
        <w:tc>
          <w:tcPr>
            <w:tcW w:type="dxa" w:w="4000"/>
            <w:shd w:fill="EEF5FC" w:val="clear"/>
            <w:vAlign w:val="top"/>
          </w:tcPr>
          <w:p>
            <w:pPr>
              <w:spacing w:after="60" w:before="60"/>
              <w:ind w:left="72"/>
            </w:pPr>
            <w:r>
              <w:rPr>
                <w:rFonts w:ascii="Calibri" w:cs="Calibri" w:eastAsia="Calibri" w:hAnsi="Calibri"/>
                <w:b w:val="false"/>
                <w:bCs w:val="false"/>
                <w:color w:val="111111"/>
                <w:sz w:val="18"/>
                <w:szCs w:val="18"/>
              </w:rPr>
              <w:t xml:space="preserve">Meets overall p99 &lt; 500ms budget comfortably.</w:t>
            </w:r>
          </w:p>
        </w:tc>
      </w:tr>
      <w:tr>
        <w:tc>
          <w:tcPr>
            <w:tcW w:type="dxa" w:w="3000"/>
            <w:shd w:fill="FFFFFF" w:val="clear"/>
            <w:vAlign w:val="top"/>
          </w:tcPr>
          <w:p>
            <w:pPr>
              <w:spacing w:after="60" w:before="60"/>
              <w:ind w:left="72"/>
            </w:pPr>
            <w:r>
              <w:rPr>
                <w:rFonts w:ascii="Calibri" w:cs="Calibri" w:eastAsia="Calibri" w:hAnsi="Calibri"/>
                <w:b w:val="false"/>
                <w:bCs w:val="false"/>
                <w:color w:val="111111"/>
                <w:sz w:val="18"/>
                <w:szCs w:val="18"/>
              </w:rPr>
              <w:t xml:space="preserve">Total Stage 1 (API party lookup, cache miss)</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230ms</w:t>
            </w:r>
          </w:p>
        </w:tc>
        <w:tc>
          <w:tcPr>
            <w:tcW w:type="dxa" w:w="1300"/>
            <w:shd w:fill="FFFFFF" w:val="clear"/>
            <w:vAlign w:val="top"/>
          </w:tcPr>
          <w:p>
            <w:pPr>
              <w:spacing w:after="60" w:before="60"/>
              <w:ind w:left="72"/>
            </w:pPr>
            <w:r>
              <w:rPr>
                <w:rFonts w:ascii="Calibri" w:cs="Calibri" w:eastAsia="Calibri" w:hAnsi="Calibri"/>
                <w:b w:val="false"/>
                <w:bCs w:val="false"/>
                <w:color w:val="111111"/>
                <w:sz w:val="18"/>
                <w:szCs w:val="18"/>
              </w:rPr>
              <w:t xml:space="preserve">&lt; 850ms</w:t>
            </w:r>
          </w:p>
        </w:tc>
        <w:tc>
          <w:tcPr>
            <w:tcW w:type="dxa" w:w="4000"/>
            <w:shd w:fill="FFFFFF" w:val="clear"/>
            <w:vAlign w:val="top"/>
          </w:tcPr>
          <w:p>
            <w:pPr>
              <w:spacing w:after="60" w:before="60"/>
              <w:ind w:left="72"/>
            </w:pPr>
            <w:r>
              <w:rPr>
                <w:rFonts w:ascii="Calibri" w:cs="Calibri" w:eastAsia="Calibri" w:hAnsi="Calibri"/>
                <w:b w:val="false"/>
                <w:bCs w:val="false"/>
                <w:color w:val="111111"/>
                <w:sz w:val="18"/>
                <w:szCs w:val="18"/>
              </w:rPr>
              <w:t xml:space="preserve">Cache miss adds latency. Pre-warm cache on ERP entity master load.</w:t>
            </w:r>
          </w:p>
        </w:tc>
      </w:tr>
    </w:tbl>
    <w:p>
      <w:pPr>
        <w:spacing w:after="80" w:before="80"/>
        <w:jc w:val="left"/>
      </w:pPr>
      <w:r>
        <w:rPr>
          <w:rFonts w:ascii="Calibri" w:cs="Calibri" w:eastAsia="Calibri" w:hAnsi="Calibri"/>
          <w:b w:val="false"/>
          <w:bCs w:val="false"/>
          <w:i w:val="false"/>
          <w:iCs w:val="false"/>
          <w:color w:val="111111"/>
          <w:sz w:val="22"/>
          <w:szCs w:val="22"/>
        </w:rPr>
        <w:t xml:space="preserve">Party lookup cache misses are the only scenario that risks the 500ms p99 budget. Mitigation: pre-warm the party cache on service startup by loading the ERP entity master file (if using lookup_file strategy) or by running a background job that fetches active customers/vendors from the ERP API.</w:t>
      </w:r>
    </w:p>
    <w:p>
      <w:pPr>
        <w:pStyle w:val="Heading2"/>
        <w:spacing w:after="120" w:before="280"/>
      </w:pPr>
      <w:r>
        <w:rPr>
          <w:rFonts w:ascii="Calibri" w:cs="Calibri" w:eastAsia="Calibri" w:hAnsi="Calibri"/>
          <w:b/>
          <w:bCs/>
          <w:color w:val="1A4A8A"/>
          <w:sz w:val="30"/>
          <w:szCs w:val="30"/>
        </w:rPr>
        <w:t xml:space="preserve">7.2  Idempotency for ERP Submissions</w:t>
      </w:r>
    </w:p>
    <w:p>
      <w:pPr>
        <w:spacing w:after="80" w:before="80"/>
        <w:jc w:val="left"/>
      </w:pPr>
      <w:r>
        <w:rPr>
          <w:rFonts w:ascii="Calibri" w:cs="Calibri" w:eastAsia="Calibri" w:hAnsi="Calibri"/>
          <w:b w:val="false"/>
          <w:bCs w:val="false"/>
          <w:i w:val="false"/>
          <w:iCs w:val="false"/>
          <w:color w:val="111111"/>
          <w:sz w:val="22"/>
          <w:szCs w:val="22"/>
        </w:rPr>
        <w:t xml:space="preserve">ERP systems frequently deliver the same document multiple times via message queues (at-least-once delivery). The idempotency key strategy is slightly different for ERP submissions:</w:t>
      </w:r>
    </w:p>
    <w:p>
      <w:pPr>
        <w:spacing w:after="80" w:before="80"/>
        <w:jc w:val="left"/>
      </w:pPr>
      <w:r>
        <w:rPr>
          <w:rFonts w:ascii="Calibri" w:cs="Calibri" w:eastAsia="Calibri" w:hAnsi="Calibri"/>
          <w:b w:val="false"/>
          <w:bCs w:val="false"/>
          <w:i w:val="false"/>
          <w:iCs w:val="false"/>
          <w:color w:val="111111"/>
          <w:sz w:val="22"/>
          <w:szCs w:val="22"/>
        </w:rPr>
        <w:t xml:space="preserve">For CTC format submissions, the client generates a UUID idempotency key. For ERP submissions, the service can optionally derive the idempotency key from the ERP document's own natural identifier (IDoc message number, NetSuite internal ID, Oracle transaction ID) using a configurable key formula in the connector profile. This prevents duplicate submissions without requiring the ERP system to generate UUIDs.</w:t>
      </w:r>
    </w:p>
    <w:p>
      <w:pPr>
        <w:spacing w:after="80" w:before="80"/>
        <w:jc w:val="left"/>
      </w:pPr>
      <w:r>
        <w:rPr>
          <w:rFonts w:ascii="Courier New" w:cs="Courier New" w:eastAsia="Courier New" w:hAnsi="Courier New"/>
          <w:b w:val="false"/>
          <w:bCs w:val="false"/>
          <w:color w:val="1A4A8A"/>
          <w:sz w:val="18"/>
          <w:szCs w:val="18"/>
        </w:rPr>
        <w:t xml:space="preserve">idempotency_key_formula: "sap-idoc-{E1EDK01/BELNR}-{E1EDK01/GJAHR}"</w:t>
      </w:r>
    </w:p>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8  ERP Connector Onboarding Procedure</w:t>
      </w:r>
    </w:p>
    <w:p>
      <w:pPr>
        <w:spacing w:after="80" w:before="80"/>
        <w:jc w:val="left"/>
      </w:pPr>
      <w:r>
        <w:rPr>
          <w:rFonts w:ascii="Calibri" w:cs="Calibri" w:eastAsia="Calibri" w:hAnsi="Calibri"/>
          <w:b w:val="false"/>
          <w:bCs w:val="false"/>
          <w:i w:val="false"/>
          <w:iCs w:val="false"/>
          <w:color w:val="111111"/>
          <w:sz w:val="22"/>
          <w:szCs w:val="22"/>
        </w:rPr>
        <w:t xml:space="preserve">The procedure to add a new ERP connector for a customer instance, without a service rebuild: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500"/>
        <w:gridCol w:w="1500"/>
        <w:gridCol w:w="3800"/>
        <w:gridCol w:w="3800"/>
      </w:tblGrid>
      <w:tr>
        <w:trPr>
          <w:tblHeader/>
        </w:trPr>
        <w:tc>
          <w:tcPr>
            <w:tcW w:type="dxa" w:w="500"/>
            <w:shd w:fill="0F2040" w:val="clear"/>
            <w:vAlign w:val="top"/>
          </w:tcPr>
          <w:p>
            <w:pPr>
              <w:spacing w:after="60" w:before="60"/>
              <w:ind w:left="72"/>
            </w:pPr>
            <w:r>
              <w:rPr>
                <w:rFonts w:ascii="Calibri" w:cs="Calibri" w:eastAsia="Calibri" w:hAnsi="Calibri"/>
                <w:b/>
                <w:bCs/>
                <w:color w:val="FFFFFF"/>
                <w:sz w:val="18"/>
                <w:szCs w:val="18"/>
              </w:rPr>
              <w:t xml:space="preserve">Step</w:t>
            </w:r>
          </w:p>
        </w:tc>
        <w:tc>
          <w:tcPr>
            <w:tcW w:type="dxa" w:w="1500"/>
            <w:shd w:fill="0F2040" w:val="clear"/>
            <w:vAlign w:val="top"/>
          </w:tcPr>
          <w:p>
            <w:pPr>
              <w:spacing w:after="60" w:before="60"/>
              <w:ind w:left="72"/>
            </w:pPr>
            <w:r>
              <w:rPr>
                <w:rFonts w:ascii="Calibri" w:cs="Calibri" w:eastAsia="Calibri" w:hAnsi="Calibri"/>
                <w:b/>
                <w:bCs/>
                <w:color w:val="FFFFFF"/>
                <w:sz w:val="18"/>
                <w:szCs w:val="18"/>
              </w:rPr>
              <w:t xml:space="preserve">Owner</w:t>
            </w:r>
          </w:p>
        </w:tc>
        <w:tc>
          <w:tcPr>
            <w:tcW w:type="dxa" w:w="3800"/>
            <w:shd w:fill="0F2040" w:val="clear"/>
            <w:vAlign w:val="top"/>
          </w:tcPr>
          <w:p>
            <w:pPr>
              <w:spacing w:after="60" w:before="60"/>
              <w:ind w:left="72"/>
            </w:pPr>
            <w:r>
              <w:rPr>
                <w:rFonts w:ascii="Calibri" w:cs="Calibri" w:eastAsia="Calibri" w:hAnsi="Calibri"/>
                <w:b/>
                <w:bCs/>
                <w:color w:val="FFFFFF"/>
                <w:sz w:val="18"/>
                <w:szCs w:val="18"/>
              </w:rPr>
              <w:t xml:space="preserve">Action</w:t>
            </w:r>
          </w:p>
        </w:tc>
        <w:tc>
          <w:tcPr>
            <w:tcW w:type="dxa" w:w="3800"/>
            <w:shd w:fill="0F2040" w:val="clear"/>
            <w:vAlign w:val="top"/>
          </w:tcPr>
          <w:p>
            <w:pPr>
              <w:spacing w:after="60" w:before="60"/>
              <w:ind w:left="72"/>
            </w:pPr>
            <w:r>
              <w:rPr>
                <w:rFonts w:ascii="Calibri" w:cs="Calibri" w:eastAsia="Calibri" w:hAnsi="Calibri"/>
                <w:b/>
                <w:bCs/>
                <w:color w:val="FFFFFF"/>
                <w:sz w:val="18"/>
                <w:szCs w:val="18"/>
              </w:rPr>
              <w:t xml:space="preserve">Artefact produced</w:t>
            </w:r>
          </w:p>
        </w:tc>
      </w:tr>
      <w:tr>
        <w:tc>
          <w:tcPr>
            <w:tcW w:type="dxa" w:w="500"/>
            <w:shd w:fill="EEF5FC" w:val="clear"/>
            <w:vAlign w:val="top"/>
          </w:tcPr>
          <w:p>
            <w:pPr>
              <w:spacing w:after="60" w:before="60"/>
              <w:ind w:left="72"/>
            </w:pPr>
            <w:r>
              <w:rPr>
                <w:rFonts w:ascii="Calibri" w:cs="Calibri" w:eastAsia="Calibri" w:hAnsi="Calibri"/>
                <w:b w:val="false"/>
                <w:bCs w:val="false"/>
                <w:color w:val="111111"/>
                <w:sz w:val="18"/>
                <w:szCs w:val="18"/>
              </w:rPr>
              <w:t xml:space="preserve">1</w:t>
            </w:r>
          </w:p>
        </w:tc>
        <w:tc>
          <w:tcPr>
            <w:tcW w:type="dxa" w:w="1500"/>
            <w:shd w:fill="EEF5FC" w:val="clear"/>
            <w:vAlign w:val="top"/>
          </w:tcPr>
          <w:p>
            <w:pPr>
              <w:spacing w:after="60" w:before="60"/>
              <w:ind w:left="72"/>
            </w:pPr>
            <w:r>
              <w:rPr>
                <w:rFonts w:ascii="Calibri" w:cs="Calibri" w:eastAsia="Calibri" w:hAnsi="Calibri"/>
                <w:b w:val="false"/>
                <w:bCs w:val="false"/>
                <w:color w:val="111111"/>
                <w:sz w:val="18"/>
                <w:szCs w:val="18"/>
              </w:rPr>
              <w:t xml:space="preserve">ERP admin</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Extract a representative sample of ERP invoice output in the native format (IDoc XML, REST JSON, etc.). Include documents with standard tax, reduced tax, exempt lines, and any custom fields relevant to the target countries.</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Sample documents for testing</w:t>
            </w:r>
          </w:p>
        </w:tc>
      </w:tr>
      <w:tr>
        <w:tc>
          <w:tcPr>
            <w:tcW w:type="dxa" w:w="500"/>
            <w:shd w:fill="FFFFFF" w:val="clear"/>
            <w:vAlign w:val="top"/>
          </w:tcPr>
          <w:p>
            <w:pPr>
              <w:spacing w:after="60" w:before="60"/>
              <w:ind w:left="72"/>
            </w:pPr>
            <w:r>
              <w:rPr>
                <w:rFonts w:ascii="Calibri" w:cs="Calibri" w:eastAsia="Calibri" w:hAnsi="Calibri"/>
                <w:b w:val="false"/>
                <w:bCs w:val="false"/>
                <w:color w:val="111111"/>
                <w:sz w:val="18"/>
                <w:szCs w:val="18"/>
              </w:rPr>
              <w:t xml:space="preserve">2</w:t>
            </w:r>
          </w:p>
        </w:tc>
        <w:tc>
          <w:tcPr>
            <w:tcW w:type="dxa" w:w="1500"/>
            <w:shd w:fill="FFFFFF" w:val="clear"/>
            <w:vAlign w:val="top"/>
          </w:tcPr>
          <w:p>
            <w:pPr>
              <w:spacing w:after="60" w:before="60"/>
              <w:ind w:left="72"/>
            </w:pPr>
            <w:r>
              <w:rPr>
                <w:rFonts w:ascii="Calibri" w:cs="Calibri" w:eastAsia="Calibri" w:hAnsi="Calibri"/>
                <w:b w:val="false"/>
                <w:bCs w:val="false"/>
                <w:color w:val="111111"/>
                <w:sz w:val="18"/>
                <w:szCs w:val="18"/>
              </w:rPr>
              <w:t xml:space="preserve">Mandate analyst</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Identify which SemanticDocument fields are mandatory for the target mandate scopes. Use GET /v1/viz/scopes/{scopeId}/rules to list mandatory fields per mandate.</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Mandatory field list per target country</w:t>
            </w:r>
          </w:p>
        </w:tc>
      </w:tr>
      <w:tr>
        <w:tc>
          <w:tcPr>
            <w:tcW w:type="dxa" w:w="500"/>
            <w:shd w:fill="EEF5FC" w:val="clear"/>
            <w:vAlign w:val="top"/>
          </w:tcPr>
          <w:p>
            <w:pPr>
              <w:spacing w:after="60" w:before="60"/>
              <w:ind w:left="72"/>
            </w:pPr>
            <w:r>
              <w:rPr>
                <w:rFonts w:ascii="Calibri" w:cs="Calibri" w:eastAsia="Calibri" w:hAnsi="Calibri"/>
                <w:b w:val="false"/>
                <w:bCs w:val="false"/>
                <w:color w:val="111111"/>
                <w:sz w:val="18"/>
                <w:szCs w:val="18"/>
              </w:rPr>
              <w:t xml:space="preserve">3</w:t>
            </w:r>
          </w:p>
        </w:tc>
        <w:tc>
          <w:tcPr>
            <w:tcW w:type="dxa" w:w="1500"/>
            <w:shd w:fill="EEF5FC" w:val="clear"/>
            <w:vAlign w:val="top"/>
          </w:tcPr>
          <w:p>
            <w:pPr>
              <w:spacing w:after="60" w:before="60"/>
              <w:ind w:left="72"/>
            </w:pPr>
            <w:r>
              <w:rPr>
                <w:rFonts w:ascii="Calibri" w:cs="Calibri" w:eastAsia="Calibri" w:hAnsi="Calibri"/>
                <w:b w:val="false"/>
                <w:bCs w:val="false"/>
                <w:color w:val="111111"/>
                <w:sz w:val="18"/>
                <w:szCs w:val="18"/>
              </w:rPr>
              <w:t xml:space="preserve">ERP admin + analyst</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Author the connector profile YAML, field map YAML, and value maps YAML. Use POST /admin/erp/test-map to iteratively test the mapping against sample documents.</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connector profile + field map + value maps</w:t>
            </w:r>
          </w:p>
        </w:tc>
      </w:tr>
      <w:tr>
        <w:tc>
          <w:tcPr>
            <w:tcW w:type="dxa" w:w="500"/>
            <w:shd w:fill="FFFFFF" w:val="clear"/>
            <w:vAlign w:val="top"/>
          </w:tcPr>
          <w:p>
            <w:pPr>
              <w:spacing w:after="60" w:before="60"/>
              <w:ind w:left="72"/>
            </w:pPr>
            <w:r>
              <w:rPr>
                <w:rFonts w:ascii="Calibri" w:cs="Calibri" w:eastAsia="Calibri" w:hAnsi="Calibri"/>
                <w:b w:val="false"/>
                <w:bCs w:val="false"/>
                <w:color w:val="111111"/>
                <w:sz w:val="18"/>
                <w:szCs w:val="18"/>
              </w:rPr>
              <w:t xml:space="preserve">4</w:t>
            </w:r>
          </w:p>
        </w:tc>
        <w:tc>
          <w:tcPr>
            <w:tcW w:type="dxa" w:w="1500"/>
            <w:shd w:fill="FFFFFF" w:val="clear"/>
            <w:vAlign w:val="top"/>
          </w:tcPr>
          <w:p>
            <w:pPr>
              <w:spacing w:after="60" w:before="60"/>
              <w:ind w:left="72"/>
            </w:pPr>
            <w:r>
              <w:rPr>
                <w:rFonts w:ascii="Calibri" w:cs="Calibri" w:eastAsia="Calibri" w:hAnsi="Calibri"/>
                <w:b w:val="false"/>
                <w:bCs w:val="false"/>
                <w:color w:val="111111"/>
                <w:sz w:val="18"/>
                <w:szCs w:val="18"/>
              </w:rPr>
              <w:t xml:space="preserve">ERP admin</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Register any custom fields (Z-segments, custbody_*, DFF) that carry mandate-required data. Author the customFieldsFile.</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Custom field registry YAML</w:t>
            </w:r>
          </w:p>
        </w:tc>
      </w:tr>
      <w:tr>
        <w:tc>
          <w:tcPr>
            <w:tcW w:type="dxa" w:w="500"/>
            <w:shd w:fill="EEF5FC" w:val="clear"/>
            <w:vAlign w:val="top"/>
          </w:tcPr>
          <w:p>
            <w:pPr>
              <w:spacing w:after="60" w:before="60"/>
              <w:ind w:left="72"/>
            </w:pPr>
            <w:r>
              <w:rPr>
                <w:rFonts w:ascii="Calibri" w:cs="Calibri" w:eastAsia="Calibri" w:hAnsi="Calibri"/>
                <w:b w:val="false"/>
                <w:bCs w:val="false"/>
                <w:color w:val="111111"/>
                <w:sz w:val="18"/>
                <w:szCs w:val="18"/>
              </w:rPr>
              <w:t xml:space="preserve">5</w:t>
            </w:r>
          </w:p>
        </w:tc>
        <w:tc>
          <w:tcPr>
            <w:tcW w:type="dxa" w:w="1500"/>
            <w:shd w:fill="EEF5FC" w:val="clear"/>
            <w:vAlign w:val="top"/>
          </w:tcPr>
          <w:p>
            <w:pPr>
              <w:spacing w:after="60" w:before="60"/>
              <w:ind w:left="72"/>
            </w:pPr>
            <w:r>
              <w:rPr>
                <w:rFonts w:ascii="Calibri" w:cs="Calibri" w:eastAsia="Calibri" w:hAnsi="Calibri"/>
                <w:b w:val="false"/>
                <w:bCs w:val="false"/>
                <w:color w:val="111111"/>
                <w:sz w:val="18"/>
                <w:szCs w:val="18"/>
              </w:rPr>
              <w:t xml:space="preserve">Both</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Review the gap report (GET /v1/viz/erp/connectors/{id}/gaps) for each target country. Resolve errors (missing mandatory fields) before proceeding.</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Gap report — zero errors required</w:t>
            </w:r>
          </w:p>
        </w:tc>
      </w:tr>
      <w:tr>
        <w:tc>
          <w:tcPr>
            <w:tcW w:type="dxa" w:w="500"/>
            <w:shd w:fill="FFFFFF" w:val="clear"/>
            <w:vAlign w:val="top"/>
          </w:tcPr>
          <w:p>
            <w:pPr>
              <w:spacing w:after="60" w:before="60"/>
              <w:ind w:left="72"/>
            </w:pPr>
            <w:r>
              <w:rPr>
                <w:rFonts w:ascii="Calibri" w:cs="Calibri" w:eastAsia="Calibri" w:hAnsi="Calibri"/>
                <w:b w:val="false"/>
                <w:bCs w:val="false"/>
                <w:color w:val="111111"/>
                <w:sz w:val="18"/>
                <w:szCs w:val="18"/>
              </w:rPr>
              <w:t xml:space="preserve">6</w:t>
            </w:r>
          </w:p>
        </w:tc>
        <w:tc>
          <w:tcPr>
            <w:tcW w:type="dxa" w:w="1500"/>
            <w:shd w:fill="FFFFFF" w:val="clear"/>
            <w:vAlign w:val="top"/>
          </w:tcPr>
          <w:p>
            <w:pPr>
              <w:spacing w:after="60" w:before="60"/>
              <w:ind w:left="72"/>
            </w:pPr>
            <w:r>
              <w:rPr>
                <w:rFonts w:ascii="Calibri" w:cs="Calibri" w:eastAsia="Calibri" w:hAnsi="Calibri"/>
                <w:b w:val="false"/>
                <w:bCs w:val="false"/>
                <w:color w:val="111111"/>
                <w:sz w:val="18"/>
                <w:szCs w:val="18"/>
              </w:rPr>
              <w:t xml:space="preserve">Ops</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Commit all YAML files to the configuration repository. CI/CD validates against JSON Schema and pushes to the mounted volume. Service hot-reloads within 5 seconds.</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Configuration deployed</w:t>
            </w:r>
          </w:p>
        </w:tc>
      </w:tr>
      <w:tr>
        <w:tc>
          <w:tcPr>
            <w:tcW w:type="dxa" w:w="500"/>
            <w:shd w:fill="EEF5FC" w:val="clear"/>
            <w:vAlign w:val="top"/>
          </w:tcPr>
          <w:p>
            <w:pPr>
              <w:spacing w:after="60" w:before="60"/>
              <w:ind w:left="72"/>
            </w:pPr>
            <w:r>
              <w:rPr>
                <w:rFonts w:ascii="Calibri" w:cs="Calibri" w:eastAsia="Calibri" w:hAnsi="Calibri"/>
                <w:b w:val="false"/>
                <w:bCs w:val="false"/>
                <w:color w:val="111111"/>
                <w:sz w:val="18"/>
                <w:szCs w:val="18"/>
              </w:rPr>
              <w:t xml:space="preserve">7</w:t>
            </w:r>
          </w:p>
        </w:tc>
        <w:tc>
          <w:tcPr>
            <w:tcW w:type="dxa" w:w="1500"/>
            <w:shd w:fill="EEF5FC" w:val="clear"/>
            <w:vAlign w:val="top"/>
          </w:tcPr>
          <w:p>
            <w:pPr>
              <w:spacing w:after="60" w:before="60"/>
              <w:ind w:left="72"/>
            </w:pPr>
            <w:r>
              <w:rPr>
                <w:rFonts w:ascii="Calibri" w:cs="Calibri" w:eastAsia="Calibri" w:hAnsi="Calibri"/>
                <w:b w:val="false"/>
                <w:bCs w:val="false"/>
                <w:color w:val="111111"/>
                <w:sz w:val="18"/>
                <w:szCs w:val="18"/>
              </w:rPr>
              <w:t xml:space="preserve">Both</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Submit test documents for each target country via POST /v1/transform with options.dryRun: true. Verify transformation lineage and validation result.</w:t>
            </w:r>
          </w:p>
        </w:tc>
        <w:tc>
          <w:tcPr>
            <w:tcW w:type="dxa" w:w="3800"/>
            <w:shd w:fill="EEF5FC" w:val="clear"/>
            <w:vAlign w:val="top"/>
          </w:tcPr>
          <w:p>
            <w:pPr>
              <w:spacing w:after="60" w:before="60"/>
              <w:ind w:left="72"/>
            </w:pPr>
            <w:r>
              <w:rPr>
                <w:rFonts w:ascii="Calibri" w:cs="Calibri" w:eastAsia="Calibri" w:hAnsi="Calibri"/>
                <w:b w:val="false"/>
                <w:bCs w:val="false"/>
                <w:color w:val="111111"/>
                <w:sz w:val="18"/>
                <w:szCs w:val="18"/>
              </w:rPr>
              <w:t xml:space="preserve">Test results signed off</w:t>
            </w:r>
          </w:p>
        </w:tc>
      </w:tr>
      <w:tr>
        <w:tc>
          <w:tcPr>
            <w:tcW w:type="dxa" w:w="500"/>
            <w:shd w:fill="FFFFFF" w:val="clear"/>
            <w:vAlign w:val="top"/>
          </w:tcPr>
          <w:p>
            <w:pPr>
              <w:spacing w:after="60" w:before="60"/>
              <w:ind w:left="72"/>
            </w:pPr>
            <w:r>
              <w:rPr>
                <w:rFonts w:ascii="Calibri" w:cs="Calibri" w:eastAsia="Calibri" w:hAnsi="Calibri"/>
                <w:b w:val="false"/>
                <w:bCs w:val="false"/>
                <w:color w:val="111111"/>
                <w:sz w:val="18"/>
                <w:szCs w:val="18"/>
              </w:rPr>
              <w:t xml:space="preserve">8</w:t>
            </w:r>
          </w:p>
        </w:tc>
        <w:tc>
          <w:tcPr>
            <w:tcW w:type="dxa" w:w="1500"/>
            <w:shd w:fill="FFFFFF" w:val="clear"/>
            <w:vAlign w:val="top"/>
          </w:tcPr>
          <w:p>
            <w:pPr>
              <w:spacing w:after="60" w:before="60"/>
              <w:ind w:left="72"/>
            </w:pPr>
            <w:r>
              <w:rPr>
                <w:rFonts w:ascii="Calibri" w:cs="Calibri" w:eastAsia="Calibri" w:hAnsi="Calibri"/>
                <w:b w:val="false"/>
                <w:bCs w:val="false"/>
                <w:color w:val="111111"/>
                <w:sz w:val="18"/>
                <w:szCs w:val="18"/>
              </w:rPr>
              <w:t xml:space="preserve">ERP admin</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Configure the ERP system to push live invoice output to the service ingestion endpoint (HTTP webhook, queue subscription, or SFTP trigger).</w:t>
            </w:r>
          </w:p>
        </w:tc>
        <w:tc>
          <w:tcPr>
            <w:tcW w:type="dxa" w:w="3800"/>
            <w:shd w:fill="FFFFFF" w:val="clear"/>
            <w:vAlign w:val="top"/>
          </w:tcPr>
          <w:p>
            <w:pPr>
              <w:spacing w:after="60" w:before="60"/>
              <w:ind w:left="72"/>
            </w:pPr>
            <w:r>
              <w:rPr>
                <w:rFonts w:ascii="Calibri" w:cs="Calibri" w:eastAsia="Calibri" w:hAnsi="Calibri"/>
                <w:b w:val="false"/>
                <w:bCs w:val="false"/>
                <w:color w:val="111111"/>
                <w:sz w:val="18"/>
                <w:szCs w:val="18"/>
              </w:rPr>
              <w:t xml:space="preserve">Live connection established</w:t>
            </w:r>
          </w:p>
        </w:tc>
      </w:tr>
    </w:tbl>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9  Architecture Decision Log — New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700"/>
        <w:gridCol w:w="2500"/>
        <w:gridCol w:w="3100"/>
        <w:gridCol w:w="3300"/>
      </w:tblGrid>
      <w:tr>
        <w:trPr>
          <w:tblHeader/>
        </w:trPr>
        <w:tc>
          <w:tcPr>
            <w:tcW w:type="dxa" w:w="700"/>
            <w:shd w:fill="0F2040" w:val="clear"/>
            <w:vAlign w:val="top"/>
          </w:tcPr>
          <w:p>
            <w:pPr>
              <w:spacing w:after="60" w:before="60"/>
              <w:ind w:left="72"/>
            </w:pPr>
            <w:r>
              <w:rPr>
                <w:rFonts w:ascii="Calibri" w:cs="Calibri" w:eastAsia="Calibri" w:hAnsi="Calibri"/>
                <w:b/>
                <w:bCs/>
                <w:color w:val="FFFFFF"/>
                <w:sz w:val="18"/>
                <w:szCs w:val="18"/>
              </w:rPr>
              <w:t xml:space="preserve">ID</w:t>
            </w:r>
          </w:p>
        </w:tc>
        <w:tc>
          <w:tcPr>
            <w:tcW w:type="dxa" w:w="2500"/>
            <w:shd w:fill="0F2040" w:val="clear"/>
            <w:vAlign w:val="top"/>
          </w:tcPr>
          <w:p>
            <w:pPr>
              <w:spacing w:after="60" w:before="60"/>
              <w:ind w:left="72"/>
            </w:pPr>
            <w:r>
              <w:rPr>
                <w:rFonts w:ascii="Calibri" w:cs="Calibri" w:eastAsia="Calibri" w:hAnsi="Calibri"/>
                <w:b/>
                <w:bCs/>
                <w:color w:val="FFFFFF"/>
                <w:sz w:val="18"/>
                <w:szCs w:val="18"/>
              </w:rPr>
              <w:t xml:space="preserve">Decision</w:t>
            </w:r>
          </w:p>
        </w:tc>
        <w:tc>
          <w:tcPr>
            <w:tcW w:type="dxa" w:w="3100"/>
            <w:shd w:fill="0F2040" w:val="clear"/>
            <w:vAlign w:val="top"/>
          </w:tcPr>
          <w:p>
            <w:pPr>
              <w:spacing w:after="60" w:before="60"/>
              <w:ind w:left="72"/>
            </w:pPr>
            <w:r>
              <w:rPr>
                <w:rFonts w:ascii="Calibri" w:cs="Calibri" w:eastAsia="Calibri" w:hAnsi="Calibri"/>
                <w:b/>
                <w:bCs/>
                <w:color w:val="FFFFFF"/>
                <w:sz w:val="18"/>
                <w:szCs w:val="18"/>
              </w:rPr>
              <w:t xml:space="preserve">Rationale</w:t>
            </w:r>
          </w:p>
        </w:tc>
        <w:tc>
          <w:tcPr>
            <w:tcW w:type="dxa" w:w="3300"/>
            <w:shd w:fill="0F2040" w:val="clear"/>
            <w:vAlign w:val="top"/>
          </w:tcPr>
          <w:p>
            <w:pPr>
              <w:spacing w:after="60" w:before="60"/>
              <w:ind w:left="72"/>
            </w:pPr>
            <w:r>
              <w:rPr>
                <w:rFonts w:ascii="Calibri" w:cs="Calibri" w:eastAsia="Calibri" w:hAnsi="Calibri"/>
                <w:b/>
                <w:bCs/>
                <w:color w:val="FFFFFF"/>
                <w:sz w:val="18"/>
                <w:szCs w:val="18"/>
              </w:rPr>
              <w:t xml:space="preserve">Alternatives considered</w:t>
            </w:r>
          </w:p>
        </w:tc>
      </w:tr>
      <w:tr>
        <w:tc>
          <w:tcPr>
            <w:tcW w:type="dxa" w:w="700"/>
            <w:shd w:fill="EEF5FC" w:val="clear"/>
            <w:vAlign w:val="top"/>
          </w:tcPr>
          <w:p>
            <w:pPr>
              <w:spacing w:after="60" w:before="60"/>
              <w:ind w:left="72"/>
            </w:pPr>
            <w:r>
              <w:rPr>
                <w:rFonts w:ascii="Calibri" w:cs="Calibri" w:eastAsia="Calibri" w:hAnsi="Calibri"/>
                <w:b w:val="false"/>
                <w:bCs w:val="false"/>
                <w:color w:val="111111"/>
                <w:sz w:val="18"/>
                <w:szCs w:val="18"/>
              </w:rPr>
              <w:t xml:space="preserve">ADR-09</w:t>
            </w:r>
          </w:p>
        </w:tc>
        <w:tc>
          <w:tcPr>
            <w:tcW w:type="dxa" w:w="2500"/>
            <w:shd w:fill="EEF5FC" w:val="clear"/>
            <w:vAlign w:val="top"/>
          </w:tcPr>
          <w:p>
            <w:pPr>
              <w:spacing w:after="60" w:before="60"/>
              <w:ind w:left="72"/>
            </w:pPr>
            <w:r>
              <w:rPr>
                <w:rFonts w:ascii="Calibri" w:cs="Calibri" w:eastAsia="Calibri" w:hAnsi="Calibri"/>
                <w:b w:val="false"/>
                <w:bCs w:val="false"/>
                <w:color w:val="111111"/>
                <w:sz w:val="18"/>
                <w:szCs w:val="18"/>
              </w:rPr>
              <w:t xml:space="preserve">Stage 1 (ERP) and Stage 2 (CTC) are strictly separated with SemanticDocument as the only interface</w:t>
            </w:r>
          </w:p>
        </w:tc>
        <w:tc>
          <w:tcPr>
            <w:tcW w:type="dxa" w:w="3100"/>
            <w:shd w:fill="EEF5FC" w:val="clear"/>
            <w:vAlign w:val="top"/>
          </w:tcPr>
          <w:p>
            <w:pPr>
              <w:spacing w:after="60" w:before="60"/>
              <w:ind w:left="72"/>
            </w:pPr>
            <w:r>
              <w:rPr>
                <w:rFonts w:ascii="Calibri" w:cs="Calibri" w:eastAsia="Calibri" w:hAnsi="Calibri"/>
                <w:b w:val="false"/>
                <w:bCs w:val="false"/>
                <w:color w:val="111111"/>
                <w:sz w:val="18"/>
                <w:szCs w:val="18"/>
              </w:rPr>
              <w:t xml:space="preserve">ERP admins must be able to configure field maps without mandate knowledge. Mandate analysts must be able to author country packs without ERP knowledge. Coupling either concern into the other creates an unmaintainable configuration surface.</w:t>
            </w:r>
          </w:p>
        </w:tc>
        <w:tc>
          <w:tcPr>
            <w:tcW w:type="dxa" w:w="3300"/>
            <w:shd w:fill="EEF5FC" w:val="clear"/>
            <w:vAlign w:val="top"/>
          </w:tcPr>
          <w:p>
            <w:pPr>
              <w:spacing w:after="60" w:before="60"/>
              <w:ind w:left="72"/>
            </w:pPr>
            <w:r>
              <w:rPr>
                <w:rFonts w:ascii="Calibri" w:cs="Calibri" w:eastAsia="Calibri" w:hAnsi="Calibri"/>
                <w:b w:val="false"/>
                <w:bCs w:val="false"/>
                <w:color w:val="111111"/>
                <w:sz w:val="18"/>
                <w:szCs w:val="18"/>
              </w:rPr>
              <w:t xml:space="preserve">Single-stage adapter per (ERP type, target mandate) — rejected: N×M adapters; ERP admin must understand mandate schema; mandate analyst must understand ERP schema.</w:t>
            </w:r>
          </w:p>
        </w:tc>
      </w:tr>
      <w:tr>
        <w:tc>
          <w:tcPr>
            <w:tcW w:type="dxa" w:w="700"/>
            <w:shd w:fill="FFFFFF" w:val="clear"/>
            <w:vAlign w:val="top"/>
          </w:tcPr>
          <w:p>
            <w:pPr>
              <w:spacing w:after="60" w:before="60"/>
              <w:ind w:left="72"/>
            </w:pPr>
            <w:r>
              <w:rPr>
                <w:rFonts w:ascii="Calibri" w:cs="Calibri" w:eastAsia="Calibri" w:hAnsi="Calibri"/>
                <w:b w:val="false"/>
                <w:bCs w:val="false"/>
                <w:color w:val="111111"/>
                <w:sz w:val="18"/>
                <w:szCs w:val="18"/>
              </w:rPr>
              <w:t xml:space="preserve">ADR-10</w:t>
            </w:r>
          </w:p>
        </w:tc>
        <w:tc>
          <w:tcPr>
            <w:tcW w:type="dxa" w:w="2500"/>
            <w:shd w:fill="FFFFFF" w:val="clear"/>
            <w:vAlign w:val="top"/>
          </w:tcPr>
          <w:p>
            <w:pPr>
              <w:spacing w:after="60" w:before="60"/>
              <w:ind w:left="72"/>
            </w:pPr>
            <w:r>
              <w:rPr>
                <w:rFonts w:ascii="Calibri" w:cs="Calibri" w:eastAsia="Calibri" w:hAnsi="Calibri"/>
                <w:b w:val="false"/>
                <w:bCs w:val="false"/>
                <w:color w:val="111111"/>
                <w:sz w:val="18"/>
                <w:szCs w:val="18"/>
              </w:rPr>
              <w:t xml:space="preserve">ERP connector configuration is driven by the same hot-reload mechanism as mandate configuration</w:t>
            </w:r>
          </w:p>
        </w:tc>
        <w:tc>
          <w:tcPr>
            <w:tcW w:type="dxa" w:w="3100"/>
            <w:shd w:fill="FFFFFF" w:val="clear"/>
            <w:vAlign w:val="top"/>
          </w:tcPr>
          <w:p>
            <w:pPr>
              <w:spacing w:after="60" w:before="60"/>
              <w:ind w:left="72"/>
            </w:pPr>
            <w:r>
              <w:rPr>
                <w:rFonts w:ascii="Calibri" w:cs="Calibri" w:eastAsia="Calibri" w:hAnsi="Calibri"/>
                <w:b w:val="false"/>
                <w:bCs w:val="false"/>
                <w:color w:val="111111"/>
                <w:sz w:val="18"/>
                <w:szCs w:val="18"/>
              </w:rPr>
              <w:t xml:space="preserve">Adding or updating an ERP connector for a new customer must not require a service redeploy. The same file-watch + distributed-lock + atomic-swap mechanism applies.</w:t>
            </w:r>
          </w:p>
        </w:tc>
        <w:tc>
          <w:tcPr>
            <w:tcW w:type="dxa" w:w="3300"/>
            <w:shd w:fill="FFFFFF" w:val="clear"/>
            <w:vAlign w:val="top"/>
          </w:tcPr>
          <w:p>
            <w:pPr>
              <w:spacing w:after="60" w:before="60"/>
              <w:ind w:left="72"/>
            </w:pPr>
            <w:r>
              <w:rPr>
                <w:rFonts w:ascii="Calibri" w:cs="Calibri" w:eastAsia="Calibri" w:hAnsi="Calibri"/>
                <w:b w:val="false"/>
                <w:bCs w:val="false"/>
                <w:color w:val="111111"/>
                <w:sz w:val="18"/>
                <w:szCs w:val="18"/>
              </w:rPr>
              <w:t xml:space="preserve">Code-based ERP adapters — rejected: requires engineering involvement for every new customer ERP instance; too slow for commercial onboarding.</w:t>
            </w:r>
          </w:p>
        </w:tc>
      </w:tr>
      <w:tr>
        <w:tc>
          <w:tcPr>
            <w:tcW w:type="dxa" w:w="700"/>
            <w:shd w:fill="EEF5FC" w:val="clear"/>
            <w:vAlign w:val="top"/>
          </w:tcPr>
          <w:p>
            <w:pPr>
              <w:spacing w:after="60" w:before="60"/>
              <w:ind w:left="72"/>
            </w:pPr>
            <w:r>
              <w:rPr>
                <w:rFonts w:ascii="Calibri" w:cs="Calibri" w:eastAsia="Calibri" w:hAnsi="Calibri"/>
                <w:b w:val="false"/>
                <w:bCs w:val="false"/>
                <w:color w:val="111111"/>
                <w:sz w:val="18"/>
                <w:szCs w:val="18"/>
              </w:rPr>
              <w:t xml:space="preserve">ADR-11</w:t>
            </w:r>
          </w:p>
        </w:tc>
        <w:tc>
          <w:tcPr>
            <w:tcW w:type="dxa" w:w="2500"/>
            <w:shd w:fill="EEF5FC" w:val="clear"/>
            <w:vAlign w:val="top"/>
          </w:tcPr>
          <w:p>
            <w:pPr>
              <w:spacing w:after="60" w:before="60"/>
              <w:ind w:left="72"/>
            </w:pPr>
            <w:r>
              <w:rPr>
                <w:rFonts w:ascii="Calibri" w:cs="Calibri" w:eastAsia="Calibri" w:hAnsi="Calibri"/>
                <w:b w:val="false"/>
                <w:bCs w:val="false"/>
                <w:color w:val="111111"/>
                <w:sz w:val="18"/>
                <w:szCs w:val="18"/>
              </w:rPr>
              <w:t xml:space="preserve">Custom fields are registered in a per-customer file, not merged into the base connector profile</w:t>
            </w:r>
          </w:p>
        </w:tc>
        <w:tc>
          <w:tcPr>
            <w:tcW w:type="dxa" w:w="3100"/>
            <w:shd w:fill="EEF5FC" w:val="clear"/>
            <w:vAlign w:val="top"/>
          </w:tcPr>
          <w:p>
            <w:pPr>
              <w:spacing w:after="60" w:before="60"/>
              <w:ind w:left="72"/>
            </w:pPr>
            <w:r>
              <w:rPr>
                <w:rFonts w:ascii="Calibri" w:cs="Calibri" w:eastAsia="Calibri" w:hAnsi="Calibri"/>
                <w:b w:val="false"/>
                <w:bCs w:val="false"/>
                <w:color w:val="111111"/>
                <w:sz w:val="18"/>
                <w:szCs w:val="18"/>
              </w:rPr>
              <w:t xml:space="preserve">Two customers running the same SAP version have different custom fields. Merging into the base profile would either cause conflicts or require a profile per customer. Separate customFieldsFile maintains a clean base profile while allowing unlimited customer-specific extension.</w:t>
            </w:r>
          </w:p>
        </w:tc>
        <w:tc>
          <w:tcPr>
            <w:tcW w:type="dxa" w:w="3300"/>
            <w:shd w:fill="EEF5FC" w:val="clear"/>
            <w:vAlign w:val="top"/>
          </w:tcPr>
          <w:p>
            <w:pPr>
              <w:spacing w:after="60" w:before="60"/>
              <w:ind w:left="72"/>
            </w:pPr>
            <w:r>
              <w:rPr>
                <w:rFonts w:ascii="Calibri" w:cs="Calibri" w:eastAsia="Calibri" w:hAnsi="Calibri"/>
                <w:b w:val="false"/>
                <w:bCs w:val="false"/>
                <w:color w:val="111111"/>
                <w:sz w:val="18"/>
                <w:szCs w:val="18"/>
              </w:rPr>
              <w:t xml:space="preserve">Per-customer connector profile — rejected: duplicates the entire base field map for every customer; maintenance burden when base SAP schema changes.</w:t>
            </w:r>
          </w:p>
        </w:tc>
      </w:tr>
      <w:tr>
        <w:tc>
          <w:tcPr>
            <w:tcW w:type="dxa" w:w="700"/>
            <w:shd w:fill="FFFFFF" w:val="clear"/>
            <w:vAlign w:val="top"/>
          </w:tcPr>
          <w:p>
            <w:pPr>
              <w:spacing w:after="60" w:before="60"/>
              <w:ind w:left="72"/>
            </w:pPr>
            <w:r>
              <w:rPr>
                <w:rFonts w:ascii="Calibri" w:cs="Calibri" w:eastAsia="Calibri" w:hAnsi="Calibri"/>
                <w:b w:val="false"/>
                <w:bCs w:val="false"/>
                <w:color w:val="111111"/>
                <w:sz w:val="18"/>
                <w:szCs w:val="18"/>
              </w:rPr>
              <w:t xml:space="preserve">ADR-12</w:t>
            </w:r>
          </w:p>
        </w:tc>
        <w:tc>
          <w:tcPr>
            <w:tcW w:type="dxa" w:w="2500"/>
            <w:shd w:fill="FFFFFF" w:val="clear"/>
            <w:vAlign w:val="top"/>
          </w:tcPr>
          <w:p>
            <w:pPr>
              <w:spacing w:after="60" w:before="60"/>
              <w:ind w:left="72"/>
            </w:pPr>
            <w:r>
              <w:rPr>
                <w:rFonts w:ascii="Calibri" w:cs="Calibri" w:eastAsia="Calibri" w:hAnsi="Calibri"/>
                <w:b w:val="false"/>
                <w:bCs w:val="false"/>
                <w:color w:val="111111"/>
                <w:sz w:val="18"/>
                <w:szCs w:val="18"/>
              </w:rPr>
              <w:t xml:space="preserve">Tax reconstruction from ERP GL data uses erp_enrich fn rules, not declarative rules</w:t>
            </w:r>
          </w:p>
        </w:tc>
        <w:tc>
          <w:tcPr>
            <w:tcW w:type="dxa" w:w="3100"/>
            <w:shd w:fill="FFFFFF" w:val="clear"/>
            <w:vAlign w:val="top"/>
          </w:tcPr>
          <w:p>
            <w:pPr>
              <w:spacing w:after="60" w:before="60"/>
              <w:ind w:left="72"/>
            </w:pPr>
            <w:r>
              <w:rPr>
                <w:rFonts w:ascii="Calibri" w:cs="Calibri" w:eastAsia="Calibri" w:hAnsi="Calibri"/>
                <w:b w:val="false"/>
                <w:bCs w:val="false"/>
                <w:color w:val="111111"/>
                <w:sz w:val="18"/>
                <w:szCs w:val="18"/>
              </w:rPr>
              <w:t xml:space="preserve">ERP tax data (MWSKZ, TaxGroup, SuiteTax) requires ERP-specific resolution logic that cannot be expressed in the declarative rule kinds. erp_enrich fn rules are owned by engineers; value map lookup tables (tax code → categoryCode + rate) are owned by analysts. This preserves the analyst/engineer boundary.</w:t>
            </w:r>
          </w:p>
        </w:tc>
        <w:tc>
          <w:tcPr>
            <w:tcW w:type="dxa" w:w="3300"/>
            <w:shd w:fill="FFFFFF" w:val="clear"/>
            <w:vAlign w:val="top"/>
          </w:tcPr>
          <w:p>
            <w:pPr>
              <w:spacing w:after="60" w:before="60"/>
              <w:ind w:left="72"/>
            </w:pPr>
            <w:r>
              <w:rPr>
                <w:rFonts w:ascii="Calibri" w:cs="Calibri" w:eastAsia="Calibri" w:hAnsi="Calibri"/>
                <w:b w:val="false"/>
                <w:bCs w:val="false"/>
                <w:color w:val="111111"/>
                <w:sz w:val="18"/>
                <w:szCs w:val="18"/>
              </w:rPr>
              <w:t xml:space="preserve">Declarative tax_regime + tax_application rules for ERP input — rejected: ERP tax codes vary infinitely per customer; cannot be expressed without an intermediate value map step that itself requires fn logic.</w:t>
            </w:r>
          </w:p>
        </w:tc>
      </w:tr>
      <w:tr>
        <w:tc>
          <w:tcPr>
            <w:tcW w:type="dxa" w:w="700"/>
            <w:shd w:fill="EEF5FC" w:val="clear"/>
            <w:vAlign w:val="top"/>
          </w:tcPr>
          <w:p>
            <w:pPr>
              <w:spacing w:after="60" w:before="60"/>
              <w:ind w:left="72"/>
            </w:pPr>
            <w:r>
              <w:rPr>
                <w:rFonts w:ascii="Calibri" w:cs="Calibri" w:eastAsia="Calibri" w:hAnsi="Calibri"/>
                <w:b w:val="false"/>
                <w:bCs w:val="false"/>
                <w:color w:val="111111"/>
                <w:sz w:val="18"/>
                <w:szCs w:val="18"/>
              </w:rPr>
              <w:t xml:space="preserve">ADR-13</w:t>
            </w:r>
          </w:p>
        </w:tc>
        <w:tc>
          <w:tcPr>
            <w:tcW w:type="dxa" w:w="2500"/>
            <w:shd w:fill="EEF5FC" w:val="clear"/>
            <w:vAlign w:val="top"/>
          </w:tcPr>
          <w:p>
            <w:pPr>
              <w:spacing w:after="60" w:before="60"/>
              <w:ind w:left="72"/>
            </w:pPr>
            <w:r>
              <w:rPr>
                <w:rFonts w:ascii="Calibri" w:cs="Calibri" w:eastAsia="Calibri" w:hAnsi="Calibri"/>
                <w:b w:val="false"/>
                <w:bCs w:val="false"/>
                <w:color w:val="111111"/>
                <w:sz w:val="18"/>
                <w:szCs w:val="18"/>
              </w:rPr>
              <w:t xml:space="preserve">Party lookup cache miss does not block the synchronous transform; it routes to async</w:t>
            </w:r>
          </w:p>
        </w:tc>
        <w:tc>
          <w:tcPr>
            <w:tcW w:type="dxa" w:w="3100"/>
            <w:shd w:fill="EEF5FC" w:val="clear"/>
            <w:vAlign w:val="top"/>
          </w:tcPr>
          <w:p>
            <w:pPr>
              <w:spacing w:after="60" w:before="60"/>
              <w:ind w:left="72"/>
            </w:pPr>
            <w:r>
              <w:rPr>
                <w:rFonts w:ascii="Calibri" w:cs="Calibri" w:eastAsia="Calibri" w:hAnsi="Calibri"/>
                <w:b w:val="false"/>
                <w:bCs w:val="false"/>
                <w:color w:val="111111"/>
                <w:sz w:val="18"/>
                <w:szCs w:val="18"/>
              </w:rPr>
              <w:t xml:space="preserve">A cache miss on an ERP entity master lookup can take 200–800ms. Blocking a synchronous HTTP request on an external ERP API call is a latency risk. Async routing for cache-miss scenarios keeps the synchronous p99 &lt; 500ms while still delivering a result.</w:t>
            </w:r>
          </w:p>
        </w:tc>
        <w:tc>
          <w:tcPr>
            <w:tcW w:type="dxa" w:w="3300"/>
            <w:shd w:fill="EEF5FC" w:val="clear"/>
            <w:vAlign w:val="top"/>
          </w:tcPr>
          <w:p>
            <w:pPr>
              <w:spacing w:after="60" w:before="60"/>
              <w:ind w:left="72"/>
            </w:pPr>
            <w:r>
              <w:rPr>
                <w:rFonts w:ascii="Calibri" w:cs="Calibri" w:eastAsia="Calibri" w:hAnsi="Calibri"/>
                <w:b w:val="false"/>
                <w:bCs w:val="false"/>
                <w:color w:val="111111"/>
                <w:sz w:val="18"/>
                <w:szCs w:val="18"/>
              </w:rPr>
              <w:t xml:space="preserve">Block synchronous response on ERP API call — rejected: p99 budget breach under cache miss load; ERP APIs are less reliable than internal services.</w:t>
            </w:r>
          </w:p>
        </w:tc>
      </w:tr>
      <w:tr>
        <w:tc>
          <w:tcPr>
            <w:tcW w:type="dxa" w:w="700"/>
            <w:shd w:fill="FFFFFF" w:val="clear"/>
            <w:vAlign w:val="top"/>
          </w:tcPr>
          <w:p>
            <w:pPr>
              <w:spacing w:after="60" w:before="60"/>
              <w:ind w:left="72"/>
            </w:pPr>
            <w:r>
              <w:rPr>
                <w:rFonts w:ascii="Calibri" w:cs="Calibri" w:eastAsia="Calibri" w:hAnsi="Calibri"/>
                <w:b w:val="false"/>
                <w:bCs w:val="false"/>
                <w:color w:val="111111"/>
                <w:sz w:val="18"/>
                <w:szCs w:val="18"/>
              </w:rPr>
              <w:t xml:space="preserve">ADR-14</w:t>
            </w:r>
          </w:p>
        </w:tc>
        <w:tc>
          <w:tcPr>
            <w:tcW w:type="dxa" w:w="2500"/>
            <w:shd w:fill="FFFFFF" w:val="clear"/>
            <w:vAlign w:val="top"/>
          </w:tcPr>
          <w:p>
            <w:pPr>
              <w:spacing w:after="60" w:before="60"/>
              <w:ind w:left="72"/>
            </w:pPr>
            <w:r>
              <w:rPr>
                <w:rFonts w:ascii="Calibri" w:cs="Calibri" w:eastAsia="Calibri" w:hAnsi="Calibri"/>
                <w:b w:val="false"/>
                <w:bCs w:val="false"/>
                <w:color w:val="111111"/>
                <w:sz w:val="18"/>
                <w:szCs w:val="18"/>
              </w:rPr>
              <w:t xml:space="preserve">sourceType auto-detection attempts structural inference before requiring explicit declaration</w:t>
            </w:r>
          </w:p>
        </w:tc>
        <w:tc>
          <w:tcPr>
            <w:tcW w:type="dxa" w:w="3100"/>
            <w:shd w:fill="FFFFFF" w:val="clear"/>
            <w:vAlign w:val="top"/>
          </w:tcPr>
          <w:p>
            <w:pPr>
              <w:spacing w:after="60" w:before="60"/>
              <w:ind w:left="72"/>
            </w:pPr>
            <w:r>
              <w:rPr>
                <w:rFonts w:ascii="Calibri" w:cs="Calibri" w:eastAsia="Calibri" w:hAnsi="Calibri"/>
                <w:b w:val="false"/>
                <w:bCs w:val="false"/>
                <w:color w:val="111111"/>
                <w:sz w:val="18"/>
                <w:szCs w:val="18"/>
              </w:rPr>
              <w:t xml:space="preserve">Most ERP formats are structurally distinct from CTC formats (IDoc XML has E1EDK01 root segment; CFDI has cfdi:Comprobante). Auto-detection reduces the API contract for simple integrations. Explicit sourceType declaration is always preferred for reliability.</w:t>
            </w:r>
          </w:p>
        </w:tc>
        <w:tc>
          <w:tcPr>
            <w:tcW w:type="dxa" w:w="3300"/>
            <w:shd w:fill="FFFFFF" w:val="clear"/>
            <w:vAlign w:val="top"/>
          </w:tcPr>
          <w:p>
            <w:pPr>
              <w:spacing w:after="60" w:before="60"/>
              <w:ind w:left="72"/>
            </w:pPr>
            <w:r>
              <w:rPr>
                <w:rFonts w:ascii="Calibri" w:cs="Calibri" w:eastAsia="Calibri" w:hAnsi="Calibri"/>
                <w:b w:val="false"/>
                <w:bCs w:val="false"/>
                <w:color w:val="111111"/>
                <w:sz w:val="18"/>
                <w:szCs w:val="18"/>
              </w:rPr>
              <w:t xml:space="preserve">Mandatory sourceType on every request — rejected: increases client burden for integrations where the format is always the same; fails to match existing CTC format client expectations.</w:t>
            </w:r>
          </w:p>
        </w:tc>
      </w:tr>
    </w:tbl>
    <w:p>
      <w:r>
        <w:br w:type="page"/>
      </w:r>
    </w:p>
    <w:p>
      <w:pPr>
        <w:pStyle w:val="Heading1"/>
        <w:pBdr>
          <w:bottom w:val="single" w:color="2E6DB4" w:sz="6" w:space="4"/>
        </w:pBdr>
        <w:spacing w:after="160" w:before="360"/>
      </w:pPr>
      <w:r>
        <w:rPr>
          <w:rFonts w:ascii="Calibri" w:cs="Calibri" w:eastAsia="Calibri" w:hAnsi="Calibri"/>
          <w:b/>
          <w:bCs/>
          <w:color w:val="0F2040"/>
          <w:sz w:val="40"/>
          <w:szCs w:val="40"/>
        </w:rPr>
        <w:t xml:space="preserve">10  Impact Summary — What Changes in v2.0</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200"/>
        <w:gridCol w:w="2600"/>
        <w:gridCol w:w="2600"/>
        <w:gridCol w:w="1200"/>
      </w:tblGrid>
      <w:tr>
        <w:trPr>
          <w:tblHeader/>
        </w:trPr>
        <w:tc>
          <w:tcPr>
            <w:tcW w:type="dxa" w:w="2200"/>
            <w:shd w:fill="0F2040" w:val="clear"/>
            <w:vAlign w:val="top"/>
          </w:tcPr>
          <w:p>
            <w:pPr>
              <w:spacing w:after="60" w:before="60"/>
              <w:ind w:left="72"/>
            </w:pPr>
            <w:r>
              <w:rPr>
                <w:rFonts w:ascii="Calibri" w:cs="Calibri" w:eastAsia="Calibri" w:hAnsi="Calibri"/>
                <w:b/>
                <w:bCs/>
                <w:color w:val="FFFFFF"/>
                <w:sz w:val="18"/>
                <w:szCs w:val="18"/>
              </w:rPr>
              <w:t xml:space="preserve">Component</w:t>
            </w:r>
          </w:p>
        </w:tc>
        <w:tc>
          <w:tcPr>
            <w:tcW w:type="dxa" w:w="2600"/>
            <w:shd w:fill="0F2040" w:val="clear"/>
            <w:vAlign w:val="top"/>
          </w:tcPr>
          <w:p>
            <w:pPr>
              <w:spacing w:after="60" w:before="60"/>
              <w:ind w:left="72"/>
            </w:pPr>
            <w:r>
              <w:rPr>
                <w:rFonts w:ascii="Calibri" w:cs="Calibri" w:eastAsia="Calibri" w:hAnsi="Calibri"/>
                <w:b/>
                <w:bCs/>
                <w:color w:val="FFFFFF"/>
                <w:sz w:val="18"/>
                <w:szCs w:val="18"/>
              </w:rPr>
              <w:t xml:space="preserve">v1.0</w:t>
            </w:r>
          </w:p>
        </w:tc>
        <w:tc>
          <w:tcPr>
            <w:tcW w:type="dxa" w:w="2600"/>
            <w:shd w:fill="0F2040" w:val="clear"/>
            <w:vAlign w:val="top"/>
          </w:tcPr>
          <w:p>
            <w:pPr>
              <w:spacing w:after="60" w:before="60"/>
              <w:ind w:left="72"/>
            </w:pPr>
            <w:r>
              <w:rPr>
                <w:rFonts w:ascii="Calibri" w:cs="Calibri" w:eastAsia="Calibri" w:hAnsi="Calibri"/>
                <w:b/>
                <w:bCs/>
                <w:color w:val="FFFFFF"/>
                <w:sz w:val="18"/>
                <w:szCs w:val="18"/>
              </w:rPr>
              <w:t xml:space="preserve">v2.0 change</w:t>
            </w:r>
          </w:p>
        </w:tc>
        <w:tc>
          <w:tcPr>
            <w:tcW w:type="dxa" w:w="1200"/>
            <w:shd w:fill="0F2040" w:val="clear"/>
            <w:vAlign w:val="top"/>
          </w:tcPr>
          <w:p>
            <w:pPr>
              <w:spacing w:after="60" w:before="60"/>
              <w:ind w:left="72"/>
            </w:pPr>
            <w:r>
              <w:rPr>
                <w:rFonts w:ascii="Calibri" w:cs="Calibri" w:eastAsia="Calibri" w:hAnsi="Calibri"/>
                <w:b/>
                <w:bCs/>
                <w:color w:val="FFFFFF"/>
                <w:sz w:val="18"/>
                <w:szCs w:val="18"/>
              </w:rPr>
              <w:t xml:space="preserve">Impact level</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Ingestion layer</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Accepts CTC format documents only</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Now accepts ERP documents via sourceType="erp"; routes to Stage 1 connector first</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Medium — new routing logic, new source type discriminator</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Format parsers (Stage 2 entry)</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6 format parsers (UBL, FatturaPA, CFDI, NF-e, INV-01, MyInvois)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 — ERP documents do not enter the format parser layer</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None</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SemanticDocument model</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As specified in v1.0</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UNCHANGED — the pivot model absorbs ERP output without structural change</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None</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Rule DSL</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6 rule kinds (field_map, code_map, tax_regime, tax_application, fn, validate)</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4 new rule kinds added (erp_path, erp_lookup, erp_custom, erp_enrich). Existing kinds unchanged.</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Low — additive only</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Rule engine</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Executes mandate rule pipeline</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Stage 1 field map rules run in a new pre-pipeline stage. Stage 2 rule pipeline unchanged.</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Low — new pre-stage; Stage 2 untouched</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Configuration volume</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mandate/ + lookups/ directories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New erp/ directory tree (connectors, fieldmaps, valuemaps, customfields, partylookup)</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Low — new config namespace; existing config untouched</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Configuration hot-reload</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Watches mandate/ and lookups/</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Watches erp/ as well. Same mechanism.</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None</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API</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POST /v1/transform + admin + viz endpoints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sourceType + erpConnector fields added to transform endpoint. New admin/erp/* and viz/erp/* endpoints.</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Low — backward compatible; new fields optional</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Redis cache</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Config cache, idempotency, lineage</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New: party lookup cache (entityType TTL-keyed), connector profile cache</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Low — new cache namespaces</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Visualisation API</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Mandate mapping + lineage views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New: ERP mapping explorer, gap analysis, 3-column ERP lineage trace</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Low — new endpoints; existing endpoints unchanged</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Performance targets</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Stage 2 only: p99 &lt; 500ms</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Stage 1 + Stage 2 combined: p99 &lt; 500ms (inline party); p99 &lt; 900ms (API party lookup, cache miss)</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Medium — party lookup cache miss requires mitigation strategy</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Country mandate packs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25 packs as defined in v1.0</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None</w:t>
            </w:r>
          </w:p>
        </w:tc>
      </w:tr>
      <w:tr>
        <w:tc>
          <w:tcPr>
            <w:tcW w:type="dxa" w:w="2200"/>
            <w:shd w:fill="EEF5FC" w:val="clear"/>
            <w:vAlign w:val="top"/>
          </w:tcPr>
          <w:p>
            <w:pPr>
              <w:spacing w:after="60" w:before="60"/>
              <w:ind w:left="72"/>
            </w:pPr>
            <w:r>
              <w:rPr>
                <w:rFonts w:ascii="Calibri" w:cs="Calibri" w:eastAsia="Calibri" w:hAnsi="Calibri"/>
                <w:b w:val="false"/>
                <w:bCs w:val="false"/>
                <w:color w:val="111111"/>
                <w:sz w:val="18"/>
                <w:szCs w:val="18"/>
              </w:rPr>
              <w:t xml:space="preserve">Signing plugins</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UNCHANGED</w:t>
            </w:r>
          </w:p>
        </w:tc>
        <w:tc>
          <w:tcPr>
            <w:tcW w:type="dxa" w:w="2600"/>
            <w:shd w:fill="EEF5FC" w:val="clear"/>
            <w:vAlign w:val="top"/>
          </w:tcPr>
          <w:p>
            <w:pPr>
              <w:spacing w:after="60" w:before="60"/>
              <w:ind w:left="72"/>
            </w:pPr>
            <w:r>
              <w:rPr>
                <w:rFonts w:ascii="Calibri" w:cs="Calibri" w:eastAsia="Calibri" w:hAnsi="Calibri"/>
                <w:b w:val="false"/>
                <w:bCs w:val="false"/>
                <w:color w:val="111111"/>
                <w:sz w:val="18"/>
                <w:szCs w:val="18"/>
              </w:rPr>
              <w:t xml:space="preserve">UNCHANGED</w:t>
            </w:r>
          </w:p>
        </w:tc>
        <w:tc>
          <w:tcPr>
            <w:tcW w:type="dxa" w:w="1200"/>
            <w:shd w:fill="EEF5FC" w:val="clear"/>
            <w:vAlign w:val="top"/>
          </w:tcPr>
          <w:p>
            <w:pPr>
              <w:spacing w:after="60" w:before="60"/>
              <w:ind w:left="72"/>
            </w:pPr>
            <w:r>
              <w:rPr>
                <w:rFonts w:ascii="Calibri" w:cs="Calibri" w:eastAsia="Calibri" w:hAnsi="Calibri"/>
                <w:b w:val="false"/>
                <w:bCs w:val="false"/>
                <w:color w:val="111111"/>
                <w:sz w:val="18"/>
                <w:szCs w:val="18"/>
              </w:rPr>
              <w:t xml:space="preserve">None</w:t>
            </w:r>
          </w:p>
        </w:tc>
      </w:tr>
      <w:tr>
        <w:tc>
          <w:tcPr>
            <w:tcW w:type="dxa" w:w="2200"/>
            <w:shd w:fill="FFFFFF" w:val="clear"/>
            <w:vAlign w:val="top"/>
          </w:tcPr>
          <w:p>
            <w:pPr>
              <w:spacing w:after="60" w:before="60"/>
              <w:ind w:left="72"/>
            </w:pPr>
            <w:r>
              <w:rPr>
                <w:rFonts w:ascii="Calibri" w:cs="Calibri" w:eastAsia="Calibri" w:hAnsi="Calibri"/>
                <w:b w:val="false"/>
                <w:bCs w:val="false"/>
                <w:color w:val="111111"/>
                <w:sz w:val="18"/>
                <w:szCs w:val="18"/>
              </w:rPr>
              <w:t xml:space="preserve">Delivery adapters</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w:t>
            </w:r>
          </w:p>
        </w:tc>
        <w:tc>
          <w:tcPr>
            <w:tcW w:type="dxa" w:w="2600"/>
            <w:shd w:fill="FFFFFF" w:val="clear"/>
            <w:vAlign w:val="top"/>
          </w:tcPr>
          <w:p>
            <w:pPr>
              <w:spacing w:after="60" w:before="60"/>
              <w:ind w:left="72"/>
            </w:pPr>
            <w:r>
              <w:rPr>
                <w:rFonts w:ascii="Calibri" w:cs="Calibri" w:eastAsia="Calibri" w:hAnsi="Calibri"/>
                <w:b w:val="false"/>
                <w:bCs w:val="false"/>
                <w:color w:val="111111"/>
                <w:sz w:val="18"/>
                <w:szCs w:val="18"/>
              </w:rPr>
              <w:t xml:space="preserve">UNCHANGED</w:t>
            </w:r>
          </w:p>
        </w:tc>
        <w:tc>
          <w:tcPr>
            <w:tcW w:type="dxa" w:w="1200"/>
            <w:shd w:fill="FFFFFF" w:val="clear"/>
            <w:vAlign w:val="top"/>
          </w:tcPr>
          <w:p>
            <w:pPr>
              <w:spacing w:after="60" w:before="60"/>
              <w:ind w:left="72"/>
            </w:pPr>
            <w:r>
              <w:rPr>
                <w:rFonts w:ascii="Calibri" w:cs="Calibri" w:eastAsia="Calibri" w:hAnsi="Calibri"/>
                <w:b w:val="false"/>
                <w:bCs w:val="false"/>
                <w:color w:val="111111"/>
                <w:sz w:val="18"/>
                <w:szCs w:val="18"/>
              </w:rPr>
              <w:t xml:space="preserve">None</w:t>
            </w:r>
          </w:p>
        </w:tc>
      </w:tr>
    </w:tbl>
    <w:p>
      <w:pPr>
        <w:spacing w:after="80" w:before="80"/>
        <w:jc w:val="left"/>
      </w:pPr>
      <w:r>
        <w:rPr>
          <w:rFonts w:ascii="Calibri" w:cs="Calibri" w:eastAsia="Calibri" w:hAnsi="Calibri"/>
          <w:b w:val="false"/>
          <w:bCs w:val="false"/>
          <w:i w:val="false"/>
          <w:iCs w:val="false"/>
          <w:color w:val="111111"/>
          <w:sz w:val="22"/>
          <w:szCs w:val="22"/>
        </w:rPr>
        <w:t xml:space="preserve">The impact of the ERP integration layer on the existing Stage 2 design is deliberately minimal. The SemanticDocument contract insulates Stage 2 from all ERP concerns. An operator who has already implemented a country mandate pack in v1.0 does not need to change it to support ERP-sourced input for that country.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center"/>
    </w:pPr>
    <w:r>
      <w:rPr>
        <w:rFonts w:ascii="Calibri" w:cs="Calibri" w:eastAsia="Calibri" w:hAnsi="Calibri"/>
        <w:color w:val="4B5563"/>
        <w:sz w:val="16"/>
        <w:szCs w:val="16"/>
      </w:rPr>
      <w:t xml:space="preserve">Generated 28/08/2026  |  CTC Transformer v2.0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jc w:val="right"/>
    </w:pPr>
    <w:r>
      <w:rPr>
        <w:rFonts w:ascii="Calibri" w:cs="Calibri" w:eastAsia="Calibri" w:hAnsi="Calibri"/>
        <w:color w:val="4B5563"/>
        <w:sz w:val="16"/>
        <w:szCs w:val="16"/>
      </w:rPr>
      <w:t xml:space="preserve">CTC Transformer Service  |  Technical Architecture v2.0  |  ERP Integration Layer</w:t>
    </w:r>
    <w:r>
      <w:rPr>
        <w:rFonts w:ascii="Calibri" w:cs="Calibri" w:eastAsia="Calibri" w:hAnsi="Calibri"/>
        <w:b/>
        <w:bCs/>
        <w:color w:val="B85C00"/>
        <w:sz w:val="16"/>
        <w:szCs w:val="16"/>
      </w:rPr>
      <w:t xml:space="preserve">  |  DRAFT  |  INTERNAL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CTC Transformer Service — Technical Architecture Design Document v2.0</dc:title>
  <dc:creator>CTC Transformer Architecture v2.0</dc:creator>
  <dc:description>ERP integration layer added to the CTC multi-country invoice transformation framework</dc:description>
  <cp:lastModifiedBy>Un-named</cp:lastModifiedBy>
  <cp:revision>1</cp:revision>
  <dcterms:created xsi:type="dcterms:W3CDTF">2026-08-28T15:14:07.559Z</dcterms:created>
  <dcterms:modified xsi:type="dcterms:W3CDTF">2026-08-28T15:14:07.559Z</dcterms:modified>
</cp:coreProperties>
</file>

<file path=docProps/custom.xml><?xml version="1.0" encoding="utf-8"?>
<Properties xmlns="http://schemas.openxmlformats.org/officeDocument/2006/custom-properties" xmlns:vt="http://schemas.openxmlformats.org/officeDocument/2006/docPropsVTypes"/>
</file>