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Rule="auto" w:line="276"/>
        <w:jc w:val="left"/>
      </w:pPr>
      <w:r>
        <w:rPr>
          <w:rFonts w:ascii="Arial" w:hAnsi="Arial" w:eastAsia="Arial"/>
          <w:b/>
          <w:i w:val="0"/>
          <w:color w:val="565A5C"/>
          <w:sz w:val="36"/>
        </w:rPr>
        <w:t>Дайджест новостей по корпоративному управлению</w:t>
      </w:r>
    </w:p>
    <w:p>
      <w:pPr>
        <w:spacing w:after="40" w:lineRule="auto" w:line="276"/>
        <w:pBdr>
          <w:bottom w:val="single" w:sz="18" w:space="8" w:color="FF6D22"/>
        </w:pBdr>
      </w:pPr>
      <w:r>
        <w:rPr>
          <w:rFonts w:ascii="Arial" w:hAnsi="Arial" w:eastAsia="Arial"/>
          <w:b w:val="0"/>
          <w:i w:val="0"/>
          <w:color w:val="565A5C"/>
          <w:sz w:val="22"/>
        </w:rPr>
        <w:t>Период: 3 квартал 2026 года (1 июля — 20 сентября 2026). Дата формирования: 20 сентября 2026.</w:t>
      </w:r>
    </w:p>
    <w:p>
      <w:pPr>
        <w:spacing w:after="280" w:lineRule="auto" w:line="276"/>
      </w:pPr>
      <w:r>
        <w:rPr>
          <w:rFonts w:ascii="Arial" w:hAnsi="Arial" w:eastAsia="Arial"/>
          <w:b w:val="0"/>
          <w:i/>
          <w:color w:val="979797"/>
          <w:sz w:val="20"/>
        </w:rPr>
        <w:t>Примечание: квартал ещё не завершён; дайджест отражает положение на дату формирования. Внутри разделов новости приведены в хронологическом порядке.</w:t>
      </w:r>
    </w:p>
    <w:p>
      <w:pPr>
        <w:spacing w:after="160" w:lineRule="auto" w:line="276" w:before="320"/>
        <w:pBdr>
          <w:bottom w:val="single" w:sz="12" w:space="4" w:color="FF6D22"/>
        </w:pBdr>
      </w:pPr>
      <w:r>
        <w:rPr>
          <w:rFonts w:ascii="Arial" w:hAnsi="Arial" w:eastAsia="Arial"/>
          <w:b/>
          <w:i w:val="0"/>
          <w:color w:val="565A5C"/>
          <w:sz w:val="28"/>
        </w:rPr>
        <w:t>1. Новости законодательства</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Закон о «точечном» доизбрании членов советов директоров АО и ООО</w:t>
      </w:r>
    </w:p>
    <w:p>
      <w:pPr>
        <w:spacing w:after="120" w:lineRule="auto" w:line="276"/>
      </w:pPr>
      <w:r>
        <w:rPr>
          <w:rFonts w:ascii="Times New Roman" w:hAnsi="Times New Roman" w:eastAsia="Times New Roman"/>
          <w:b w:val="0"/>
          <w:i w:val="0"/>
          <w:color w:val="565656"/>
          <w:sz w:val="24"/>
        </w:rPr>
        <w:t xml:space="preserve">04.07.2026 · Источник: </w:t>
      </w:r>
      <w:hyperlink r:id="rId11">
        <w:r>
          <w:rPr>
            <w:rFonts w:ascii="Times New Roman" w:hAnsi="Times New Roman"/>
            <w:sz w:val="24"/>
            <w:color w:val="0563C1"/>
            <w:u w:val="single"/>
          </w:rPr>
          <w:t>КонсультантПлюс — ФЗ № 237-ФЗ</w:t>
        </w:r>
      </w:hyperlink>
    </w:p>
    <w:p>
      <w:pPr>
        <w:spacing w:after="120" w:lineRule="auto" w:line="276"/>
      </w:pPr>
      <w:r>
        <w:rPr>
          <w:rFonts w:ascii="Times New Roman" w:hAnsi="Times New Roman" w:eastAsia="Times New Roman"/>
          <w:b w:val="0"/>
          <w:i w:val="0"/>
          <w:color w:val="565656"/>
          <w:sz w:val="24"/>
        </w:rPr>
        <w:t>Федеральный закон от 04.07.2026 № 237-ФЗ (в силе с 15.07.2026) закрепил закрытый перечень оснований досрочного прекращения полномочий члена совета директоров и ввёл «точечное» доизбрание (кооптацию) нового члена без переизбрания всего состава — при условии, что это предусмотрено уставом. Для решения нужно не менее ¾ голосов; в публичных обществах кооптация не применяется взамен выбывшего независимого директора. Аналогичные нормы внесены в закон об ООО (14-ФЗ).</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Государство освобождено от обязательной оферты миноритариям при обращении акций в доход РФ</w:t>
      </w:r>
    </w:p>
    <w:p>
      <w:pPr>
        <w:spacing w:after="120" w:lineRule="auto" w:line="276"/>
      </w:pPr>
      <w:r>
        <w:rPr>
          <w:rFonts w:ascii="Times New Roman" w:hAnsi="Times New Roman" w:eastAsia="Times New Roman"/>
          <w:b w:val="0"/>
          <w:i w:val="0"/>
          <w:color w:val="565656"/>
          <w:sz w:val="24"/>
        </w:rPr>
        <w:t xml:space="preserve">04.08.2026 · Источник: </w:t>
      </w:r>
      <w:hyperlink r:id="rId12">
        <w:r>
          <w:rPr>
            <w:rFonts w:ascii="Times New Roman" w:hAnsi="Times New Roman"/>
            <w:sz w:val="24"/>
            <w:color w:val="0563C1"/>
            <w:u w:val="single"/>
          </w:rPr>
          <w:t>Интерфакс</w:t>
        </w:r>
      </w:hyperlink>
      <w:r>
        <w:rPr>
          <w:rFonts w:ascii="Times New Roman" w:hAnsi="Times New Roman" w:eastAsia="Times New Roman"/>
          <w:b w:val="0"/>
          <w:i w:val="0"/>
          <w:color w:val="565656"/>
          <w:sz w:val="24"/>
        </w:rPr>
        <w:t xml:space="preserve">, </w:t>
      </w:r>
      <w:hyperlink r:id="rId13">
        <w:r>
          <w:rPr>
            <w:rFonts w:ascii="Times New Roman" w:hAnsi="Times New Roman"/>
            <w:sz w:val="24"/>
            <w:color w:val="0563C1"/>
            <w:u w:val="single"/>
          </w:rPr>
          <w:t>КонсультантПлюс — ФЗ № 278-ФЗ</w:t>
        </w:r>
      </w:hyperlink>
    </w:p>
    <w:p>
      <w:pPr>
        <w:spacing w:after="120" w:lineRule="auto" w:line="276"/>
      </w:pPr>
      <w:r>
        <w:rPr>
          <w:rFonts w:ascii="Times New Roman" w:hAnsi="Times New Roman" w:eastAsia="Times New Roman"/>
          <w:b w:val="0"/>
          <w:i w:val="0"/>
          <w:color w:val="565656"/>
          <w:sz w:val="24"/>
        </w:rPr>
        <w:t>Федеральный закон от 04.08.2026 № 278-ФЗ изменил ст. 84.2 закона об АО: при переходе акций в собственность РФ по решению суда или при безвозмездной передаче государству Росимущество в течение 18 месяцев не обязано направлять миноритариям обязательное предложение о выкупе. Норма распространена на уже возникшие отношения; поводом стала ситуация с обращением в доход государства 67,25% акций ЮГК по иску Генпрокуратуры. Миноритариям компаний с госучастием стоит учитывать риск затянутого выкупа.</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Новый закон о редомициляции и прекращении права недружественных нерезидентов на обратный выкуп активов</w:t>
      </w:r>
    </w:p>
    <w:p>
      <w:pPr>
        <w:spacing w:after="120" w:lineRule="auto" w:line="276"/>
      </w:pPr>
      <w:r>
        <w:rPr>
          <w:rFonts w:ascii="Times New Roman" w:hAnsi="Times New Roman" w:eastAsia="Times New Roman"/>
          <w:b w:val="0"/>
          <w:i w:val="0"/>
          <w:color w:val="565656"/>
          <w:sz w:val="24"/>
        </w:rPr>
        <w:t xml:space="preserve">04.08.2026 · Источник: </w:t>
      </w:r>
      <w:hyperlink r:id="rId14">
        <w:r>
          <w:rPr>
            <w:rFonts w:ascii="Times New Roman" w:hAnsi="Times New Roman"/>
            <w:sz w:val="24"/>
            <w:color w:val="0563C1"/>
            <w:u w:val="single"/>
          </w:rPr>
          <w:t>ppt.ru — обзор ФЗ № 319-ФЗ</w:t>
        </w:r>
      </w:hyperlink>
      <w:r>
        <w:rPr>
          <w:rFonts w:ascii="Times New Roman" w:hAnsi="Times New Roman" w:eastAsia="Times New Roman"/>
          <w:b w:val="0"/>
          <w:i w:val="0"/>
          <w:color w:val="565656"/>
          <w:sz w:val="24"/>
        </w:rPr>
        <w:t xml:space="preserve">, </w:t>
      </w:r>
      <w:hyperlink r:id="rId15">
        <w:r>
          <w:rPr>
            <w:rFonts w:ascii="Times New Roman" w:hAnsi="Times New Roman"/>
            <w:sz w:val="24"/>
            <w:color w:val="0563C1"/>
            <w:u w:val="single"/>
          </w:rPr>
          <w:t>Б1</w:t>
        </w:r>
      </w:hyperlink>
    </w:p>
    <w:p>
      <w:pPr>
        <w:spacing w:after="120" w:lineRule="auto" w:line="276"/>
      </w:pPr>
      <w:r>
        <w:rPr>
          <w:rFonts w:ascii="Times New Roman" w:hAnsi="Times New Roman" w:eastAsia="Times New Roman"/>
          <w:b w:val="0"/>
          <w:i w:val="0"/>
          <w:color w:val="565656"/>
          <w:sz w:val="24"/>
        </w:rPr>
        <w:t>Федеральный закон от 04.08.2026 № 319-ФЗ меняет законы № 290-ФЗ о международных компаниях и № 160-ФЗ об иностранных инвестициях. По редомициляции отменено обязательное аудиторское заключение, расширены полномочия УК САР, введена презумпция соблюдения требования об исключении из иностранного реестра при санкциях. Приобретатели российских активов получили право через АС Московской области добиваться прекращения права недружественного нерезидента на обратный выкуп ранее проданного бизнеса, если он публично поддерживал недружественные меры.</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Временное управление ценными бумагами по Указу № 604: порядок работы регистраторов и депозитариев</w:t>
      </w:r>
    </w:p>
    <w:p>
      <w:pPr>
        <w:spacing w:after="120" w:lineRule="auto" w:line="276"/>
      </w:pPr>
      <w:r>
        <w:rPr>
          <w:rFonts w:ascii="Times New Roman" w:hAnsi="Times New Roman" w:eastAsia="Times New Roman"/>
          <w:b w:val="0"/>
          <w:i w:val="0"/>
          <w:color w:val="565656"/>
          <w:sz w:val="24"/>
        </w:rPr>
        <w:t xml:space="preserve">28.08.2026 · Источник: </w:t>
      </w:r>
      <w:hyperlink r:id="rId16">
        <w:r>
          <w:rPr>
            <w:rFonts w:ascii="Times New Roman" w:hAnsi="Times New Roman"/>
            <w:sz w:val="24"/>
            <w:color w:val="0563C1"/>
            <w:u w:val="single"/>
          </w:rPr>
          <w:t>Банк России — решение Совета директоров от 28.08.2026</w:t>
        </w:r>
      </w:hyperlink>
      <w:r>
        <w:rPr>
          <w:rFonts w:ascii="Times New Roman" w:hAnsi="Times New Roman" w:eastAsia="Times New Roman"/>
          <w:b w:val="0"/>
          <w:i w:val="0"/>
          <w:color w:val="565656"/>
          <w:sz w:val="24"/>
        </w:rPr>
        <w:t xml:space="preserve">, </w:t>
      </w:r>
      <w:hyperlink r:id="rId17">
        <w:r>
          <w:rPr>
            <w:rFonts w:ascii="Times New Roman" w:hAnsi="Times New Roman"/>
            <w:sz w:val="24"/>
            <w:color w:val="0563C1"/>
            <w:u w:val="single"/>
          </w:rPr>
          <w:t>Указ № 604 (ред. от 08.09.2026)</w:t>
        </w:r>
      </w:hyperlink>
    </w:p>
    <w:p>
      <w:pPr>
        <w:spacing w:after="120" w:lineRule="auto" w:line="276"/>
      </w:pPr>
      <w:r>
        <w:rPr>
          <w:rFonts w:ascii="Times New Roman" w:hAnsi="Times New Roman" w:eastAsia="Times New Roman"/>
          <w:b w:val="0"/>
          <w:i w:val="0"/>
          <w:color w:val="565656"/>
          <w:sz w:val="24"/>
        </w:rPr>
        <w:t>Указом Президента РФ от 24.08.2026 № 604 (изменён 08.09.2026) введён механизм временного управления имуществом критической инфраструктуры по модели Указа № 302, включая ценные бумаги и доли в капитале российских обществ. Совет директоров ЦБ 28.08.2026 установил требования к регистраторам и депозитариям при временном управлении (до 31.12.2026): запись об обременении — не позднее следующего рабочего дня, возврат бумаг прежним владельцам — в течение пяти рабочих дней, операции без распоряжений владельцев и без платы.</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Временное управление распространено на российские активы Nestlé, «Ашан», «Лемана Про» и FM Logistic</w:t>
      </w:r>
    </w:p>
    <w:p>
      <w:pPr>
        <w:spacing w:after="120" w:lineRule="auto" w:line="276"/>
      </w:pPr>
      <w:r>
        <w:rPr>
          <w:rFonts w:ascii="Times New Roman" w:hAnsi="Times New Roman" w:eastAsia="Times New Roman"/>
          <w:b w:val="0"/>
          <w:i w:val="0"/>
          <w:color w:val="565656"/>
          <w:sz w:val="24"/>
        </w:rPr>
        <w:t xml:space="preserve">17.09.2026 · Источник: </w:t>
      </w:r>
      <w:hyperlink r:id="rId18">
        <w:r>
          <w:rPr>
            <w:rFonts w:ascii="Times New Roman" w:hAnsi="Times New Roman"/>
            <w:sz w:val="24"/>
            <w:color w:val="0563C1"/>
            <w:u w:val="single"/>
          </w:rPr>
          <w:t>Коммерсантъ</w:t>
        </w:r>
      </w:hyperlink>
      <w:r>
        <w:rPr>
          <w:rFonts w:ascii="Times New Roman" w:hAnsi="Times New Roman" w:eastAsia="Times New Roman"/>
          <w:b w:val="0"/>
          <w:i w:val="0"/>
          <w:color w:val="565656"/>
          <w:sz w:val="24"/>
        </w:rPr>
        <w:t xml:space="preserve">, </w:t>
      </w:r>
      <w:hyperlink r:id="rId19">
        <w:r>
          <w:rPr>
            <w:rFonts w:ascii="Times New Roman" w:hAnsi="Times New Roman"/>
            <w:sz w:val="24"/>
            <w:color w:val="0563C1"/>
            <w:u w:val="single"/>
          </w:rPr>
          <w:t>pravo.gov.ru — Указ № 661</w:t>
        </w:r>
      </w:hyperlink>
    </w:p>
    <w:p>
      <w:pPr>
        <w:spacing w:after="120" w:lineRule="auto" w:line="276"/>
      </w:pPr>
      <w:r>
        <w:rPr>
          <w:rFonts w:ascii="Times New Roman" w:hAnsi="Times New Roman" w:eastAsia="Times New Roman"/>
          <w:b w:val="0"/>
          <w:i w:val="0"/>
          <w:color w:val="565656"/>
          <w:sz w:val="24"/>
        </w:rPr>
        <w:t>Указом Президента РФ от 17.09.2026 № 661 перечень временного управления по модели Указа № 302 расширен на российские структуры международных компаний: «Нестле Россия», «Нестле Кубань», ООО «Ашан», ООО «Ле Монлид» («Лемана Про») и компании FM Logistic. Временным управляющим долями и акциями назначено АО «Л.Е.В. Менеджмент». Эксперты рассматривают временное управление как промежуточный этап перед возможной продажей активов; совокупная стоимость структур оценивается не менее чем в 600 млрд рублей.</w:t>
      </w:r>
    </w:p>
    <w:p>
      <w:pPr>
        <w:spacing w:after="160" w:lineRule="auto" w:line="276" w:before="320"/>
        <w:pBdr>
          <w:bottom w:val="single" w:sz="12" w:space="4" w:color="FF6D22"/>
        </w:pBdr>
      </w:pPr>
      <w:r>
        <w:rPr>
          <w:rFonts w:ascii="Arial" w:hAnsi="Arial" w:eastAsia="Arial"/>
          <w:b/>
          <w:i w:val="0"/>
          <w:color w:val="565A5C"/>
          <w:sz w:val="28"/>
        </w:rPr>
        <w:t>2. Законодательные инициативы</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Внесён законопроект о правовой легализации программ мотивации акциями (ESOP)</w:t>
      </w:r>
    </w:p>
    <w:p>
      <w:pPr>
        <w:spacing w:after="120" w:lineRule="auto" w:line="276"/>
      </w:pPr>
      <w:r>
        <w:rPr>
          <w:rFonts w:ascii="Times New Roman" w:hAnsi="Times New Roman" w:eastAsia="Times New Roman"/>
          <w:b w:val="0"/>
          <w:i w:val="0"/>
          <w:color w:val="565656"/>
          <w:sz w:val="24"/>
        </w:rPr>
        <w:t xml:space="preserve">23.07.2026 · Источник: </w:t>
      </w:r>
      <w:hyperlink r:id="rId20">
        <w:r>
          <w:rPr>
            <w:rFonts w:ascii="Times New Roman" w:hAnsi="Times New Roman"/>
            <w:sz w:val="24"/>
            <w:color w:val="0563C1"/>
            <w:u w:val="single"/>
          </w:rPr>
          <w:t>Право.ру</w:t>
        </w:r>
      </w:hyperlink>
      <w:r>
        <w:rPr>
          <w:rFonts w:ascii="Times New Roman" w:hAnsi="Times New Roman" w:eastAsia="Times New Roman"/>
          <w:b w:val="0"/>
          <w:i w:val="0"/>
          <w:color w:val="565656"/>
          <w:sz w:val="24"/>
        </w:rPr>
        <w:t xml:space="preserve">, </w:t>
      </w:r>
      <w:hyperlink r:id="rId21">
        <w:r>
          <w:rPr>
            <w:rFonts w:ascii="Times New Roman" w:hAnsi="Times New Roman"/>
            <w:sz w:val="24"/>
            <w:color w:val="0563C1"/>
            <w:u w:val="single"/>
          </w:rPr>
          <w:t>ppt.ru</w:t>
        </w:r>
      </w:hyperlink>
    </w:p>
    <w:p>
      <w:pPr>
        <w:spacing w:after="120" w:lineRule="auto" w:line="276"/>
      </w:pPr>
      <w:r>
        <w:rPr>
          <w:rFonts w:ascii="Times New Roman" w:hAnsi="Times New Roman" w:eastAsia="Times New Roman"/>
          <w:b w:val="0"/>
          <w:i w:val="0"/>
          <w:color w:val="565656"/>
          <w:sz w:val="24"/>
        </w:rPr>
        <w:t>Законопроект № 1297532-8 впервые закрепляет правовой статус программ мотивации акциями: в публичных АО программу утверждает общее собрание, в непубличных её можно делегировать совету директоров (единогласно незаинтересованными членами); срок — до 10 лет, лимит — 10% размещённых акций категории, размещение по закрытой подписке без преимущественного права. Для публичных обществ вводится порядок биржевого выкупа акций (вне первых и последних 10 минут торгов, цена не выше последней сделки, объём не более 10% среднедневного оборота). Планируемый срок вступления в силу — 1 декабря 2026 года; проект находится на рассмотрении в Комитете Госдумы по финансовому рынку.</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ЦБ раскрыл модель будущей реформы регулирования инсайдерской информации</w:t>
      </w:r>
    </w:p>
    <w:p>
      <w:pPr>
        <w:spacing w:after="120" w:lineRule="auto" w:line="276"/>
      </w:pPr>
      <w:r>
        <w:rPr>
          <w:rFonts w:ascii="Times New Roman" w:hAnsi="Times New Roman" w:eastAsia="Times New Roman"/>
          <w:b w:val="0"/>
          <w:i w:val="0"/>
          <w:color w:val="565656"/>
          <w:sz w:val="24"/>
        </w:rPr>
        <w:t xml:space="preserve">28.07.2026 · Источник: </w:t>
      </w:r>
      <w:hyperlink r:id="rId22">
        <w:r>
          <w:rPr>
            <w:rFonts w:ascii="Times New Roman" w:hAnsi="Times New Roman"/>
            <w:sz w:val="24"/>
            <w:color w:val="0563C1"/>
            <w:u w:val="single"/>
          </w:rPr>
          <w:t>NSP Law</w:t>
        </w:r>
      </w:hyperlink>
    </w:p>
    <w:p>
      <w:pPr>
        <w:spacing w:after="120" w:lineRule="auto" w:line="276"/>
      </w:pPr>
      <w:r>
        <w:rPr>
          <w:rFonts w:ascii="Times New Roman" w:hAnsi="Times New Roman" w:eastAsia="Times New Roman"/>
          <w:b w:val="0"/>
          <w:i w:val="0"/>
          <w:color w:val="565656"/>
          <w:sz w:val="24"/>
        </w:rPr>
        <w:t>Законопроект № 1075257-8 (принят в первом чтении) реформирует закон № 224-ФЗ об инсайдерской информации; в июле ЦБ разъяснил предполагаемую модель. Предусматривается выбор органа, утверждающего перечень инсайдерской информации (ЕИО или совет директоров), ежемесячное раскрытие обезличенной информации о сделках инсайдеров и полномочия ЦБ по внутреннему контролю. Для публичных АО это означает перестройку комплаенса и практики раскрытия сделок инсайдеров.</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Минфин готовит законодательное регулирование страхования ответственности директоров (D&amp;O)</w:t>
      </w:r>
    </w:p>
    <w:p>
      <w:pPr>
        <w:spacing w:after="120" w:lineRule="auto" w:line="276"/>
      </w:pPr>
      <w:r>
        <w:rPr>
          <w:rFonts w:ascii="Times New Roman" w:hAnsi="Times New Roman" w:eastAsia="Times New Roman"/>
          <w:b w:val="0"/>
          <w:i w:val="0"/>
          <w:color w:val="565656"/>
          <w:sz w:val="24"/>
        </w:rPr>
        <w:t xml:space="preserve">09.07.2026 · Источник: </w:t>
      </w:r>
      <w:hyperlink r:id="rId23">
        <w:r>
          <w:rPr>
            <w:rFonts w:ascii="Times New Roman" w:hAnsi="Times New Roman"/>
            <w:sz w:val="24"/>
            <w:color w:val="0563C1"/>
            <w:u w:val="single"/>
          </w:rPr>
          <w:t>InvestFuture</w:t>
        </w:r>
      </w:hyperlink>
    </w:p>
    <w:p>
      <w:pPr>
        <w:spacing w:after="120" w:lineRule="auto" w:line="276"/>
      </w:pPr>
      <w:r>
        <w:rPr>
          <w:rFonts w:ascii="Times New Roman" w:hAnsi="Times New Roman" w:eastAsia="Times New Roman"/>
          <w:b w:val="0"/>
          <w:i w:val="0"/>
          <w:color w:val="565656"/>
          <w:sz w:val="24"/>
        </w:rPr>
        <w:t>Замминистра финансов Иван Чебесков на XX форуме по корпоративному управлению (ссылку см. в источниках) заявил, что Минфин, ЦБ и МЭР пришли к необходимости закрепить правила страхования ответственности директоров на уровне закона. Отдельные компании уже применяют такие программы, но отсутствие регулирования создаёт правовую неопределённость. Конкретный законопроект и сроки пока не представлены.</w:t>
      </w:r>
    </w:p>
    <w:p>
      <w:pPr>
        <w:spacing w:after="160" w:lineRule="auto" w:line="276" w:before="320"/>
        <w:pBdr>
          <w:bottom w:val="single" w:sz="12" w:space="4" w:color="FF6D22"/>
        </w:pBdr>
      </w:pPr>
      <w:r>
        <w:rPr>
          <w:rFonts w:ascii="Arial" w:hAnsi="Arial" w:eastAsia="Arial"/>
          <w:b/>
          <w:i w:val="0"/>
          <w:color w:val="565A5C"/>
          <w:sz w:val="28"/>
        </w:rPr>
        <w:t>3. Новости Банка России</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Предложены минимальный объём IPO в 3 млрд рублей и новая шкала free-float для котировальных списков</w:t>
      </w:r>
    </w:p>
    <w:p>
      <w:pPr>
        <w:spacing w:after="120" w:lineRule="auto" w:line="276"/>
      </w:pPr>
      <w:r>
        <w:rPr>
          <w:rFonts w:ascii="Times New Roman" w:hAnsi="Times New Roman" w:eastAsia="Times New Roman"/>
          <w:b w:val="0"/>
          <w:i w:val="0"/>
          <w:color w:val="565656"/>
          <w:sz w:val="24"/>
        </w:rPr>
        <w:t xml:space="preserve">06.07.2026 · Источник: </w:t>
      </w:r>
      <w:hyperlink r:id="rId24">
        <w:r>
          <w:rPr>
            <w:rFonts w:ascii="Times New Roman" w:hAnsi="Times New Roman"/>
            <w:sz w:val="24"/>
            <w:color w:val="0563C1"/>
            <w:u w:val="single"/>
          </w:rPr>
          <w:t>Интерфакс</w:t>
        </w:r>
      </w:hyperlink>
    </w:p>
    <w:p>
      <w:pPr>
        <w:spacing w:after="120" w:lineRule="auto" w:line="276"/>
      </w:pPr>
      <w:r>
        <w:rPr>
          <w:rFonts w:ascii="Times New Roman" w:hAnsi="Times New Roman" w:eastAsia="Times New Roman"/>
          <w:b w:val="0"/>
          <w:i w:val="0"/>
          <w:color w:val="565656"/>
          <w:sz w:val="24"/>
        </w:rPr>
        <w:t>Директор Департамента корпоративных отношений ЦБ Екатерина Абашеева сообщила о предложении ввести минимальный объём размещения при IPO — 3 млрд рублей для первого и второго котировальных списков Мосбиржи. Для компаний с капитализацией до 30 млрд рублей флоат должен быть не менее 10% (но не менее 3 млрд рублей), для более крупных — по специальной формуле. Оба размещения 2026 года (B2B-РТС и «Инкаб Холдинг») не дотянули бы до новой планки.</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ЦБ не будет «пересобирать» Кодекс корпоративного управления, но перенесёт часть рекомендаций на уровень закона</w:t>
      </w:r>
    </w:p>
    <w:p>
      <w:pPr>
        <w:spacing w:after="120" w:lineRule="auto" w:line="276"/>
      </w:pPr>
      <w:r>
        <w:rPr>
          <w:rFonts w:ascii="Times New Roman" w:hAnsi="Times New Roman" w:eastAsia="Times New Roman"/>
          <w:b w:val="0"/>
          <w:i w:val="0"/>
          <w:color w:val="565656"/>
          <w:sz w:val="24"/>
        </w:rPr>
        <w:t xml:space="preserve">09.07.2026 · Источник: </w:t>
      </w:r>
      <w:hyperlink r:id="rId25">
        <w:r>
          <w:rPr>
            <w:rFonts w:ascii="Times New Roman" w:hAnsi="Times New Roman"/>
            <w:sz w:val="24"/>
            <w:color w:val="0563C1"/>
            <w:u w:val="single"/>
          </w:rPr>
          <w:t>Финмаркет</w:t>
        </w:r>
      </w:hyperlink>
    </w:p>
    <w:p>
      <w:pPr>
        <w:spacing w:after="120" w:lineRule="auto" w:line="276"/>
      </w:pPr>
      <w:r>
        <w:rPr>
          <w:rFonts w:ascii="Times New Roman" w:hAnsi="Times New Roman" w:eastAsia="Times New Roman"/>
          <w:b w:val="0"/>
          <w:i w:val="0"/>
          <w:color w:val="565656"/>
          <w:sz w:val="24"/>
        </w:rPr>
        <w:t>ЦБ не рассматривает «пересборку» Кодекса корпоративного управления, но планирует перенести отдельные его рекомендации на уровень закона и регуляторных требований — прежде всего через обновление требований к листингу, проект которых планировалось опубликовать в III квартале 2026 года. При этом регулятор указывает на ослабление позиции миноритариев и ограниченную эффективность «мягкого регулирования» в текущих условиях.</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С 2027 года ЦБ возобновит публикацию обезличенных данных о структуре собственности финансовых организаций</w:t>
      </w:r>
    </w:p>
    <w:p>
      <w:pPr>
        <w:spacing w:after="120" w:lineRule="auto" w:line="276"/>
      </w:pPr>
      <w:r>
        <w:rPr>
          <w:rFonts w:ascii="Times New Roman" w:hAnsi="Times New Roman" w:eastAsia="Times New Roman"/>
          <w:b w:val="0"/>
          <w:i w:val="0"/>
          <w:color w:val="565656"/>
          <w:sz w:val="24"/>
        </w:rPr>
        <w:t xml:space="preserve">20.07.2026 · Источник: </w:t>
      </w:r>
      <w:hyperlink r:id="rId26">
        <w:r>
          <w:rPr>
            <w:rFonts w:ascii="Times New Roman" w:hAnsi="Times New Roman"/>
            <w:sz w:val="24"/>
            <w:color w:val="0563C1"/>
            <w:u w:val="single"/>
          </w:rPr>
          <w:t>Интерфакс</w:t>
        </w:r>
      </w:hyperlink>
    </w:p>
    <w:p>
      <w:pPr>
        <w:spacing w:after="120" w:lineRule="auto" w:line="276"/>
      </w:pPr>
      <w:r>
        <w:rPr>
          <w:rFonts w:ascii="Times New Roman" w:hAnsi="Times New Roman" w:eastAsia="Times New Roman"/>
          <w:b w:val="0"/>
          <w:i w:val="0"/>
          <w:color w:val="565656"/>
          <w:sz w:val="24"/>
        </w:rPr>
        <w:t>С 1 января 2027 года ЦБ возобновит публикацию сведений о структуре собственности банков, НПФ, страховых, управляющих и микрофинансовых организаций. Информация будет раскрываться в обезличенном виде через 14 критериев с ответами «да»/«нет»/«неприменимо», формирующих уникальный профиль организации; указание уже зарегистрировано Минюстом. Решение балансирует потребность рынка в информации о бенефициарах и санкционные риски раскрытия персональных данных.</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ЦБ разъяснил способы направления АО бюллетеней для голосования на общих собраниях</w:t>
      </w:r>
    </w:p>
    <w:p>
      <w:pPr>
        <w:spacing w:after="120" w:lineRule="auto" w:line="276"/>
      </w:pPr>
      <w:r>
        <w:rPr>
          <w:rFonts w:ascii="Times New Roman" w:hAnsi="Times New Roman" w:eastAsia="Times New Roman"/>
          <w:b w:val="0"/>
          <w:i w:val="0"/>
          <w:color w:val="565656"/>
          <w:sz w:val="24"/>
        </w:rPr>
        <w:t xml:space="preserve">31.07.2026 · Источник: </w:t>
      </w:r>
      <w:hyperlink r:id="rId27">
        <w:r>
          <w:rPr>
            <w:rFonts w:ascii="Times New Roman" w:hAnsi="Times New Roman"/>
            <w:sz w:val="24"/>
            <w:color w:val="0563C1"/>
            <w:u w:val="single"/>
          </w:rPr>
          <w:t>Клерк.ру — текст письма № 018-28/7445</w:t>
        </w:r>
      </w:hyperlink>
    </w:p>
    <w:p>
      <w:pPr>
        <w:spacing w:after="120" w:lineRule="auto" w:line="276"/>
      </w:pPr>
      <w:r>
        <w:rPr>
          <w:rFonts w:ascii="Times New Roman" w:hAnsi="Times New Roman" w:eastAsia="Times New Roman"/>
          <w:b w:val="0"/>
          <w:i w:val="0"/>
          <w:color w:val="565656"/>
          <w:sz w:val="24"/>
        </w:rPr>
        <w:t>Письмом от 31.07.2026 № 018-28/7445 ЦБ (по запросу Ассоциации российских банков) разъяснил применение ст. 60 закона об АО после изменений 287-ФЗ. Уставом может быть предусмотрено направление бюллетеней простой (нерегистрируемой) почтой; публикация бюллетеня на сайте не заменяет обязанность по его направлению акционерам, а при отсутствии актуальных e-mail в реестре обязателен регистрируемый отправитель или вручение под подпись. Размещение бланков в личном кабинете акционера (вход через ЕСИА или «Интернет-банк») может рассматриваться как допустимый «иной способ» направления.</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С 1 августа отменены устаревшие акты ФКЦБ и ФСФР по учёту прав на ценные бумаги</w:t>
      </w:r>
    </w:p>
    <w:p>
      <w:pPr>
        <w:spacing w:after="120" w:lineRule="auto" w:line="276"/>
      </w:pPr>
      <w:r>
        <w:rPr>
          <w:rFonts w:ascii="Times New Roman" w:hAnsi="Times New Roman" w:eastAsia="Times New Roman"/>
          <w:b w:val="0"/>
          <w:i w:val="0"/>
          <w:color w:val="565656"/>
          <w:sz w:val="24"/>
        </w:rPr>
        <w:t xml:space="preserve">01.08.2026 · Источник: </w:t>
      </w:r>
      <w:hyperlink r:id="rId28">
        <w:r>
          <w:rPr>
            <w:rFonts w:ascii="Times New Roman" w:hAnsi="Times New Roman"/>
            <w:sz w:val="24"/>
            <w:color w:val="0563C1"/>
            <w:u w:val="single"/>
          </w:rPr>
          <w:t>КонсультантПлюс — Указание № 7366-У</w:t>
        </w:r>
      </w:hyperlink>
    </w:p>
    <w:p>
      <w:pPr>
        <w:spacing w:after="120" w:lineRule="auto" w:line="276"/>
      </w:pPr>
      <w:r>
        <w:rPr>
          <w:rFonts w:ascii="Times New Roman" w:hAnsi="Times New Roman" w:eastAsia="Times New Roman"/>
          <w:b w:val="0"/>
          <w:i w:val="0"/>
          <w:color w:val="565656"/>
          <w:sz w:val="24"/>
        </w:rPr>
        <w:t>Указанием ЦБ от 08.06.2026 № 7366-У с 1 августа 2026 года не применяются акты ФКЦБ и ФСФР о порядке объединения дополнительных выпусков бумаг, требованиях к использованию электронных документов и порядке заверения подписи профессиональными участниками. Документ приводит нормативную базу учёта прав на ценные бумаги в соответствие с современным регулированием; затрагивает регистраторов, депозитариев и эмитентов.</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ЦБ планирует отменить регистрацию выпусков акций для малых непубличных АО</w:t>
      </w:r>
    </w:p>
    <w:p>
      <w:pPr>
        <w:spacing w:after="120" w:lineRule="auto" w:line="276"/>
      </w:pPr>
      <w:r>
        <w:rPr>
          <w:rFonts w:ascii="Times New Roman" w:hAnsi="Times New Roman" w:eastAsia="Times New Roman"/>
          <w:b w:val="0"/>
          <w:i w:val="0"/>
          <w:color w:val="565656"/>
          <w:sz w:val="24"/>
        </w:rPr>
        <w:t xml:space="preserve">19.08.2026 · Источник: </w:t>
      </w:r>
      <w:hyperlink r:id="rId29">
        <w:r>
          <w:rPr>
            <w:rFonts w:ascii="Times New Roman" w:hAnsi="Times New Roman"/>
            <w:sz w:val="24"/>
            <w:color w:val="0563C1"/>
            <w:u w:val="single"/>
          </w:rPr>
          <w:t>Деловой Петербург</w:t>
        </w:r>
      </w:hyperlink>
    </w:p>
    <w:p>
      <w:pPr>
        <w:spacing w:after="120" w:lineRule="auto" w:line="276"/>
      </w:pPr>
      <w:r>
        <w:rPr>
          <w:rFonts w:ascii="Times New Roman" w:hAnsi="Times New Roman" w:eastAsia="Times New Roman"/>
          <w:b w:val="0"/>
          <w:i w:val="0"/>
          <w:color w:val="565656"/>
          <w:sz w:val="24"/>
        </w:rPr>
        <w:t>ЦБ намерен разрешить непубличным АО с числом акционеров не более 50 не регистрировать выпуски акций. Регистрация каждого выпуска стоит компаниям десятки тысяч рублей в год (госпошлина 35 тыс. рублей, реестродержатель, юристы). В ЦБ считают, что отказ от регистрации «устранит избыточную административную нагрузку и ускорит корпоративные процедуры» и повысит привлекательность формы АО.</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ЦБ запустил общественное обсуждение реформы института представителей владельцев облигаций</w:t>
      </w:r>
    </w:p>
    <w:p>
      <w:pPr>
        <w:spacing w:after="120" w:lineRule="auto" w:line="276"/>
      </w:pPr>
      <w:r>
        <w:rPr>
          <w:rFonts w:ascii="Times New Roman" w:hAnsi="Times New Roman" w:eastAsia="Times New Roman"/>
          <w:b w:val="0"/>
          <w:i w:val="0"/>
          <w:color w:val="565656"/>
          <w:sz w:val="24"/>
        </w:rPr>
        <w:t xml:space="preserve">27.08.2026 · Источник: </w:t>
      </w:r>
      <w:hyperlink r:id="rId30">
        <w:r>
          <w:rPr>
            <w:rFonts w:ascii="Times New Roman" w:hAnsi="Times New Roman"/>
            <w:sz w:val="24"/>
            <w:color w:val="0563C1"/>
            <w:u w:val="single"/>
          </w:rPr>
          <w:t>Ведомости</w:t>
        </w:r>
      </w:hyperlink>
      <w:r>
        <w:rPr>
          <w:rFonts w:ascii="Times New Roman" w:hAnsi="Times New Roman" w:eastAsia="Times New Roman"/>
          <w:b w:val="0"/>
          <w:i w:val="0"/>
          <w:color w:val="565656"/>
          <w:sz w:val="24"/>
        </w:rPr>
        <w:t xml:space="preserve">, </w:t>
      </w:r>
      <w:hyperlink r:id="rId31">
        <w:r>
          <w:rPr>
            <w:rFonts w:ascii="Times New Roman" w:hAnsi="Times New Roman"/>
            <w:sz w:val="24"/>
            <w:color w:val="0563C1"/>
            <w:u w:val="single"/>
          </w:rPr>
          <w:t>Доклад ЦБ</w:t>
        </w:r>
      </w:hyperlink>
    </w:p>
    <w:p>
      <w:pPr>
        <w:spacing w:after="120" w:lineRule="auto" w:line="276"/>
      </w:pPr>
      <w:r>
        <w:rPr>
          <w:rFonts w:ascii="Times New Roman" w:hAnsi="Times New Roman" w:eastAsia="Times New Roman"/>
          <w:b w:val="0"/>
          <w:i w:val="0"/>
          <w:color w:val="565656"/>
          <w:sz w:val="24"/>
        </w:rPr>
        <w:t>ЦБ опубликовал доклад «Институты коллективной защиты: новая модель регулирования» о реформе института представителей владельцев облигаций (ПВО); комментарии принимались до 15 сентября 2026 года. Предлагается ужесточить требования к ПВО, запретить конфликт интересов, закрепить оплату их работы за эмитентом и расширить их права на информацию, включая право понуждать эмитента к раскрытию через суд; также предлагаются кворум на собраниях владельцев облигаций и отказ от бессрочных отказов от права на суд. Для эмитентов вырастут требования по сопровождению выпусков.</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ЦБ опубликовал проект Основных направлений развития финансового рынка на 2027–2029 годы</w:t>
      </w:r>
    </w:p>
    <w:p>
      <w:pPr>
        <w:spacing w:after="120" w:lineRule="auto" w:line="276"/>
      </w:pPr>
      <w:r>
        <w:rPr>
          <w:rFonts w:ascii="Times New Roman" w:hAnsi="Times New Roman" w:eastAsia="Times New Roman"/>
          <w:b w:val="0"/>
          <w:i w:val="0"/>
          <w:color w:val="565656"/>
          <w:sz w:val="24"/>
        </w:rPr>
        <w:t xml:space="preserve">14.09.2026 · Источник: </w:t>
      </w:r>
      <w:hyperlink r:id="rId32">
        <w:r>
          <w:rPr>
            <w:rFonts w:ascii="Times New Roman" w:hAnsi="Times New Roman"/>
            <w:sz w:val="24"/>
            <w:color w:val="0563C1"/>
            <w:u w:val="single"/>
          </w:rPr>
          <w:t>Пресс-релиз ЦБ</w:t>
        </w:r>
      </w:hyperlink>
      <w:r>
        <w:rPr>
          <w:rFonts w:ascii="Times New Roman" w:hAnsi="Times New Roman" w:eastAsia="Times New Roman"/>
          <w:b w:val="0"/>
          <w:i w:val="0"/>
          <w:color w:val="565656"/>
          <w:sz w:val="24"/>
        </w:rPr>
        <w:t xml:space="preserve">, </w:t>
      </w:r>
      <w:hyperlink r:id="rId33">
        <w:r>
          <w:rPr>
            <w:rFonts w:ascii="Times New Roman" w:hAnsi="Times New Roman"/>
            <w:sz w:val="24"/>
            <w:color w:val="0563C1"/>
            <w:u w:val="single"/>
          </w:rPr>
          <w:t>Текст проекта</w:t>
        </w:r>
      </w:hyperlink>
    </w:p>
    <w:p>
      <w:pPr>
        <w:spacing w:after="120" w:lineRule="auto" w:line="276"/>
      </w:pPr>
      <w:r>
        <w:rPr>
          <w:rFonts w:ascii="Times New Roman" w:hAnsi="Times New Roman" w:eastAsia="Times New Roman"/>
          <w:b w:val="0"/>
          <w:i w:val="0"/>
          <w:color w:val="565656"/>
          <w:sz w:val="24"/>
        </w:rPr>
        <w:t>Проект ОНРФР на 2027–2029 годы одобрен Советом директоров ЦБ 11 сентября и опубликован 14 сентября; комментарии принимаются до 9 октября 2026 года. В разделе о корпоративных отношениях предлагается совершенствование прав акционеров при проведении общих собраний, правил приобретения крупных пакетов акций (обязательное предложение, принудительный выкуп), регулирования крупных сделок в хозяйственных обществах и институтов ПВО/ОСВО. Заявлены также развитие дивидендной политики, повышение роли независимых директоров и обновление требований к листингу и раскрытию информации.</w:t>
      </w:r>
    </w:p>
    <w:p>
      <w:pPr>
        <w:spacing w:after="160" w:lineRule="auto" w:line="276" w:before="320"/>
        <w:pBdr>
          <w:bottom w:val="single" w:sz="12" w:space="4" w:color="FF6D22"/>
        </w:pBdr>
      </w:pPr>
      <w:r>
        <w:rPr>
          <w:rFonts w:ascii="Arial" w:hAnsi="Arial" w:eastAsia="Arial"/>
          <w:b/>
          <w:i w:val="0"/>
          <w:color w:val="565A5C"/>
          <w:sz w:val="28"/>
        </w:rPr>
        <w:t>4. Новости рынка ценных бумаг</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Сбербанк включён в Программу создания акционерной стоимости, его акции вошли в Индекс МосБиржи создания стоимости</w:t>
      </w:r>
    </w:p>
    <w:p>
      <w:pPr>
        <w:spacing w:after="120" w:lineRule="auto" w:line="276"/>
      </w:pPr>
      <w:r>
        <w:rPr>
          <w:rFonts w:ascii="Times New Roman" w:hAnsi="Times New Roman" w:eastAsia="Times New Roman"/>
          <w:b w:val="0"/>
          <w:i w:val="0"/>
          <w:color w:val="565656"/>
          <w:sz w:val="24"/>
        </w:rPr>
        <w:t xml:space="preserve">02.07.2026 · Источник: </w:t>
      </w:r>
      <w:hyperlink r:id="rId34">
        <w:r>
          <w:rPr>
            <w:rFonts w:ascii="Times New Roman" w:hAnsi="Times New Roman"/>
            <w:sz w:val="24"/>
            <w:color w:val="0563C1"/>
            <w:u w:val="single"/>
          </w:rPr>
          <w:t>АКМ.РУ</w:t>
        </w:r>
      </w:hyperlink>
    </w:p>
    <w:p>
      <w:pPr>
        <w:spacing w:after="120" w:lineRule="auto" w:line="276"/>
      </w:pPr>
      <w:r>
        <w:rPr>
          <w:rFonts w:ascii="Times New Roman" w:hAnsi="Times New Roman" w:eastAsia="Times New Roman"/>
          <w:b w:val="0"/>
          <w:i w:val="0"/>
          <w:color w:val="565656"/>
          <w:sz w:val="24"/>
        </w:rPr>
        <w:t>Комитет программы ЦБ и Московской биржи включил Сбербанк в Программу создания акционерной стоимости; с 3 июля его акции вошли в базу расчёта Индекса МосБиржи создания стоимости (с 30 июля — и акции Яндекса). Программа ориентирована на публичные АО с высокими стандартами КУ: дивидендная политика по рекомендациям ЦБ, кредитный рейтинг и информационная прозрачность.</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ЕС принял 21-й пакет санкций: под ограничения впервые попала Московская биржа</w:t>
      </w:r>
    </w:p>
    <w:p>
      <w:pPr>
        <w:spacing w:after="120" w:lineRule="auto" w:line="276"/>
      </w:pPr>
      <w:r>
        <w:rPr>
          <w:rFonts w:ascii="Times New Roman" w:hAnsi="Times New Roman" w:eastAsia="Times New Roman"/>
          <w:b w:val="0"/>
          <w:i w:val="0"/>
          <w:color w:val="565656"/>
          <w:sz w:val="24"/>
        </w:rPr>
        <w:t xml:space="preserve">23.07.2026 · Источник: </w:t>
      </w:r>
      <w:hyperlink r:id="rId35">
        <w:r>
          <w:rPr>
            <w:rFonts w:ascii="Times New Roman" w:hAnsi="Times New Roman"/>
            <w:sz w:val="24"/>
            <w:color w:val="0563C1"/>
            <w:u w:val="single"/>
          </w:rPr>
          <w:t>Интерфакс</w:t>
        </w:r>
      </w:hyperlink>
    </w:p>
    <w:p>
      <w:pPr>
        <w:spacing w:after="120" w:lineRule="auto" w:line="276"/>
      </w:pPr>
      <w:r>
        <w:rPr>
          <w:rFonts w:ascii="Times New Roman" w:hAnsi="Times New Roman" w:eastAsia="Times New Roman"/>
          <w:b w:val="0"/>
          <w:i w:val="0"/>
          <w:color w:val="565656"/>
          <w:sz w:val="24"/>
        </w:rPr>
        <w:t>Совет ЕС утвердил 21-й пакет санкций (218 субъектов) — крупнейшее разовое расширение списка за четыре года, включая впервые Московскую биржу, а также Россельхозбанк, банк «Санкт-Петербург», МТС-банк и десятки других банков; с 13 августа запрет транзакций распространяется ещё на 33 кредитные организации. Введены персональные санкции против зампреда ЦБ, приостановлен автоматический рост нефтяного ценового потолка.</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Новый мажоритарий ЮГК направил обязательную оферту миноритариям</w:t>
      </w:r>
    </w:p>
    <w:p>
      <w:pPr>
        <w:spacing w:after="120" w:lineRule="auto" w:line="276"/>
      </w:pPr>
      <w:r>
        <w:rPr>
          <w:rFonts w:ascii="Times New Roman" w:hAnsi="Times New Roman" w:eastAsia="Times New Roman"/>
          <w:b w:val="0"/>
          <w:i w:val="0"/>
          <w:color w:val="565656"/>
          <w:sz w:val="24"/>
        </w:rPr>
        <w:t xml:space="preserve">30.07.2026 · Источник: </w:t>
      </w:r>
      <w:hyperlink r:id="rId36">
        <w:r>
          <w:rPr>
            <w:rFonts w:ascii="Times New Roman" w:hAnsi="Times New Roman"/>
            <w:sz w:val="24"/>
            <w:color w:val="0563C1"/>
            <w:u w:val="single"/>
          </w:rPr>
          <w:t>Forbes</w:t>
        </w:r>
      </w:hyperlink>
      <w:r>
        <w:rPr>
          <w:rFonts w:ascii="Times New Roman" w:hAnsi="Times New Roman" w:eastAsia="Times New Roman"/>
          <w:b w:val="0"/>
          <w:i w:val="0"/>
          <w:color w:val="565656"/>
          <w:sz w:val="24"/>
        </w:rPr>
        <w:t xml:space="preserve">, </w:t>
      </w:r>
      <w:hyperlink r:id="rId37">
        <w:r>
          <w:rPr>
            <w:rFonts w:ascii="Times New Roman" w:hAnsi="Times New Roman"/>
            <w:sz w:val="24"/>
            <w:color w:val="0563C1"/>
            <w:u w:val="single"/>
          </w:rPr>
          <w:t>Finversia</w:t>
        </w:r>
      </w:hyperlink>
    </w:p>
    <w:p>
      <w:pPr>
        <w:spacing w:after="120" w:lineRule="auto" w:line="276"/>
      </w:pPr>
      <w:r>
        <w:rPr>
          <w:rFonts w:ascii="Times New Roman" w:hAnsi="Times New Roman" w:eastAsia="Times New Roman"/>
          <w:b w:val="0"/>
          <w:i w:val="0"/>
          <w:color w:val="565656"/>
          <w:sz w:val="24"/>
        </w:rPr>
        <w:t>«БТС-Мост Холдинг», купивший 19 июня 67,2% акций ЮГК на аукционе, направил в ЦБ обязательную оферту о выкупе бумаг у миноритариев. В августе раскрыта цена — 0,7425 рубля за акцию, срок принятия предложений — 70 дней; компания переименована в «БТС-Золото». Ситуация стала первым применением нового баланса правил ст. 84.2 закона об АО: государство от оферты освобождено (278-ФЗ), а новый частный приобретатель исполнил обязанность в полном объёме; открыт вопрос участия Газпромбанка (около 22% акций).</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Мосбиржа и ЦБ разъяснили порядок предложения паёв ЗПИФ для квалифицированных инвесторов</w:t>
      </w:r>
    </w:p>
    <w:p>
      <w:pPr>
        <w:spacing w:after="120" w:lineRule="auto" w:line="276"/>
      </w:pPr>
      <w:r>
        <w:rPr>
          <w:rFonts w:ascii="Times New Roman" w:hAnsi="Times New Roman" w:eastAsia="Times New Roman"/>
          <w:b w:val="0"/>
          <w:i w:val="0"/>
          <w:color w:val="565656"/>
          <w:sz w:val="24"/>
        </w:rPr>
        <w:t xml:space="preserve">07.09.2026 · Источник: </w:t>
      </w:r>
      <w:hyperlink r:id="rId38">
        <w:r>
          <w:rPr>
            <w:rFonts w:ascii="Times New Roman" w:hAnsi="Times New Roman"/>
            <w:sz w:val="24"/>
            <w:color w:val="0563C1"/>
            <w:u w:val="single"/>
          </w:rPr>
          <w:t>Гарант — письмо № ИН-011-54/31</w:t>
        </w:r>
      </w:hyperlink>
    </w:p>
    <w:p>
      <w:pPr>
        <w:spacing w:after="120" w:lineRule="auto" w:line="276"/>
      </w:pPr>
      <w:r>
        <w:rPr>
          <w:rFonts w:ascii="Times New Roman" w:hAnsi="Times New Roman" w:eastAsia="Times New Roman"/>
          <w:b w:val="0"/>
          <w:i w:val="0"/>
          <w:color w:val="565656"/>
          <w:sz w:val="24"/>
        </w:rPr>
        <w:t>Информационным письмом от 07.09.2026 № ИН-011-54/31 ЦБ разъяснил, что обращение паёв закрытых ПИФ для квалифицированных инвесторов, ограниченных в обороте, допускается только на торговой платформе в рамках организованных торгов. Заявка не считается предложением паёв неограниченному кругу лиц, если она адресована ограниченному кругу лиц или конкретному покупателю и это подтверждено; иначе возможна квалификация как публичное предложение со всеми последствиями законодательства о ценных бумагах. Разъяснение важно для УК ЗПИФ и профессиональных участников.</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Совет директоров ПИК одобрил делистинг: торги остановят с 20 октября</w:t>
      </w:r>
    </w:p>
    <w:p>
      <w:pPr>
        <w:spacing w:after="120" w:lineRule="auto" w:line="276"/>
      </w:pPr>
      <w:r>
        <w:rPr>
          <w:rFonts w:ascii="Times New Roman" w:hAnsi="Times New Roman" w:eastAsia="Times New Roman"/>
          <w:b w:val="0"/>
          <w:i w:val="0"/>
          <w:color w:val="565656"/>
          <w:sz w:val="24"/>
        </w:rPr>
        <w:t xml:space="preserve">07.09.2026 · Источник: </w:t>
      </w:r>
      <w:hyperlink r:id="rId39">
        <w:r>
          <w:rPr>
            <w:rFonts w:ascii="Times New Roman" w:hAnsi="Times New Roman"/>
            <w:sz w:val="24"/>
            <w:color w:val="0563C1"/>
            <w:u w:val="single"/>
          </w:rPr>
          <w:t>Ведомости</w:t>
        </w:r>
      </w:hyperlink>
      <w:r>
        <w:rPr>
          <w:rFonts w:ascii="Times New Roman" w:hAnsi="Times New Roman" w:eastAsia="Times New Roman"/>
          <w:b w:val="0"/>
          <w:i w:val="0"/>
          <w:color w:val="565656"/>
          <w:sz w:val="24"/>
        </w:rPr>
        <w:t xml:space="preserve">, </w:t>
      </w:r>
      <w:hyperlink r:id="rId40">
        <w:r>
          <w:rPr>
            <w:rFonts w:ascii="Times New Roman" w:hAnsi="Times New Roman"/>
            <w:sz w:val="24"/>
            <w:color w:val="0563C1"/>
            <w:u w:val="single"/>
          </w:rPr>
          <w:t>Коммерсантъ</w:t>
        </w:r>
      </w:hyperlink>
    </w:p>
    <w:p>
      <w:pPr>
        <w:spacing w:after="120" w:lineRule="auto" w:line="276"/>
      </w:pPr>
      <w:r>
        <w:rPr>
          <w:rFonts w:ascii="Times New Roman" w:hAnsi="Times New Roman" w:eastAsia="Times New Roman"/>
          <w:b w:val="0"/>
          <w:i w:val="0"/>
          <w:color w:val="565656"/>
          <w:sz w:val="24"/>
        </w:rPr>
        <w:t>Совет директоров ПАО «ПИК-специализированный застройщик» единогласно одобрил вынесение на внеочередное собрание (13 октября) вопросов о делистинге акций с Мосбиржи и СПБ-Биржи, прекращении публичного статуса и обращении в ЦБ за освобождением от раскрытия информации. Цена выкупа по требованию мажоритария АО «Недвижимые активы» (98% акций) — 551,40 рубля за акцию, для несогласных — 537,90 рубля; торги в основном режиме прекратятся с 20 октября. Кейс — знаковый пример принудительного выкупа по ст. 84.8 закона об АО и ухода крупного эмитента из публичного поля; часть миноритариев допускает оспаривание цены.</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США приняли закон об «адских санкциях»: пошлины до 500% на российские товары и санкции против госбанков</w:t>
      </w:r>
    </w:p>
    <w:p>
      <w:pPr>
        <w:spacing w:after="120" w:lineRule="auto" w:line="276"/>
      </w:pPr>
      <w:r>
        <w:rPr>
          <w:rFonts w:ascii="Times New Roman" w:hAnsi="Times New Roman" w:eastAsia="Times New Roman"/>
          <w:b w:val="0"/>
          <w:i w:val="0"/>
          <w:color w:val="565656"/>
          <w:sz w:val="24"/>
        </w:rPr>
        <w:t xml:space="preserve">18.09.2026 · Источник: </w:t>
      </w:r>
      <w:hyperlink r:id="rId41">
        <w:r>
          <w:rPr>
            <w:rFonts w:ascii="Times New Roman" w:hAnsi="Times New Roman"/>
            <w:sz w:val="24"/>
            <w:color w:val="0563C1"/>
            <w:u w:val="single"/>
          </w:rPr>
          <w:t>Коммерсантъ</w:t>
        </w:r>
      </w:hyperlink>
    </w:p>
    <w:p>
      <w:pPr>
        <w:spacing w:after="120" w:lineRule="auto" w:line="276"/>
      </w:pPr>
      <w:r>
        <w:rPr>
          <w:rFonts w:ascii="Times New Roman" w:hAnsi="Times New Roman" w:eastAsia="Times New Roman"/>
          <w:b w:val="0"/>
          <w:i w:val="0"/>
          <w:color w:val="565656"/>
          <w:sz w:val="24"/>
        </w:rPr>
        <w:t>Президент США 18 сентября 2026 года подписал закон H.R. 5334 («Sanctioning Russia and Iran Act of 2026»), ранее одобренный Палатой представителей и Сенатом. Закон наделяет администрацию полномочиями вводить санкции против российского руководства и госкомпаний, предусматривает пошлины до 100% на товары стран — крупнейших покупателей российской нефти и до 500% на российские товары, а также санкции против ЦБ, Сбербанка, ВТБ, Газпромбанка и «теневого флота». Решение о применении должно быть принято в течение 30 дней; для российских компаний это самый масштабный санкционный сдвиг года.</w:t>
      </w:r>
    </w:p>
    <w:p>
      <w:pPr>
        <w:spacing w:after="160" w:lineRule="auto" w:line="276" w:before="320"/>
        <w:pBdr>
          <w:bottom w:val="single" w:sz="12" w:space="4" w:color="FF6D22"/>
        </w:pBdr>
      </w:pPr>
      <w:r>
        <w:rPr>
          <w:rFonts w:ascii="Arial" w:hAnsi="Arial" w:eastAsia="Arial"/>
          <w:b/>
          <w:i w:val="0"/>
          <w:color w:val="565A5C"/>
          <w:sz w:val="28"/>
        </w:rPr>
        <w:t>5. Раскрытие информации</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ЦБ разъяснил правила аудита «отчётности с изъятиями»</w:t>
      </w:r>
    </w:p>
    <w:p>
      <w:pPr>
        <w:spacing w:after="120" w:lineRule="auto" w:line="276"/>
      </w:pPr>
      <w:r>
        <w:rPr>
          <w:rFonts w:ascii="Times New Roman" w:hAnsi="Times New Roman" w:eastAsia="Times New Roman"/>
          <w:b w:val="0"/>
          <w:i w:val="0"/>
          <w:color w:val="565656"/>
          <w:sz w:val="24"/>
        </w:rPr>
        <w:t xml:space="preserve">27.07.2026 · Источник: </w:t>
      </w:r>
      <w:hyperlink r:id="rId42">
        <w:r>
          <w:rPr>
            <w:rFonts w:ascii="Times New Roman" w:hAnsi="Times New Roman"/>
            <w:sz w:val="24"/>
            <w:color w:val="0563C1"/>
            <w:u w:val="single"/>
          </w:rPr>
          <w:t>КонсультантПлюс — письмо № ИН-018-28/26</w:t>
        </w:r>
      </w:hyperlink>
    </w:p>
    <w:p>
      <w:pPr>
        <w:spacing w:after="120" w:lineRule="auto" w:line="276"/>
      </w:pPr>
      <w:r>
        <w:rPr>
          <w:rFonts w:ascii="Times New Roman" w:hAnsi="Times New Roman" w:eastAsia="Times New Roman"/>
          <w:b w:val="0"/>
          <w:i w:val="0"/>
          <w:color w:val="565656"/>
          <w:sz w:val="24"/>
        </w:rPr>
        <w:t>Информационным письмом № ИН-018-28/26 ЦБ разъяснил порядок раскрытия отчётности в ограниченном составе и объёме («отчётность с изъятиями»), применяемой для снижения эффекта санкций недружественных лиц. К такой отчётности нельзя прикладывать аудиторское заключение, составленное для полной отчётности, — нужно заключение именно в отношении отчётности с изъятиями (по 307-ФЗ и МСА 700). При публикации новой версии отчётности с изменённым объёмом изъятий требуется новое аудиторское заключение.</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Мосбиржа и ЦБ делают маркировку бумаг с ограниченным раскрытием заметнее для инвесторов</w:t>
      </w:r>
    </w:p>
    <w:p>
      <w:pPr>
        <w:spacing w:after="120" w:lineRule="auto" w:line="276"/>
      </w:pPr>
      <w:r>
        <w:rPr>
          <w:rFonts w:ascii="Times New Roman" w:hAnsi="Times New Roman" w:eastAsia="Times New Roman"/>
          <w:b w:val="0"/>
          <w:i w:val="0"/>
          <w:color w:val="565656"/>
          <w:sz w:val="24"/>
        </w:rPr>
        <w:t xml:space="preserve">09.07.2026 · Источник: </w:t>
      </w:r>
      <w:hyperlink r:id="rId43">
        <w:r>
          <w:rPr>
            <w:rFonts w:ascii="Times New Roman" w:hAnsi="Times New Roman"/>
            <w:sz w:val="24"/>
            <w:color w:val="0563C1"/>
            <w:u w:val="single"/>
          </w:rPr>
          <w:t>InvestFuture</w:t>
        </w:r>
      </w:hyperlink>
    </w:p>
    <w:p>
      <w:pPr>
        <w:spacing w:after="120" w:lineRule="auto" w:line="276"/>
      </w:pPr>
      <w:r>
        <w:rPr>
          <w:rFonts w:ascii="Times New Roman" w:hAnsi="Times New Roman" w:eastAsia="Times New Roman"/>
          <w:b w:val="0"/>
          <w:i w:val="0"/>
          <w:color w:val="565656"/>
          <w:sz w:val="24"/>
        </w:rPr>
        <w:t>Московская биржа обсуждает с ЦБ, как сделать заметнее маркировку ценных бумаг эмитентов, ограничивающих раскрытие информации (действует с 1 апреля 2026 года). Планируется улучшить визуальную подачу данных на сайте биржи и рассмотреть отображение маркировки в брокерских приложениях. Маркировка влияет на восприятие бумаг компаний, скрывающих информацию в санкционных целях.</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ЦБ централизует рассмотрение вопросов раскрытия и корпоративных процедур с 1 сентября</w:t>
      </w:r>
    </w:p>
    <w:p>
      <w:pPr>
        <w:spacing w:after="120" w:lineRule="auto" w:line="276"/>
      </w:pPr>
      <w:r>
        <w:rPr>
          <w:rFonts w:ascii="Times New Roman" w:hAnsi="Times New Roman" w:eastAsia="Times New Roman"/>
          <w:b w:val="0"/>
          <w:i w:val="0"/>
          <w:color w:val="565656"/>
          <w:sz w:val="24"/>
        </w:rPr>
        <w:t xml:space="preserve">24.08.2026 · Источник: </w:t>
      </w:r>
      <w:hyperlink r:id="rId44">
        <w:r>
          <w:rPr>
            <w:rFonts w:ascii="Times New Roman" w:hAnsi="Times New Roman"/>
            <w:sz w:val="24"/>
            <w:color w:val="0563C1"/>
            <w:u w:val="single"/>
          </w:rPr>
          <w:t>КонсультантПлюс — приказ № ОД-1475</w:t>
        </w:r>
      </w:hyperlink>
    </w:p>
    <w:p>
      <w:pPr>
        <w:spacing w:after="120" w:lineRule="auto" w:line="276"/>
      </w:pPr>
      <w:r>
        <w:rPr>
          <w:rFonts w:ascii="Times New Roman" w:hAnsi="Times New Roman" w:eastAsia="Times New Roman"/>
          <w:b w:val="0"/>
          <w:i w:val="0"/>
          <w:color w:val="565656"/>
          <w:sz w:val="24"/>
        </w:rPr>
        <w:t>Приказом ЦБ № ОД-1475 от 24.08.2026 функции территориальных учреждений с 1 сентября переданы Департаменту корпоративных отношений. Это охватывает заявления АО об освобождении от обязанности раскрывать информацию, уведомления о нераскрываемой информации, запросы о признаках публичного/непубличного статуса, а также добровольные и обязательные предложения о приобретении акций (ст. 32, 84.2 закона «Об АО») и требования о выкупе (ст. 84.7, 84.8). Документы, поданные до 31 августа включительно, рассматриваются по прежнему порядку.</w:t>
      </w:r>
    </w:p>
    <w:p>
      <w:pPr>
        <w:spacing w:after="160" w:lineRule="auto" w:line="276" w:before="320"/>
        <w:pBdr>
          <w:bottom w:val="single" w:sz="12" w:space="4" w:color="FF6D22"/>
        </w:pBdr>
      </w:pPr>
      <w:r>
        <w:rPr>
          <w:rFonts w:ascii="Arial" w:hAnsi="Arial" w:eastAsia="Arial"/>
          <w:b/>
          <w:i w:val="0"/>
          <w:color w:val="565A5C"/>
          <w:sz w:val="28"/>
        </w:rPr>
        <w:t>6. Правоприменительная практика (судебная практика)</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Президиум ВС РФ утвердил Обзор судебной практики № 2 за 2026 год с корпоративными позициями</w:t>
      </w:r>
    </w:p>
    <w:p>
      <w:pPr>
        <w:spacing w:after="120" w:lineRule="auto" w:line="276"/>
      </w:pPr>
      <w:r>
        <w:rPr>
          <w:rFonts w:ascii="Times New Roman" w:hAnsi="Times New Roman" w:eastAsia="Times New Roman"/>
          <w:b w:val="0"/>
          <w:i w:val="0"/>
          <w:color w:val="565656"/>
          <w:sz w:val="24"/>
        </w:rPr>
        <w:t xml:space="preserve">08.07.2026 · Источник: </w:t>
      </w:r>
      <w:hyperlink r:id="rId45">
        <w:r>
          <w:rPr>
            <w:rFonts w:ascii="Times New Roman" w:hAnsi="Times New Roman"/>
            <w:sz w:val="24"/>
            <w:color w:val="0563C1"/>
            <w:u w:val="single"/>
          </w:rPr>
          <w:t>Deloprava.ru</w:t>
        </w:r>
      </w:hyperlink>
    </w:p>
    <w:p>
      <w:pPr>
        <w:spacing w:after="120" w:lineRule="auto" w:line="276"/>
      </w:pPr>
      <w:r>
        <w:rPr>
          <w:rFonts w:ascii="Times New Roman" w:hAnsi="Times New Roman" w:eastAsia="Times New Roman"/>
          <w:b w:val="0"/>
          <w:i w:val="0"/>
          <w:color w:val="565656"/>
          <w:sz w:val="24"/>
        </w:rPr>
        <w:t>Обзор практики ВС РФ (утверждён Президиумом 01.07.2026), обязательный для нижестоящих судов, затрагивает корпоративную проблематику. Споры об отчуждении акций и долей, являющихся совместной собственностью супругов, могут рассматриваться как семейные, если цель иска — вернуть имущество в общую супружескую массу для раздела. Специальный режим оборота долей в праве на сельхозземли сохраняется и при банкротстве собственника.</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ВС РФ защитил миноритария от «размывания доли» через допэмиссию по номиналу</w:t>
      </w:r>
    </w:p>
    <w:p>
      <w:pPr>
        <w:spacing w:after="120" w:lineRule="auto" w:line="276"/>
      </w:pPr>
      <w:r>
        <w:rPr>
          <w:rFonts w:ascii="Times New Roman" w:hAnsi="Times New Roman" w:eastAsia="Times New Roman"/>
          <w:b w:val="0"/>
          <w:i w:val="0"/>
          <w:color w:val="565656"/>
          <w:sz w:val="24"/>
        </w:rPr>
        <w:t xml:space="preserve">20.07.2026 · Источник: </w:t>
      </w:r>
      <w:hyperlink r:id="rId46">
        <w:r>
          <w:rPr>
            <w:rFonts w:ascii="Times New Roman" w:hAnsi="Times New Roman"/>
            <w:sz w:val="24"/>
            <w:color w:val="0563C1"/>
            <w:u w:val="single"/>
          </w:rPr>
          <w:t>Коллегия адвокатов «Регионсервис»</w:t>
        </w:r>
      </w:hyperlink>
    </w:p>
    <w:p>
      <w:pPr>
        <w:spacing w:after="120" w:lineRule="auto" w:line="276"/>
      </w:pPr>
      <w:r>
        <w:rPr>
          <w:rFonts w:ascii="Times New Roman" w:hAnsi="Times New Roman" w:eastAsia="Times New Roman"/>
          <w:b w:val="0"/>
          <w:i w:val="0"/>
          <w:color w:val="565656"/>
          <w:sz w:val="24"/>
        </w:rPr>
        <w:t>Акционер с долей 25,14% оспорил допэмиссию 100 млн акций по закрытой подписке по цене 1 рубль при рыночной стоимости 84 рубля, в результате чего его доля «размылась» до 5,36%. ВС РФ (определение СКЭС от 03.06.2026 № 301-ЭС26-1201, дело № А17-75/2023) признал эмиссию недействительной: формально законная процедура не спасает решение, принятое без реальной экономической необходимости и с целью перераспределения контроля, а цена без оценки по ст. 77 закона об АО — злоупотребление. Докапитализация как инструмент консолидации контроля теперь требует подтверждённой целесообразности и независимой оценки цены.</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Кассация взыскала с экс-директора 159 млн рублей убытков по недействительной сделке</w:t>
      </w:r>
    </w:p>
    <w:p>
      <w:pPr>
        <w:spacing w:after="120" w:lineRule="auto" w:line="276"/>
      </w:pPr>
      <w:r>
        <w:rPr>
          <w:rFonts w:ascii="Times New Roman" w:hAnsi="Times New Roman" w:eastAsia="Times New Roman"/>
          <w:b w:val="0"/>
          <w:i w:val="0"/>
          <w:color w:val="565656"/>
          <w:sz w:val="24"/>
        </w:rPr>
        <w:t xml:space="preserve">07.07.2026 · Источник: </w:t>
      </w:r>
      <w:hyperlink r:id="rId47">
        <w:r>
          <w:rPr>
            <w:rFonts w:ascii="Times New Roman" w:hAnsi="Times New Roman"/>
            <w:sz w:val="24"/>
            <w:color w:val="0563C1"/>
            <w:u w:val="single"/>
          </w:rPr>
          <w:t>Время бухгалтера</w:t>
        </w:r>
      </w:hyperlink>
    </w:p>
    <w:p>
      <w:pPr>
        <w:spacing w:after="120" w:lineRule="auto" w:line="276"/>
      </w:pPr>
      <w:r>
        <w:rPr>
          <w:rFonts w:ascii="Times New Roman" w:hAnsi="Times New Roman" w:eastAsia="Times New Roman"/>
          <w:b w:val="0"/>
          <w:i w:val="0"/>
          <w:color w:val="565656"/>
          <w:sz w:val="24"/>
        </w:rPr>
        <w:t>Бывший гендиректор заключил договор поставки на 359 млн рублей с «техническим» контрагентом в обход закупочных регламентов; 159 млн рублей были оплачены, сделку признали недействительной. Кассация (постановление АС Московского округа от 05.06.2026) взыскала всю оплаченную сумму с директора: после решения о недействительности сделки факт ущерба и недобросовестность имеют преюдициальное значение, а делегирование контрольных функций подчинённым не освобождает руководителя от ответственности.</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ВС РФ: отчуждение ключевого актива в пользу сына директора — сделка с заинтересованностью</w:t>
      </w:r>
    </w:p>
    <w:p>
      <w:pPr>
        <w:spacing w:after="120" w:lineRule="auto" w:line="276"/>
      </w:pPr>
      <w:r>
        <w:rPr>
          <w:rFonts w:ascii="Times New Roman" w:hAnsi="Times New Roman" w:eastAsia="Times New Roman"/>
          <w:b w:val="0"/>
          <w:i w:val="0"/>
          <w:color w:val="565656"/>
          <w:sz w:val="24"/>
        </w:rPr>
        <w:t xml:space="preserve">23.07.2026 · Источник: </w:t>
      </w:r>
      <w:hyperlink r:id="rId48">
        <w:r>
          <w:rPr>
            <w:rFonts w:ascii="Times New Roman" w:hAnsi="Times New Roman"/>
            <w:sz w:val="24"/>
            <w:color w:val="0563C1"/>
            <w:u w:val="single"/>
          </w:rPr>
          <w:t>Legal Bulletin</w:t>
        </w:r>
      </w:hyperlink>
    </w:p>
    <w:p>
      <w:pPr>
        <w:spacing w:after="120" w:lineRule="auto" w:line="276"/>
      </w:pPr>
      <w:r>
        <w:rPr>
          <w:rFonts w:ascii="Times New Roman" w:hAnsi="Times New Roman" w:eastAsia="Times New Roman"/>
          <w:b w:val="0"/>
          <w:i w:val="0"/>
          <w:color w:val="565656"/>
          <w:sz w:val="24"/>
        </w:rPr>
        <w:t>Директор, полномочия которого прекратились, но ещё не были отражены в ЕГРЮЛ, передал в счёт выплаты стоимости доли вышедшему участнику 24% в единственном доходном объекте недвижимости общества; цессионарием оказался его сын. ВС РФ (определение от 05.05.2026 № 305-ЭС25-14138) отменил акты трёх инстанций: при квалификации сделки с заинтересованностью нужно исходить из реального субъектного состава и того, в чью пользу идёт предоставление, а не из формальных данных ЕГРЮЛ. Сделки с ключевыми активами общества проверяются на разумную необходимость.</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ВС РФ оставил в силе взыскание 674,8 млн рублей субсидиарной ответственности с контролирующих лиц банкрота</w:t>
      </w:r>
    </w:p>
    <w:p>
      <w:pPr>
        <w:spacing w:after="120" w:lineRule="auto" w:line="276"/>
      </w:pPr>
      <w:r>
        <w:rPr>
          <w:rFonts w:ascii="Times New Roman" w:hAnsi="Times New Roman" w:eastAsia="Times New Roman"/>
          <w:b w:val="0"/>
          <w:i w:val="0"/>
          <w:color w:val="565656"/>
          <w:sz w:val="24"/>
        </w:rPr>
        <w:t xml:space="preserve">12.08.2026 · Источник: </w:t>
      </w:r>
      <w:hyperlink r:id="rId49">
        <w:r>
          <w:rPr>
            <w:rFonts w:ascii="Times New Roman" w:hAnsi="Times New Roman"/>
            <w:sz w:val="24"/>
            <w:color w:val="0563C1"/>
            <w:u w:val="single"/>
          </w:rPr>
          <w:t>СудАкт.ру</w:t>
        </w:r>
      </w:hyperlink>
    </w:p>
    <w:p>
      <w:pPr>
        <w:spacing w:after="120" w:lineRule="auto" w:line="276"/>
      </w:pPr>
      <w:r>
        <w:rPr>
          <w:rFonts w:ascii="Times New Roman" w:hAnsi="Times New Roman" w:eastAsia="Times New Roman"/>
          <w:b w:val="0"/>
          <w:i w:val="0"/>
          <w:color w:val="565656"/>
          <w:sz w:val="24"/>
        </w:rPr>
        <w:t>В банкротстве ООО «СМС-Девелопмент» пятерых контролирующих лиц привлекли к субсидиарной ответственности на 674,8 млн рублей за сокрытие запасов должника, невзыскание дебиторской задолженности и непередачу имущества конкурсному управляющему. Судья ВС РФ отказал в передаче жалобы в СКЭС (дело № А32-37286/2019, № 308-ЭС24-3505(3)), подтвердив стандарт доказывания по гл. III.2 закона о банкротстве. Бездействие менеджмента, приведшее к «опустошению» должника, влечёт личную ответственность бенефициаров и руководителей.</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ВС РФ утвердил Концепцию внедрения технологий искусственного интеллекта в судопроизводство</w:t>
      </w:r>
    </w:p>
    <w:p>
      <w:pPr>
        <w:spacing w:after="120" w:lineRule="auto" w:line="276"/>
      </w:pPr>
      <w:r>
        <w:rPr>
          <w:rFonts w:ascii="Times New Roman" w:hAnsi="Times New Roman" w:eastAsia="Times New Roman"/>
          <w:b w:val="0"/>
          <w:i w:val="0"/>
          <w:color w:val="565656"/>
          <w:sz w:val="24"/>
        </w:rPr>
        <w:t xml:space="preserve">03.09.2026 · Источник: </w:t>
      </w:r>
      <w:hyperlink r:id="rId50">
        <w:r>
          <w:rPr>
            <w:rFonts w:ascii="Times New Roman" w:hAnsi="Times New Roman"/>
            <w:sz w:val="24"/>
            <w:color w:val="0563C1"/>
            <w:u w:val="single"/>
          </w:rPr>
          <w:t>Верховный Суд РФ — приказ № 59-П</w:t>
        </w:r>
      </w:hyperlink>
    </w:p>
    <w:p>
      <w:pPr>
        <w:spacing w:after="120" w:lineRule="auto" w:line="276"/>
      </w:pPr>
      <w:r>
        <w:rPr>
          <w:rFonts w:ascii="Times New Roman" w:hAnsi="Times New Roman" w:eastAsia="Times New Roman"/>
          <w:b w:val="0"/>
          <w:i w:val="0"/>
          <w:color w:val="565656"/>
          <w:sz w:val="24"/>
        </w:rPr>
        <w:t>Приказом Председателя ВС РФ от 03.09.2026 № 59-П утверждена Концепция внедрения технологий ИИ в судопроизводство: ИИ признаётся лишь вспомогательным инструментом судьи, окончательное решение всегда остаётся за человеком. Концепция охватывает весь жизненный цикл дела — от интеллектуальной подачи документов и классификации дел до протоколирования заседаний, поиска практики, предупреждения об отклонении проекта решения от практики ВС РФ и генерации проектов судебных актов; создан Центр судебных компетенций в сфере ИИ. Целевые показатели к 2030 году: более 95% судей будут постоянно пользоваться ИИ-сервисами, сроки типовых дел сократятся на 20–30%, доля генерируемых с ИИ проектов процессуальных документов — 30–50%. В матрице рисков — галлюцинации моделей, утечка данных (запрет публичных ИИ-сервисов и передач в публичные облака), снижение самостоятельности судьи и подача участниками процесса сгенерированных ИИ материалов с недостоверными ссылками (обязательное декларирование использования ИИ). Для компаний это означает изменение процессуальной среды: подача документов, ожидания по качеству материалов и проверка ссылок на НПА будут проходить в новых условиях.</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ВС РФ подтвердил недействительность выхода АО из ООО, совершённого в ущерб обществу без одобрения</w:t>
      </w:r>
    </w:p>
    <w:p>
      <w:pPr>
        <w:spacing w:after="120" w:lineRule="auto" w:line="276"/>
      </w:pPr>
      <w:r>
        <w:rPr>
          <w:rFonts w:ascii="Times New Roman" w:hAnsi="Times New Roman" w:eastAsia="Times New Roman"/>
          <w:b w:val="0"/>
          <w:i w:val="0"/>
          <w:color w:val="565656"/>
          <w:sz w:val="24"/>
        </w:rPr>
        <w:t xml:space="preserve">14.09.2026 · Источник: </w:t>
      </w:r>
      <w:hyperlink r:id="rId51">
        <w:r>
          <w:rPr>
            <w:rFonts w:ascii="Times New Roman" w:hAnsi="Times New Roman"/>
            <w:sz w:val="24"/>
            <w:color w:val="0563C1"/>
            <w:u w:val="single"/>
          </w:rPr>
          <w:t>СудАкт.ру — определение по делу № А60-33318/2024</w:t>
        </w:r>
      </w:hyperlink>
    </w:p>
    <w:p>
      <w:pPr>
        <w:spacing w:after="120" w:lineRule="auto" w:line="276"/>
      </w:pPr>
      <w:r>
        <w:rPr>
          <w:rFonts w:ascii="Times New Roman" w:hAnsi="Times New Roman" w:eastAsia="Times New Roman"/>
          <w:b w:val="0"/>
          <w:i w:val="0"/>
          <w:color w:val="565656"/>
          <w:sz w:val="24"/>
        </w:rPr>
        <w:t>Судья ВС РФ отказал в передаче в СКЭС кассационной жалобы (определение от 14.09.2026, № 309-ЭС26-9060) по спору о сделке выхода АО «ИНЖЭК» из состава участников ООО «Прогресс». Три инстанции признали сделку недействительной: она совершена в ущерб интересам общества и его акционера без необходимого одобрения (ст. 81, 83 закона «Об АО», ст. 174, 181 ГК РФ), а общество восстановлено в правах участника в части 24% доли. Практика подтверждает действенный инструмент защиты корпоративного контроля через оспаривание сделок по выходу.</w:t>
      </w:r>
    </w:p>
    <w:p>
      <w:pPr>
        <w:spacing w:after="160" w:lineRule="auto" w:line="276" w:before="320"/>
        <w:pBdr>
          <w:bottom w:val="single" w:sz="12" w:space="4" w:color="FF6D22"/>
        </w:pBdr>
      </w:pPr>
      <w:r>
        <w:rPr>
          <w:rFonts w:ascii="Arial" w:hAnsi="Arial" w:eastAsia="Arial"/>
          <w:b/>
          <w:i w:val="0"/>
          <w:color w:val="565A5C"/>
          <w:sz w:val="28"/>
        </w:rPr>
        <w:t>7. Исследования</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РИД: «Современные тренды практики корпоративного управления: от раскрытия информации до внедрения ИИ»</w:t>
      </w:r>
    </w:p>
    <w:p>
      <w:pPr>
        <w:spacing w:after="120" w:lineRule="auto" w:line="276"/>
      </w:pPr>
      <w:r>
        <w:rPr>
          <w:rFonts w:ascii="Times New Roman" w:hAnsi="Times New Roman" w:eastAsia="Times New Roman"/>
          <w:b w:val="0"/>
          <w:i w:val="0"/>
          <w:color w:val="565656"/>
          <w:sz w:val="24"/>
        </w:rPr>
        <w:t xml:space="preserve">24.07.2026 · Источник: </w:t>
      </w:r>
      <w:hyperlink r:id="rId52">
        <w:r>
          <w:rPr>
            <w:rFonts w:ascii="Times New Roman" w:hAnsi="Times New Roman"/>
            <w:sz w:val="24"/>
            <w:color w:val="0563C1"/>
            <w:u w:val="single"/>
          </w:rPr>
          <w:t>РИД</w:t>
        </w:r>
      </w:hyperlink>
    </w:p>
    <w:p>
      <w:pPr>
        <w:spacing w:after="120" w:lineRule="auto" w:line="276"/>
      </w:pPr>
      <w:r>
        <w:rPr>
          <w:rFonts w:ascii="Times New Roman" w:hAnsi="Times New Roman" w:eastAsia="Times New Roman"/>
          <w:b w:val="0"/>
          <w:i w:val="0"/>
          <w:color w:val="565656"/>
          <w:sz w:val="24"/>
        </w:rPr>
        <w:t>Российский институт директоров опубликовал очередной выпуск ежегодного исследования практик КУ (проводятся с 2004 года) при участии Школы финансов НИУ ВШЭ со стратегическим партнёром Сбером. Работа объединяет результаты опроса компаний и разбор практик-ориентиров рынка по раскрытию информации и управлению устойчивым развитием. Отдельный раздел посвящён ИИ в корпоративном управлении, в том числе в работе советов директоров.</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Spencer Stuart: лучшие практики оценки советов директоров</w:t>
      </w:r>
    </w:p>
    <w:p>
      <w:pPr>
        <w:spacing w:after="120" w:lineRule="auto" w:line="276"/>
      </w:pPr>
      <w:r>
        <w:rPr>
          <w:rFonts w:ascii="Times New Roman" w:hAnsi="Times New Roman" w:eastAsia="Times New Roman"/>
          <w:b w:val="0"/>
          <w:i w:val="0"/>
          <w:color w:val="565656"/>
          <w:sz w:val="24"/>
        </w:rPr>
        <w:t xml:space="preserve">июль 2026 · Источник: </w:t>
      </w:r>
      <w:hyperlink r:id="rId53">
        <w:r>
          <w:rPr>
            <w:rFonts w:ascii="Times New Roman" w:hAnsi="Times New Roman"/>
            <w:sz w:val="24"/>
            <w:color w:val="0563C1"/>
            <w:u w:val="single"/>
          </w:rPr>
          <w:t>Spencer Stuart</w:t>
        </w:r>
      </w:hyperlink>
    </w:p>
    <w:p>
      <w:pPr>
        <w:spacing w:after="120" w:lineRule="auto" w:line="276"/>
      </w:pPr>
      <w:r>
        <w:rPr>
          <w:rFonts w:ascii="Times New Roman" w:hAnsi="Times New Roman" w:eastAsia="Times New Roman"/>
          <w:b w:val="0"/>
          <w:i w:val="0"/>
          <w:color w:val="565656"/>
          <w:sz w:val="24"/>
        </w:rPr>
        <w:t>Практическое руководство о том, как советы директоров проводят оценку своей эффективности, комитетов и отдельных директоров и как превращать её результаты в улучшения. 99% советов S&amp;P 500 проводят оценку, но 29% председателей комитетов по номинациям считают, что хотя бы одного директора следовало бы заменить; использование внешних консультантов выросло с 9% до 27% за шесть лет. Ключевые принципы: оценка должна быть целеориентированной и с обязательными действиями после завершения (владельцы задач, сроки, контроль через 6–12 месяцев).</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Spencer Stuart: новые независимые директора S&amp;P 500 — 2026</w:t>
      </w:r>
    </w:p>
    <w:p>
      <w:pPr>
        <w:spacing w:after="120" w:lineRule="auto" w:line="276"/>
      </w:pPr>
      <w:r>
        <w:rPr>
          <w:rFonts w:ascii="Times New Roman" w:hAnsi="Times New Roman" w:eastAsia="Times New Roman"/>
          <w:b w:val="0"/>
          <w:i w:val="0"/>
          <w:color w:val="565656"/>
          <w:sz w:val="24"/>
        </w:rPr>
        <w:t xml:space="preserve">июль 2026 · Источник: </w:t>
      </w:r>
      <w:hyperlink r:id="rId54">
        <w:r>
          <w:rPr>
            <w:rFonts w:ascii="Times New Roman" w:hAnsi="Times New Roman"/>
            <w:sz w:val="24"/>
            <w:color w:val="0563C1"/>
            <w:u w:val="single"/>
          </w:rPr>
          <w:t>Spencer Stuart</w:t>
        </w:r>
      </w:hyperlink>
    </w:p>
    <w:p>
      <w:pPr>
        <w:spacing w:after="120" w:lineRule="auto" w:line="276"/>
      </w:pPr>
      <w:r>
        <w:rPr>
          <w:rFonts w:ascii="Times New Roman" w:hAnsi="Times New Roman" w:eastAsia="Times New Roman"/>
          <w:b w:val="0"/>
          <w:i w:val="0"/>
          <w:color w:val="565656"/>
          <w:sz w:val="24"/>
        </w:rPr>
        <w:t>Ежегодный «снимок» нового класса независимых директоров S&amp;P 500 по данным Spencer Stuart Board Index. Обновление советов замедлилось: 364 новых независимых директора — минимум с 2016 года; новые директора старше и опытнее (средний возраст 60,1 года, 37% — действующие или бывшие CEO), а доля женщин среди новичков снизилась с 38% до 29%. Публикация — бенчмарк трендов ротации для сравнения с российскими дискуссиями о преемственности в советах директоров.</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EY: фреймворк эффективности совета директоров</w:t>
      </w:r>
    </w:p>
    <w:p>
      <w:pPr>
        <w:spacing w:after="120" w:lineRule="auto" w:line="276"/>
      </w:pPr>
      <w:r>
        <w:rPr>
          <w:rFonts w:ascii="Times New Roman" w:hAnsi="Times New Roman" w:eastAsia="Times New Roman"/>
          <w:b w:val="0"/>
          <w:i w:val="0"/>
          <w:color w:val="565656"/>
          <w:sz w:val="24"/>
        </w:rPr>
        <w:t xml:space="preserve">07.07.2026 · Источник: </w:t>
      </w:r>
      <w:hyperlink r:id="rId55">
        <w:r>
          <w:rPr>
            <w:rFonts w:ascii="Times New Roman" w:hAnsi="Times New Roman"/>
            <w:sz w:val="24"/>
            <w:color w:val="0563C1"/>
            <w:u w:val="single"/>
          </w:rPr>
          <w:t>EY</w:t>
        </w:r>
      </w:hyperlink>
    </w:p>
    <w:p>
      <w:pPr>
        <w:spacing w:after="120" w:lineRule="auto" w:line="276"/>
      </w:pPr>
      <w:r>
        <w:rPr>
          <w:rFonts w:ascii="Times New Roman" w:hAnsi="Times New Roman" w:eastAsia="Times New Roman"/>
          <w:b w:val="0"/>
          <w:i w:val="0"/>
          <w:color w:val="565656"/>
          <w:sz w:val="24"/>
        </w:rPr>
        <w:t>EY Center for Board Matters опубликовал фреймворк эффективности совета директоров из семи элементов — от роли и ответственности до информационных потоков, культуры, состава, операционной работы, принятия решений и оценки результатов. Основа — опрос более 100 директоров и интервью с ветеранами КУ. Акцент на двух фундаментальных рычагах — потоках информации и культуре совета; фреймворк включает «стартеры для дискуссий» по каждому элементу.</w:t>
      </w:r>
    </w:p>
    <w:p>
      <w:pPr>
        <w:spacing w:after="40" w:before="200" w:lineRule="auto" w:line="276"/>
      </w:pPr>
      <w:r>
        <w:rPr>
          <w:rFonts w:ascii="Arial" w:hAnsi="Arial" w:eastAsia="Arial"/>
          <w:b/>
          <w:i w:val="0"/>
          <w:color w:val="FF6D22"/>
          <w:sz w:val="20"/>
        </w:rPr>
        <w:t xml:space="preserve">■ </w:t>
      </w:r>
      <w:r>
        <w:rPr>
          <w:rFonts w:ascii="Arial" w:hAnsi="Arial" w:eastAsia="Arial"/>
          <w:b/>
          <w:i w:val="0"/>
          <w:color w:val="565A5C"/>
          <w:sz w:val="24"/>
        </w:rPr>
        <w:t>Korn Ferry: опрос советов директоров и CEO «Ready or Not»</w:t>
      </w:r>
    </w:p>
    <w:p>
      <w:pPr>
        <w:spacing w:after="120" w:lineRule="auto" w:line="276"/>
      </w:pPr>
      <w:r>
        <w:rPr>
          <w:rFonts w:ascii="Times New Roman" w:hAnsi="Times New Roman" w:eastAsia="Times New Roman"/>
          <w:b w:val="0"/>
          <w:i w:val="0"/>
          <w:color w:val="565656"/>
          <w:sz w:val="24"/>
        </w:rPr>
        <w:t xml:space="preserve">20.07.2026 · Источник: </w:t>
      </w:r>
      <w:hyperlink r:id="rId56">
        <w:r>
          <w:rPr>
            <w:rFonts w:ascii="Times New Roman" w:hAnsi="Times New Roman"/>
            <w:sz w:val="24"/>
            <w:color w:val="0563C1"/>
            <w:u w:val="single"/>
          </w:rPr>
          <w:t>Korn Ferry</w:t>
        </w:r>
      </w:hyperlink>
    </w:p>
    <w:p>
      <w:pPr>
        <w:spacing w:after="120" w:lineRule="auto" w:line="276"/>
      </w:pPr>
      <w:r>
        <w:rPr>
          <w:rFonts w:ascii="Times New Roman" w:hAnsi="Times New Roman" w:eastAsia="Times New Roman"/>
          <w:b w:val="0"/>
          <w:i w:val="0"/>
          <w:color w:val="565656"/>
          <w:sz w:val="24"/>
        </w:rPr>
        <w:t>Второй ежегодный риск-опрос Korn Ferry охватил 250 директоров и CEO в США, Великобритании и EMEA; тема — готовность советов к CEO-переходам и управлению рисками. 60% советов считают, что преемственность должна быть непрерывным процессом, но лишь 17% пересматривают планы ежеквартально. Выявлен «разрыв доверия ИИ»: 49% впервые назначенных CEO уверены в управлении ИИ-рисками, но среди членов советов — только 30%.</w:t>
      </w:r>
    </w:p>
    <w:sectPr w:rsidR="00FC693F" w:rsidRPr="0006063C" w:rsidSect="00034616">
      <w:headerReference w:type="default" r:id="rId9"/>
      <w:footerReference w:type="default" r:id="rId10"/>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FF6D22"/>
      </w:pBdr>
    </w:pPr>
    <w:r>
      <w:rPr>
        <w:rFonts w:ascii="Arial" w:hAnsi="Arial" w:eastAsia="Arial"/>
        <w:b w:val="0"/>
        <w:i w:val="0"/>
        <w:color w:val="979797"/>
        <w:sz w:val="18"/>
      </w:rPr>
      <w:t xml:space="preserve">Дайджест новостей по корпоративному управлению · стр. </w:t>
    </w:r>
    <w:r>
      <w:rPr>
        <w:rFonts w:ascii="Arial" w:hAnsi="Arial" w:eastAsia="Arial"/>
        <w:b w:val="0"/>
        <w:i w:val="0"/>
        <w:color w:val="979797"/>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979797"/>
      </w:pBdr>
    </w:pPr>
    <w:r>
      <w:rPr>
        <w:rFonts w:ascii="Arial" w:hAnsi="Arial" w:eastAsia="Arial"/>
        <w:b w:val="0"/>
        <w:i w:val="0"/>
        <w:color w:val="979797"/>
        <w:sz w:val="18"/>
      </w:rPr>
      <w:t>Дайджест по корпоративному управлению · квартальная сводка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onsultant.ru/document/cons_doc_LAW_538639/" TargetMode="External"/><Relationship Id="rId12" Type="http://schemas.openxmlformats.org/officeDocument/2006/relationships/hyperlink" Target="https://www.interfax.ru/russia/1104790" TargetMode="External"/><Relationship Id="rId13" Type="http://schemas.openxmlformats.org/officeDocument/2006/relationships/hyperlink" Target="https://www.consultant.ru/document/cons_doc_LAW_540926/" TargetMode="External"/><Relationship Id="rId14" Type="http://schemas.openxmlformats.org/officeDocument/2006/relationships/hyperlink" Target="https://ppt.ru/obzory/vstupaet-v-silu/federalnyy-zakon-04-08-2026-319-fz" TargetMode="External"/><Relationship Id="rId15" Type="http://schemas.openxmlformats.org/officeDocument/2006/relationships/hyperlink" Target="https://b1.ru/insights/law-messenger/law-digest-september-2026/" TargetMode="External"/><Relationship Id="rId16" Type="http://schemas.openxmlformats.org/officeDocument/2006/relationships/hyperlink" Target="https://www.cbr.ru/rbr/dir_decisions/rsd_2026-08-28_34_01/" TargetMode="External"/><Relationship Id="rId17" Type="http://schemas.openxmlformats.org/officeDocument/2006/relationships/hyperlink" Target="https://pravo.ppt.ru/ukaz/351973" TargetMode="External"/><Relationship Id="rId18" Type="http://schemas.openxmlformats.org/officeDocument/2006/relationships/hyperlink" Target="https://www.kommersant.ru/doc/8957412" TargetMode="External"/><Relationship Id="rId19" Type="http://schemas.openxmlformats.org/officeDocument/2006/relationships/hyperlink" Target="http://publication.pravo.gov.ru/document/0001202609170018" TargetMode="External"/><Relationship Id="rId20" Type="http://schemas.openxmlformats.org/officeDocument/2006/relationships/hyperlink" Target="https://pravo.ru/news/264928/" TargetMode="External"/><Relationship Id="rId21" Type="http://schemas.openxmlformats.org/officeDocument/2006/relationships/hyperlink" Target="https://ppt.ru/news/idea/programmy-motivatsii-aktsiyami-dlya-aktsionernykh-obshchestv" TargetMode="External"/><Relationship Id="rId22" Type="http://schemas.openxmlformats.org/officeDocument/2006/relationships/hyperlink" Target="https://nplaw.ru/blog/detail/bank-rossii-razyasnil-reformu-regulirovaniya-insayderskoy-informatsii/" TargetMode="External"/><Relationship Id="rId23" Type="http://schemas.openxmlformats.org/officeDocument/2006/relationships/hyperlink" Target="https://investfuture.ru/articles/minfin-gotovit-zakonodatelnoe-regulirovanie-strakhovaniya-otvetstvennosti-direktorov-1182830893/" TargetMode="External"/><Relationship Id="rId24" Type="http://schemas.openxmlformats.org/officeDocument/2006/relationships/hyperlink" Target="https://www.interfax.ru/business/1101406/" TargetMode="External"/><Relationship Id="rId25" Type="http://schemas.openxmlformats.org/officeDocument/2006/relationships/hyperlink" Target="https://www.finmarket.ru/currency/news/6660587" TargetMode="External"/><Relationship Id="rId26" Type="http://schemas.openxmlformats.org/officeDocument/2006/relationships/hyperlink" Target="https://www.interfax.ru/russia/1104283/" TargetMode="External"/><Relationship Id="rId27" Type="http://schemas.openxmlformats.org/officeDocument/2006/relationships/hyperlink" Target="https://www.klerk.ru/cdoc/view/8966dd423d736f884455290901d34e56/" TargetMode="External"/><Relationship Id="rId28" Type="http://schemas.openxmlformats.org/officeDocument/2006/relationships/hyperlink" Target="https://www.consultant.ru/document/cons_doc_LAW_539977/" TargetMode="External"/><Relationship Id="rId29" Type="http://schemas.openxmlformats.org/officeDocument/2006/relationships/hyperlink" Target="https://www.dp.ru/a/2026/08/19/npao-poluchat-poslablenija-ot" TargetMode="External"/><Relationship Id="rId30" Type="http://schemas.openxmlformats.org/officeDocument/2006/relationships/hyperlink" Target="https://www.vedomosti.ru/investments/articles/2026/08/27/1223995-bank-rossii-nachal-reformu-instituta-predstavitelei-vladeltsev-obligatsii" TargetMode="External"/><Relationship Id="rId31" Type="http://schemas.openxmlformats.org/officeDocument/2006/relationships/hyperlink" Target="https://www.cbr.ru/Content/Document/File/197554/Consultation_Paper_26082026_28.pdf" TargetMode="External"/><Relationship Id="rId32" Type="http://schemas.openxmlformats.org/officeDocument/2006/relationships/hyperlink" Target="https://www.cbr.ru/press/event/?id=32834" TargetMode="External"/><Relationship Id="rId33" Type="http://schemas.openxmlformats.org/officeDocument/2006/relationships/hyperlink" Target="https://www.cbr.ru/content/document/file/198267/onrfr_2027-29.pdf" TargetMode="External"/><Relationship Id="rId34" Type="http://schemas.openxmlformats.org/officeDocument/2006/relationships/hyperlink" Target="https://www.akm.ru/news/sber_vklyuchyen_v_programmu_sozdaniya_aktsionernoy_stoimosti/" TargetMode="External"/><Relationship Id="rId35" Type="http://schemas.openxmlformats.org/officeDocument/2006/relationships/hyperlink" Target="https://www.interfax.ru/business/1105180/" TargetMode="External"/><Relationship Id="rId36" Type="http://schemas.openxmlformats.org/officeDocument/2006/relationships/hyperlink" Target="https://www.forbes.ru/investicii/565881-novyj-vladelec-ugk-napravil-v-cb-ofertu-na-vykup-akcij-u-minoritariev" TargetMode="External"/><Relationship Id="rId37" Type="http://schemas.openxmlformats.org/officeDocument/2006/relationships/hyperlink" Target="https://www.finversia.ru/publication/bts-most-kholding-vystavil-ofertu-minoritariyam-yugk-176179" TargetMode="External"/><Relationship Id="rId38" Type="http://schemas.openxmlformats.org/officeDocument/2006/relationships/hyperlink" Target="https://www.garant.ru/hotlaw/federal/2242845/" TargetMode="External"/><Relationship Id="rId39" Type="http://schemas.openxmlformats.org/officeDocument/2006/relationships/hyperlink" Target="https://www.vedomosti.ru/investments/news/2026/09/07/1227021-sovet-direktorov-pik" TargetMode="External"/><Relationship Id="rId40" Type="http://schemas.openxmlformats.org/officeDocument/2006/relationships/hyperlink" Target="https://www.kommersant.ru/doc/8939197" TargetMode="External"/><Relationship Id="rId41" Type="http://schemas.openxmlformats.org/officeDocument/2006/relationships/hyperlink" Target="https://www.kommersant.ru/doc/8970801" TargetMode="External"/><Relationship Id="rId42" Type="http://schemas.openxmlformats.org/officeDocument/2006/relationships/hyperlink" Target="https://www.consultant.ru/document/cons_doc_LAW_540473/" TargetMode="External"/><Relationship Id="rId43" Type="http://schemas.openxmlformats.org/officeDocument/2006/relationships/hyperlink" Target="https://investfuture.ru/articles/moskovskaya-birzha-usilivaet-zametnost-markirovki-bumag-s-ogranichennym-raskrytiem-1182847745" TargetMode="External"/><Relationship Id="rId44" Type="http://schemas.openxmlformats.org/officeDocument/2006/relationships/hyperlink" Target="https://www.consultant.ru/document/cons_doc_LAW_542955/" TargetMode="External"/><Relationship Id="rId45" Type="http://schemas.openxmlformats.org/officeDocument/2006/relationships/hyperlink" Target="https://deloprava.ru/vs-vypustil-obzor-praktiki-n-2-za-2026-god-klyuchevye-poziczii-dlya-yuristov-i-biznesa/" TargetMode="External"/><Relationship Id="rId46" Type="http://schemas.openxmlformats.org/officeDocument/2006/relationships/hyperlink" Target="https://regionservice.com/publications/vs-rf-zashhitil-minoritarnogo-akczionera-ot-razmytiya-doli-dopolnitelnaya-emissiya-akczij-priznana-nedejstvitelnoj/" TargetMode="External"/><Relationship Id="rId47" Type="http://schemas.openxmlformats.org/officeDocument/2006/relationships/hyperlink" Target="https://www.v2b.ru/2026/07/07/direktor-otvechaet-za-ubytki-ot-sdelki-priznannoy-nedeystvitelnoy/" TargetMode="External"/><Relationship Id="rId48" Type="http://schemas.openxmlformats.org/officeDocument/2006/relationships/hyperlink" Target="https://legalbulletin.online/verhovnyj-sud-rf-sdelki-s-zainteresovannostju-zatragivajushhie-kljuchevye-aktivy-obshhestva-dolzhny-proverjatsja-na-razumnuju-neobhodimost-i-sootvetstvie-interesam-kompanii/" TargetMode="External"/><Relationship Id="rId49" Type="http://schemas.openxmlformats.org/officeDocument/2006/relationships/hyperlink" Target="https://sudact.ru/vsrf/doc/EHkEJEvCe9Za/" TargetMode="External"/><Relationship Id="rId50" Type="http://schemas.openxmlformats.org/officeDocument/2006/relationships/hyperlink" Target="https://www.vsrf.ru/media-proxy/upload/iblock/e6c/it574hdekh7g0wsqywf72r30co2luq2f.pdf" TargetMode="External"/><Relationship Id="rId51" Type="http://schemas.openxmlformats.org/officeDocument/2006/relationships/hyperlink" Target="https://sudact.ru/vsrf/doc/eFlyrOaC2aoe/" TargetMode="External"/><Relationship Id="rId52" Type="http://schemas.openxmlformats.org/officeDocument/2006/relationships/hyperlink" Target="https://rid.ru/rid/news/sovremennye-trendy-praktiki-korporativnogo-upravleniya-ot-raskrytiya-informaczii-do-vnedreniya-iskusstvennogo-intellekta/" TargetMode="External"/><Relationship Id="rId53" Type="http://schemas.openxmlformats.org/officeDocument/2006/relationships/hyperlink" Target="https://www.spencerstuart.com/research-and-insight/board-evaluation-best-practices-from-insight-to-impact" TargetMode="External"/><Relationship Id="rId54" Type="http://schemas.openxmlformats.org/officeDocument/2006/relationships/hyperlink" Target="https://www.spencerstuart.com/research-and-insight/2026-spencer-stuart-board-index-new-director-snapshot" TargetMode="External"/><Relationship Id="rId55" Type="http://schemas.openxmlformats.org/officeDocument/2006/relationships/hyperlink" Target="https://www.ey.com/en_us/board-matters/the-ey-framework-for-board-effectiveness" TargetMode="External"/><Relationship Id="rId56" Type="http://schemas.openxmlformats.org/officeDocument/2006/relationships/hyperlink" Target="https://www.kornferry.com/insights/featured-topics/leadership/ceo-and-board-surv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