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9648C">
      <w:pPr>
        <w:ind w:firstLine="0" w:firstLineChars="0"/>
        <w:jc w:val="center"/>
        <w:rPr>
          <w:rFonts w:hint="default" w:ascii="Times New Roman" w:hAnsi="Times New Roman" w:eastAsia="宋体" w:cs="Times New Roman"/>
          <w:sz w:val="48"/>
          <w:szCs w:val="20"/>
        </w:rPr>
      </w:pPr>
    </w:p>
    <w:p w14:paraId="0BE0FE10">
      <w:pPr>
        <w:ind w:firstLine="0" w:firstLineChars="0"/>
        <w:jc w:val="center"/>
        <w:rPr>
          <w:rFonts w:hint="default" w:ascii="Times New Roman" w:hAnsi="Times New Roman" w:eastAsia="宋体" w:cs="Times New Roman"/>
          <w:sz w:val="48"/>
          <w:szCs w:val="20"/>
        </w:rPr>
      </w:pPr>
    </w:p>
    <w:p w14:paraId="1CF07D25">
      <w:pPr>
        <w:ind w:firstLine="0" w:firstLineChars="0"/>
        <w:jc w:val="center"/>
        <w:rPr>
          <w:rFonts w:hint="default" w:ascii="Times New Roman" w:hAnsi="Times New Roman" w:eastAsia="宋体" w:cs="Times New Roman"/>
          <w:sz w:val="32"/>
          <w:szCs w:val="13"/>
        </w:rPr>
      </w:pPr>
    </w:p>
    <w:p w14:paraId="2F73FA7C">
      <w:pPr>
        <w:ind w:firstLine="0" w:firstLineChars="0"/>
        <w:jc w:val="center"/>
        <w:rPr>
          <w:rFonts w:hint="default" w:ascii="Times New Roman" w:hAnsi="Times New Roman" w:eastAsia="宋体" w:cs="Times New Roman"/>
          <w:sz w:val="32"/>
          <w:szCs w:val="13"/>
        </w:rPr>
      </w:pPr>
    </w:p>
    <w:p w14:paraId="0A93AED9">
      <w:pPr>
        <w:ind w:firstLine="0" w:firstLineChars="0"/>
        <w:jc w:val="center"/>
        <w:rPr>
          <w:rFonts w:hint="default" w:ascii="Times New Roman" w:hAnsi="Times New Roman" w:eastAsia="宋体" w:cs="Times New Roman"/>
          <w:sz w:val="32"/>
          <w:szCs w:val="13"/>
        </w:rPr>
      </w:pPr>
    </w:p>
    <w:p w14:paraId="3B7D5299">
      <w:pPr>
        <w:widowControl/>
        <w:adjustRightInd/>
        <w:snapToGrid/>
        <w:spacing w:after="120" w:line="240" w:lineRule="auto"/>
        <w:ind w:firstLine="0" w:firstLineChars="0"/>
        <w:jc w:val="left"/>
        <w:rPr>
          <w:rFonts w:hint="default" w:ascii="Times New Roman" w:hAnsi="Times New Roman" w:eastAsia="宋体" w:cs="Times New Roman"/>
          <w:b/>
          <w:kern w:val="0"/>
          <w:sz w:val="44"/>
          <w:szCs w:val="44"/>
          <w:lang w:eastAsia="zh-CN"/>
        </w:rPr>
      </w:pPr>
      <w:r>
        <w:rPr>
          <w:rFonts w:hint="default" w:ascii="Times New Roman" w:hAnsi="Times New Roman" w:cs="Times New Roman"/>
          <w:b/>
          <w:kern w:val="0"/>
          <w:sz w:val="44"/>
          <w:szCs w:val="44"/>
          <w:lang w:eastAsia="zh-CN"/>
        </w:rPr>
        <w:t>无锡贝塔医药科技有限公司</w:t>
      </w:r>
    </w:p>
    <w:p w14:paraId="4B5A3CFA">
      <w:pPr>
        <w:ind w:firstLine="0" w:firstLineChars="0"/>
        <w:jc w:val="center"/>
        <w:rPr>
          <w:rFonts w:hint="default" w:ascii="Times New Roman" w:hAnsi="Times New Roman" w:eastAsia="宋体" w:cs="Times New Roman"/>
          <w:sz w:val="40"/>
          <w:szCs w:val="16"/>
        </w:rPr>
      </w:pPr>
    </w:p>
    <w:p w14:paraId="5FE21A09">
      <w:pPr>
        <w:widowControl/>
        <w:adjustRightInd/>
        <w:snapToGrid/>
        <w:spacing w:after="120" w:line="240" w:lineRule="auto"/>
        <w:ind w:firstLine="0" w:firstLineChars="0"/>
        <w:jc w:val="left"/>
        <w:rPr>
          <w:rFonts w:hint="default" w:ascii="Times New Roman" w:hAnsi="Times New Roman" w:cs="Times New Roman"/>
          <w:kern w:val="0"/>
          <w:sz w:val="36"/>
          <w:szCs w:val="36"/>
        </w:rPr>
      </w:pPr>
      <w:r>
        <w:rPr>
          <w:rFonts w:hint="default" w:ascii="Times New Roman" w:hAnsi="Times New Roman" w:cs="Times New Roman"/>
          <w:kern w:val="0"/>
          <w:sz w:val="36"/>
          <w:szCs w:val="36"/>
        </w:rPr>
        <w:t>财务尽职调查</w:t>
      </w:r>
      <w:r>
        <w:rPr>
          <w:rFonts w:hint="eastAsia" w:ascii="Times New Roman" w:hAnsi="Times New Roman" w:cs="Times New Roman"/>
          <w:kern w:val="0"/>
          <w:sz w:val="36"/>
          <w:szCs w:val="36"/>
          <w:lang w:val="en-US" w:eastAsia="zh-CN"/>
        </w:rPr>
        <w:t>审阅</w:t>
      </w:r>
      <w:r>
        <w:rPr>
          <w:rFonts w:hint="default" w:ascii="Times New Roman" w:hAnsi="Times New Roman" w:cs="Times New Roman"/>
          <w:kern w:val="0"/>
          <w:sz w:val="36"/>
          <w:szCs w:val="36"/>
        </w:rPr>
        <w:t>报告</w:t>
      </w:r>
    </w:p>
    <w:p w14:paraId="6BD0CFBD">
      <w:pPr>
        <w:ind w:firstLine="0" w:firstLineChars="0"/>
        <w:jc w:val="center"/>
        <w:rPr>
          <w:rFonts w:hint="default" w:ascii="Times New Roman" w:hAnsi="Times New Roman" w:eastAsia="宋体" w:cs="Times New Roman"/>
          <w:sz w:val="40"/>
          <w:szCs w:val="16"/>
        </w:rPr>
      </w:pPr>
    </w:p>
    <w:p w14:paraId="28FC5865">
      <w:pPr>
        <w:spacing w:before="240" w:beforeLines="100" w:after="240" w:afterLines="100"/>
        <w:ind w:firstLine="0" w:firstLineChars="0"/>
        <w:jc w:val="center"/>
        <w:rPr>
          <w:rFonts w:hint="default" w:ascii="Times New Roman" w:hAnsi="Times New Roman" w:cs="Times New Roman"/>
          <w:szCs w:val="52"/>
        </w:rPr>
      </w:pPr>
    </w:p>
    <w:p w14:paraId="3D1F7855">
      <w:pPr>
        <w:spacing w:before="240" w:beforeLines="100" w:after="240" w:afterLines="100"/>
        <w:ind w:firstLine="0" w:firstLineChars="0"/>
        <w:jc w:val="center"/>
        <w:rPr>
          <w:rFonts w:hint="default" w:ascii="Times New Roman" w:hAnsi="Times New Roman" w:cs="Times New Roman"/>
          <w:szCs w:val="52"/>
        </w:rPr>
      </w:pPr>
    </w:p>
    <w:p w14:paraId="003EC371">
      <w:pPr>
        <w:spacing w:before="240" w:beforeLines="100" w:after="240" w:afterLines="100"/>
        <w:ind w:firstLine="0" w:firstLineChars="0"/>
        <w:jc w:val="center"/>
        <w:rPr>
          <w:rFonts w:hint="default" w:ascii="Times New Roman" w:hAnsi="Times New Roman" w:cs="Times New Roman"/>
          <w:szCs w:val="52"/>
        </w:rPr>
      </w:pPr>
    </w:p>
    <w:p w14:paraId="617F2713">
      <w:pPr>
        <w:spacing w:before="240" w:beforeLines="100" w:after="240" w:afterLines="100"/>
        <w:ind w:firstLine="0" w:firstLineChars="0"/>
        <w:jc w:val="center"/>
        <w:rPr>
          <w:rFonts w:hint="default" w:ascii="Times New Roman" w:hAnsi="Times New Roman" w:cs="Times New Roman"/>
          <w:szCs w:val="52"/>
        </w:rPr>
      </w:pPr>
    </w:p>
    <w:p w14:paraId="4B421129">
      <w:pPr>
        <w:spacing w:before="240" w:beforeLines="100" w:after="240" w:afterLines="100"/>
        <w:ind w:firstLine="0" w:firstLineChars="0"/>
        <w:jc w:val="center"/>
        <w:rPr>
          <w:rFonts w:hint="default" w:ascii="Times New Roman" w:hAnsi="Times New Roman" w:cs="Times New Roman"/>
          <w:szCs w:val="52"/>
        </w:rPr>
      </w:pPr>
    </w:p>
    <w:p w14:paraId="4792D59A">
      <w:pPr>
        <w:spacing w:before="240" w:beforeLines="100" w:after="240" w:afterLines="100"/>
        <w:ind w:firstLine="0" w:firstLineChars="0"/>
        <w:jc w:val="center"/>
        <w:rPr>
          <w:rFonts w:hint="default" w:ascii="Times New Roman" w:hAnsi="Times New Roman" w:cs="Times New Roman"/>
          <w:sz w:val="22"/>
          <w:szCs w:val="48"/>
        </w:rPr>
      </w:pPr>
    </w:p>
    <w:p w14:paraId="729317B5">
      <w:pPr>
        <w:widowControl/>
        <w:adjustRightInd/>
        <w:snapToGrid/>
        <w:spacing w:after="120" w:line="240" w:lineRule="auto"/>
        <w:ind w:firstLine="0" w:firstLineChars="0"/>
        <w:jc w:val="center"/>
        <w:rPr>
          <w:rFonts w:hint="default" w:ascii="Times New Roman" w:hAnsi="Times New Roman" w:cs="Times New Roman"/>
          <w:bCs/>
          <w:kern w:val="0"/>
          <w:sz w:val="28"/>
          <w:szCs w:val="28"/>
        </w:rPr>
      </w:pPr>
    </w:p>
    <w:p w14:paraId="55E4459E">
      <w:pPr>
        <w:widowControl/>
        <w:adjustRightInd/>
        <w:snapToGrid/>
        <w:spacing w:after="120" w:line="240" w:lineRule="auto"/>
        <w:ind w:firstLine="0" w:firstLineChars="0"/>
        <w:jc w:val="center"/>
        <w:rPr>
          <w:rFonts w:hint="default" w:ascii="Times New Roman" w:hAnsi="Times New Roman" w:cs="Times New Roman"/>
          <w:bCs/>
          <w:kern w:val="0"/>
          <w:sz w:val="28"/>
          <w:szCs w:val="28"/>
        </w:rPr>
      </w:pPr>
      <w:r>
        <w:rPr>
          <w:rFonts w:hint="default" w:ascii="Times New Roman" w:hAnsi="Times New Roman" w:cs="Times New Roman"/>
          <w:bCs/>
          <w:kern w:val="0"/>
          <w:sz w:val="28"/>
          <w:szCs w:val="28"/>
        </w:rPr>
        <w:t>202</w:t>
      </w:r>
      <w:r>
        <w:rPr>
          <w:rFonts w:hint="default" w:ascii="Times New Roman" w:hAnsi="Times New Roman" w:cs="Times New Roman"/>
          <w:bCs/>
          <w:kern w:val="0"/>
          <w:sz w:val="28"/>
          <w:szCs w:val="28"/>
          <w:lang w:val="en-US" w:eastAsia="zh-CN"/>
        </w:rPr>
        <w:t>5</w:t>
      </w:r>
      <w:r>
        <w:rPr>
          <w:rFonts w:hint="default" w:ascii="Times New Roman" w:hAnsi="Times New Roman" w:cs="Times New Roman"/>
          <w:bCs/>
          <w:kern w:val="0"/>
          <w:sz w:val="28"/>
          <w:szCs w:val="28"/>
        </w:rPr>
        <w:t>年</w:t>
      </w:r>
      <w:r>
        <w:rPr>
          <w:rFonts w:hint="default" w:ascii="Times New Roman" w:hAnsi="Times New Roman" w:cs="Times New Roman"/>
          <w:bCs/>
          <w:kern w:val="0"/>
          <w:sz w:val="28"/>
          <w:szCs w:val="28"/>
          <w:lang w:val="en-US" w:eastAsia="zh-CN"/>
        </w:rPr>
        <w:t>10</w:t>
      </w:r>
      <w:r>
        <w:rPr>
          <w:rFonts w:hint="default" w:ascii="Times New Roman" w:hAnsi="Times New Roman" w:cs="Times New Roman"/>
          <w:bCs/>
          <w:kern w:val="0"/>
          <w:sz w:val="28"/>
          <w:szCs w:val="28"/>
        </w:rPr>
        <w:t>月</w:t>
      </w:r>
    </w:p>
    <w:p w14:paraId="1C456CC9">
      <w:pPr>
        <w:widowControl/>
        <w:adjustRightInd/>
        <w:snapToGrid/>
        <w:spacing w:line="240" w:lineRule="auto"/>
        <w:ind w:firstLine="0" w:firstLineChars="0"/>
        <w:jc w:val="left"/>
        <w:rPr>
          <w:rFonts w:hint="default" w:ascii="Times New Roman" w:hAnsi="Times New Roman" w:cs="Times New Roman"/>
          <w:bCs/>
          <w:kern w:val="0"/>
          <w:sz w:val="32"/>
          <w:szCs w:val="32"/>
        </w:rPr>
      </w:pPr>
      <w:r>
        <w:rPr>
          <w:rFonts w:hint="default" w:ascii="Times New Roman" w:hAnsi="Times New Roman" w:cs="Times New Roman"/>
          <w:bCs/>
          <w:kern w:val="0"/>
          <w:sz w:val="32"/>
          <w:szCs w:val="32"/>
        </w:rPr>
        <w:br w:type="page"/>
      </w:r>
    </w:p>
    <w:p w14:paraId="7E45B43C">
      <w:pPr>
        <w:widowControl/>
        <w:adjustRightInd/>
        <w:snapToGrid/>
        <w:spacing w:after="120" w:line="240" w:lineRule="auto"/>
        <w:ind w:firstLine="0" w:firstLineChars="0"/>
        <w:jc w:val="center"/>
        <w:rPr>
          <w:rFonts w:hint="default" w:ascii="Times New Roman" w:hAnsi="Times New Roman" w:cs="Times New Roman"/>
          <w:b/>
          <w:kern w:val="0"/>
          <w:sz w:val="32"/>
          <w:szCs w:val="32"/>
        </w:rPr>
      </w:pPr>
      <w:r>
        <w:rPr>
          <w:rFonts w:hint="default" w:ascii="Times New Roman" w:hAnsi="Times New Roman" w:cs="Times New Roman"/>
          <w:b/>
          <w:kern w:val="0"/>
          <w:sz w:val="32"/>
          <w:szCs w:val="32"/>
        </w:rPr>
        <w:t>目录</w:t>
      </w:r>
    </w:p>
    <w:p w14:paraId="4FEE31EB">
      <w:pPr>
        <w:widowControl/>
        <w:adjustRightInd/>
        <w:snapToGrid/>
        <w:spacing w:after="120" w:line="240" w:lineRule="auto"/>
        <w:ind w:firstLine="0" w:firstLineChars="0"/>
        <w:jc w:val="center"/>
        <w:rPr>
          <w:rFonts w:hint="default" w:ascii="Times New Roman" w:hAnsi="Times New Roman" w:cs="Times New Roman"/>
          <w:bCs/>
          <w:kern w:val="0"/>
          <w:sz w:val="32"/>
          <w:szCs w:val="32"/>
        </w:rPr>
      </w:pPr>
    </w:p>
    <w:sdt>
      <w:sdtPr>
        <w:rPr>
          <w:rFonts w:hint="default" w:ascii="Times New Roman" w:hAnsi="Times New Roman" w:cs="Times New Roman"/>
          <w:b w:val="0"/>
          <w:bCs w:val="0"/>
          <w:smallCaps w:val="0"/>
          <w:sz w:val="24"/>
          <w:szCs w:val="22"/>
        </w:rPr>
        <w:id w:val="-1833285398"/>
        <w:docPartObj>
          <w:docPartGallery w:val="Table of Contents"/>
          <w:docPartUnique/>
        </w:docPartObj>
      </w:sdtPr>
      <w:sdtEndPr>
        <w:rPr>
          <w:rFonts w:hint="default" w:ascii="Times New Roman" w:hAnsi="Times New Roman" w:cs="Times New Roman"/>
          <w:b w:val="0"/>
          <w:bCs w:val="0"/>
          <w:smallCaps w:val="0"/>
          <w:sz w:val="24"/>
          <w:szCs w:val="22"/>
          <w:lang w:val="zh-CN"/>
        </w:rPr>
      </w:sdtEndPr>
      <w:sdtContent>
        <w:p w14:paraId="3A08BC01">
          <w:pPr>
            <w:pStyle w:val="23"/>
            <w:spacing w:line="0" w:lineRule="atLeast"/>
            <w:ind w:firstLine="480" w:firstLineChars="0"/>
            <w:rPr>
              <w:rFonts w:hint="default" w:ascii="Times New Roman" w:hAnsi="Times New Roman" w:eastAsia="宋体" w:cs="Times New Roman"/>
              <w:b/>
              <w:bCs/>
              <w:smallCaps/>
              <w:kern w:val="2"/>
              <w:sz w:val="21"/>
              <w:szCs w:val="16"/>
              <w:lang w:val="zh-CN" w:eastAsia="zh-CN" w:bidi="ar-SA"/>
              <w14:ligatures w14:val="none"/>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p>
        <w:p w14:paraId="7906AA12">
          <w:pPr>
            <w:pStyle w:val="23"/>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_Toc31515 </w:instrText>
          </w:r>
          <w:r>
            <w:rPr>
              <w:rFonts w:hint="default" w:ascii="Times New Roman" w:hAnsi="Times New Roman" w:cs="Times New Roman"/>
              <w:bCs/>
              <w:lang w:val="zh-CN"/>
            </w:rPr>
            <w:fldChar w:fldCharType="separate"/>
          </w:r>
          <w:r>
            <w:rPr>
              <w:rFonts w:hint="default" w:ascii="Times New Roman" w:hAnsi="Times New Roman" w:cs="Times New Roman"/>
            </w:rPr>
            <w:t>一、 财务尽调背景情况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_Toc31515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3546735">
          <w:pPr>
            <w:pStyle w:val="23"/>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_Toc32737 </w:instrText>
          </w:r>
          <w:r>
            <w:rPr>
              <w:rFonts w:hint="default" w:ascii="Times New Roman" w:hAnsi="Times New Roman" w:cs="Times New Roman"/>
              <w:bCs/>
              <w:lang w:val="zh-CN"/>
            </w:rPr>
            <w:fldChar w:fldCharType="separate"/>
          </w:r>
          <w:r>
            <w:rPr>
              <w:rFonts w:hint="default" w:ascii="Times New Roman" w:hAnsi="Times New Roman" w:cs="Times New Roman"/>
            </w:rPr>
            <w:t>二、 主要尽调事项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_Toc32737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67ED941">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_Toc22340 </w:instrText>
          </w:r>
          <w:r>
            <w:rPr>
              <w:rFonts w:hint="default" w:ascii="Times New Roman" w:hAnsi="Times New Roman" w:cs="Times New Roman"/>
              <w:bCs/>
              <w:lang w:val="zh-CN"/>
            </w:rPr>
            <w:fldChar w:fldCharType="separate"/>
          </w:r>
          <w:r>
            <w:rPr>
              <w:rFonts w:hint="default" w:ascii="Times New Roman" w:hAnsi="Times New Roman" w:cs="Times New Roman"/>
            </w:rPr>
            <w:t>（一） 收入及利润变动情况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_Toc22340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C6A1596">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_Toc7277 </w:instrText>
          </w:r>
          <w:r>
            <w:rPr>
              <w:rFonts w:hint="default" w:ascii="Times New Roman" w:hAnsi="Times New Roman" w:cs="Times New Roman"/>
              <w:bCs/>
              <w:lang w:val="zh-CN"/>
            </w:rPr>
            <w:fldChar w:fldCharType="separate"/>
          </w:r>
          <w:r>
            <w:rPr>
              <w:rFonts w:hint="default" w:ascii="Times New Roman" w:hAnsi="Times New Roman" w:cs="Times New Roman"/>
            </w:rPr>
            <w:t>（二） 人员及薪酬情况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_Toc7277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59B5B25">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_Toc13735 </w:instrText>
          </w:r>
          <w:r>
            <w:rPr>
              <w:rFonts w:hint="default" w:ascii="Times New Roman" w:hAnsi="Times New Roman" w:cs="Times New Roman"/>
              <w:bCs/>
              <w:lang w:val="zh-CN"/>
            </w:rPr>
            <w:fldChar w:fldCharType="separate"/>
          </w:r>
          <w:r>
            <w:rPr>
              <w:rFonts w:hint="default" w:ascii="Times New Roman" w:hAnsi="Times New Roman" w:cs="Times New Roman"/>
            </w:rPr>
            <w:t>（三） 现金流量情况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_Toc13735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176A003">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_Toc4037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（四） </w:t>
          </w:r>
          <w:r>
            <w:rPr>
              <w:rFonts w:hint="default" w:ascii="Times New Roman" w:hAnsi="Times New Roman" w:cs="Times New Roman"/>
              <w:lang w:val="en-US" w:eastAsia="zh-CN"/>
            </w:rPr>
            <w:t>借款合同情况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_Toc4037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2AE7248">
          <w:pPr>
            <w:pStyle w:val="23"/>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_Toc12348 </w:instrText>
          </w:r>
          <w:r>
            <w:rPr>
              <w:rFonts w:hint="default" w:ascii="Times New Roman" w:hAnsi="Times New Roman" w:cs="Times New Roman"/>
              <w:bCs/>
              <w:lang w:val="zh-CN"/>
            </w:rPr>
            <w:fldChar w:fldCharType="separate"/>
          </w:r>
          <w:r>
            <w:rPr>
              <w:rFonts w:hint="default" w:ascii="Times New Roman" w:hAnsi="Times New Roman" w:cs="Times New Roman"/>
            </w:rPr>
            <w:t>三、 财务报表情况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_Toc12348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20C2F48">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_Toc8659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（一） </w:t>
          </w:r>
          <w:r>
            <w:rPr>
              <w:rFonts w:hint="default" w:ascii="Times New Roman" w:hAnsi="Times New Roman" w:cs="Times New Roman"/>
              <w:lang w:val="en-US" w:eastAsia="zh-CN"/>
            </w:rPr>
            <w:t>合并</w:t>
          </w:r>
          <w:r>
            <w:rPr>
              <w:rFonts w:hint="default" w:ascii="Times New Roman" w:hAnsi="Times New Roman" w:cs="Times New Roman"/>
            </w:rPr>
            <w:t>资产负债表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_Toc8659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023FF80">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_Toc30153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（二） </w:t>
          </w:r>
          <w:r>
            <w:rPr>
              <w:rFonts w:hint="default" w:ascii="Times New Roman" w:hAnsi="Times New Roman" w:cs="Times New Roman"/>
              <w:lang w:val="en-US" w:eastAsia="zh-CN"/>
            </w:rPr>
            <w:t>合并</w:t>
          </w:r>
          <w:r>
            <w:rPr>
              <w:rFonts w:hint="default" w:ascii="Times New Roman" w:hAnsi="Times New Roman" w:cs="Times New Roman"/>
            </w:rPr>
            <w:t>利润表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_Toc30153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FF31D07">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_Toc23208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（三） </w:t>
          </w:r>
          <w:r>
            <w:rPr>
              <w:rFonts w:hint="default" w:ascii="Times New Roman" w:hAnsi="Times New Roman" w:cs="Times New Roman"/>
              <w:lang w:val="en-US" w:eastAsia="zh-CN"/>
            </w:rPr>
            <w:t>合并</w:t>
          </w:r>
          <w:r>
            <w:rPr>
              <w:rFonts w:hint="default" w:ascii="Times New Roman" w:hAnsi="Times New Roman" w:cs="Times New Roman"/>
            </w:rPr>
            <w:t>现金流量表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_Toc23208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EC3E6BD">
          <w:pPr>
            <w:pStyle w:val="23"/>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_Toc14581 </w:instrText>
          </w:r>
          <w:r>
            <w:rPr>
              <w:rFonts w:hint="default" w:ascii="Times New Roman" w:hAnsi="Times New Roman" w:cs="Times New Roman"/>
              <w:bCs/>
              <w:lang w:val="zh-CN"/>
            </w:rPr>
            <w:fldChar w:fldCharType="separate"/>
          </w:r>
          <w:r>
            <w:rPr>
              <w:rFonts w:hint="default" w:ascii="Times New Roman" w:hAnsi="Times New Roman" w:cs="Times New Roman"/>
            </w:rPr>
            <w:t>四、 利润表明细情况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_Toc14581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1489515">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_Toc10689 </w:instrText>
          </w:r>
          <w:r>
            <w:rPr>
              <w:rFonts w:hint="default" w:ascii="Times New Roman" w:hAnsi="Times New Roman" w:cs="Times New Roman"/>
              <w:bCs/>
              <w:lang w:val="zh-CN"/>
            </w:rPr>
            <w:fldChar w:fldCharType="separate"/>
          </w:r>
          <w:r>
            <w:rPr>
              <w:rFonts w:hint="default" w:ascii="Times New Roman" w:hAnsi="Times New Roman" w:cs="Times New Roman"/>
            </w:rPr>
            <w:t>（一） 销售收入及毛利率情况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_Toc10689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EF6527F">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_Toc23796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（二） </w:t>
          </w:r>
          <w:r>
            <w:rPr>
              <w:rFonts w:hint="default" w:ascii="Times New Roman" w:hAnsi="Times New Roman" w:cs="Times New Roman"/>
              <w:lang w:val="en-US" w:eastAsia="zh-CN"/>
            </w:rPr>
            <w:t>运营</w:t>
          </w:r>
          <w:r>
            <w:rPr>
              <w:rFonts w:hint="default" w:ascii="Times New Roman" w:hAnsi="Times New Roman" w:cs="Times New Roman"/>
            </w:rPr>
            <w:t>费用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_Toc23796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7DBA9C7">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_Toc30850 </w:instrText>
          </w:r>
          <w:r>
            <w:rPr>
              <w:rFonts w:hint="default" w:ascii="Times New Roman" w:hAnsi="Times New Roman" w:cs="Times New Roman"/>
              <w:bCs/>
              <w:lang w:val="zh-CN"/>
            </w:rPr>
            <w:fldChar w:fldCharType="separate"/>
          </w:r>
          <w:r>
            <w:rPr>
              <w:rFonts w:hint="default" w:ascii="Times New Roman" w:hAnsi="Times New Roman" w:cs="Times New Roman"/>
            </w:rPr>
            <w:t>（三） 税</w:t>
          </w:r>
          <w:r>
            <w:rPr>
              <w:rFonts w:hint="default" w:ascii="Times New Roman" w:hAnsi="Times New Roman" w:cs="Times New Roman"/>
              <w:lang w:val="en-US" w:eastAsia="zh-CN"/>
            </w:rPr>
            <w:t>务</w:t>
          </w:r>
          <w:r>
            <w:rPr>
              <w:rFonts w:hint="default" w:ascii="Times New Roman" w:hAnsi="Times New Roman" w:cs="Times New Roman"/>
            </w:rPr>
            <w:t>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_Toc30850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EF7912F">
          <w:pPr>
            <w:pStyle w:val="23"/>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_Toc29847 </w:instrText>
          </w:r>
          <w:r>
            <w:rPr>
              <w:rFonts w:hint="default" w:ascii="Times New Roman" w:hAnsi="Times New Roman" w:cs="Times New Roman"/>
              <w:bCs/>
              <w:lang w:val="zh-CN"/>
            </w:rPr>
            <w:fldChar w:fldCharType="separate"/>
          </w:r>
          <w:r>
            <w:rPr>
              <w:rFonts w:hint="default" w:ascii="Times New Roman" w:hAnsi="Times New Roman" w:cs="Times New Roman"/>
            </w:rPr>
            <w:t>五、 资产负债表明细情况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_Toc29847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5E1CFC3">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_Toc2445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（一） </w:t>
          </w:r>
          <w:r>
            <w:rPr>
              <w:rFonts w:hint="default" w:ascii="Times New Roman" w:hAnsi="Times New Roman" w:cs="Times New Roman"/>
              <w:lang w:val="en-US" w:eastAsia="zh-CN"/>
            </w:rPr>
            <w:t>交易性金融资产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2047EB5">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_Toc3773 </w:instrText>
          </w:r>
          <w:r>
            <w:rPr>
              <w:rFonts w:hint="default" w:ascii="Times New Roman" w:hAnsi="Times New Roman" w:cs="Times New Roman"/>
              <w:bCs/>
              <w:lang w:val="zh-CN"/>
            </w:rPr>
            <w:fldChar w:fldCharType="separate"/>
          </w:r>
          <w:r>
            <w:rPr>
              <w:rFonts w:hint="default" w:ascii="Times New Roman" w:hAnsi="Times New Roman" w:cs="Times New Roman"/>
            </w:rPr>
            <w:t>（二） 应收账款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_Toc3773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5F1992D">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_Toc21475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（三） </w:t>
          </w:r>
          <w:r>
            <w:rPr>
              <w:rFonts w:hint="default" w:ascii="Times New Roman" w:hAnsi="Times New Roman" w:cs="Times New Roman"/>
              <w:lang w:val="en-US" w:eastAsia="zh-CN"/>
            </w:rPr>
            <w:t>预付账款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_Toc21475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4405C52">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_Toc25471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（四） </w:t>
          </w:r>
          <w:r>
            <w:rPr>
              <w:rFonts w:hint="default" w:ascii="Times New Roman" w:hAnsi="Times New Roman" w:cs="Times New Roman"/>
              <w:lang w:val="en-US" w:eastAsia="zh-CN"/>
            </w:rPr>
            <w:t>存货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_Toc25471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AFBF5EF">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_Toc16365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（五） </w:t>
          </w:r>
          <w:r>
            <w:rPr>
              <w:rFonts w:hint="default" w:ascii="Times New Roman" w:hAnsi="Times New Roman" w:cs="Times New Roman"/>
              <w:lang w:val="en-US" w:eastAsia="zh-CN"/>
            </w:rPr>
            <w:t>固定资产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_Toc16365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C0E19BC">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_Toc20367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（六） </w:t>
          </w:r>
          <w:r>
            <w:rPr>
              <w:rFonts w:hint="default" w:ascii="Times New Roman" w:hAnsi="Times New Roman" w:cs="Times New Roman"/>
              <w:lang w:val="en-US" w:eastAsia="zh-CN"/>
            </w:rPr>
            <w:t>合同负债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_Toc20367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5B60793">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_Toc7642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（七） </w:t>
          </w:r>
          <w:r>
            <w:rPr>
              <w:rFonts w:hint="default" w:ascii="Times New Roman" w:hAnsi="Times New Roman" w:cs="Times New Roman"/>
              <w:lang w:val="en-US" w:eastAsia="zh-CN"/>
            </w:rPr>
            <w:t>应付账款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_Toc7642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07D6220">
          <w:pPr>
            <w:pStyle w:val="23"/>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_Toc14229 </w:instrText>
          </w:r>
          <w:r>
            <w:rPr>
              <w:rFonts w:hint="default" w:ascii="Times New Roman" w:hAnsi="Times New Roman" w:cs="Times New Roman"/>
              <w:bCs/>
              <w:lang w:val="zh-CN"/>
            </w:rPr>
            <w:fldChar w:fldCharType="separate"/>
          </w:r>
          <w:r>
            <w:rPr>
              <w:rFonts w:hint="default" w:ascii="Times New Roman" w:hAnsi="Times New Roman" w:cs="Times New Roman"/>
            </w:rPr>
            <w:t xml:space="preserve">六、 </w:t>
          </w:r>
          <w:r>
            <w:rPr>
              <w:rFonts w:hint="default" w:ascii="Times New Roman" w:hAnsi="Times New Roman" w:cs="Times New Roman"/>
              <w:lang w:val="en-US" w:eastAsia="zh-CN"/>
            </w:rPr>
            <w:t>财务尽调发现的主要问题及风险揭示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_Toc14229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C353EF3">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_Toc10239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rPr>
            <w:t xml:space="preserve">（一） </w:t>
          </w:r>
          <w:r>
            <w:rPr>
              <w:rFonts w:hint="default" w:ascii="Times New Roman" w:hAnsi="Times New Roman" w:eastAsia="宋体" w:cs="Times New Roman"/>
              <w:bCs/>
              <w:szCs w:val="21"/>
              <w:lang w:bidi="ar"/>
            </w:rPr>
            <w:t>股权转让及增资税费缴纳核查及风险提示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_Toc10239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21F4B34">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_Toc31648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eastAsia="zh" w:bidi="ar"/>
            </w:rPr>
            <w:t xml:space="preserve">（二） </w:t>
          </w:r>
          <w:r>
            <w:rPr>
              <w:rFonts w:hint="default" w:ascii="Times New Roman" w:hAnsi="Times New Roman" w:eastAsia="宋体" w:cs="Times New Roman"/>
              <w:bCs/>
              <w:szCs w:val="21"/>
              <w:lang w:bidi="ar"/>
            </w:rPr>
            <w:t>股权转让协议签署日期与工商底档不一致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_Toc31648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077948C">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_Toc14613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eastAsia="zh" w:bidi="ar"/>
            </w:rPr>
            <w:t xml:space="preserve">（三） </w:t>
          </w:r>
          <w:r>
            <w:rPr>
              <w:rFonts w:hint="default" w:ascii="Times New Roman" w:hAnsi="Times New Roman" w:eastAsia="宋体" w:cs="Times New Roman"/>
              <w:bCs/>
              <w:szCs w:val="21"/>
              <w:lang w:bidi="ar"/>
            </w:rPr>
            <w:t>激励对象资格合规性存疑</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_Toc14613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DCC8AC5">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_Toc8922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bidi="ar"/>
            </w:rPr>
            <w:t xml:space="preserve">（四） </w:t>
          </w:r>
          <w:r>
            <w:rPr>
              <w:rFonts w:hint="default" w:ascii="Times New Roman" w:hAnsi="Times New Roman" w:eastAsia="宋体" w:cs="Times New Roman"/>
              <w:bCs/>
              <w:szCs w:val="21"/>
              <w:lang w:eastAsia="zh" w:bidi="ar"/>
            </w:rPr>
            <w:t>股份</w:t>
          </w:r>
          <w:r>
            <w:rPr>
              <w:rFonts w:hint="default" w:ascii="Times New Roman" w:hAnsi="Times New Roman" w:eastAsia="宋体" w:cs="Times New Roman"/>
              <w:bCs/>
              <w:szCs w:val="21"/>
              <w:lang w:bidi="ar"/>
            </w:rPr>
            <w:t>支付费用计提不充分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_Toc8922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5A0E92B4">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_Toc23948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eastAsia="zh" w:bidi="ar"/>
            </w:rPr>
            <w:t>（五） 大股东资金占用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_Toc23948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A698C41">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_Toc27171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eastAsia="zh" w:bidi="ar"/>
            </w:rPr>
            <w:t>（六） 股东控制人存在关联关系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_Toc27171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234C695">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_Toc24649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val="en-US" w:eastAsia="zh-CN" w:bidi="ar"/>
            </w:rPr>
            <w:t xml:space="preserve">（七） </w:t>
          </w:r>
          <w:r>
            <w:rPr>
              <w:rFonts w:hint="default" w:ascii="Times New Roman" w:hAnsi="Times New Roman" w:eastAsia="宋体" w:cs="Times New Roman"/>
              <w:bCs/>
              <w:szCs w:val="21"/>
              <w:lang w:eastAsia="zh" w:bidi="ar"/>
            </w:rPr>
            <w:t>股东结构的不确定性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_Toc24649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FFDC9C6">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_Toc29761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eastAsia="zh" w:bidi="ar"/>
            </w:rPr>
            <w:t xml:space="preserve">（八） </w:t>
          </w:r>
          <w:r>
            <w:rPr>
              <w:rFonts w:hint="default" w:ascii="Times New Roman" w:hAnsi="Times New Roman" w:eastAsia="宋体" w:cs="Times New Roman"/>
              <w:bCs/>
              <w:szCs w:val="21"/>
              <w:lang w:val="en-US" w:eastAsia="zh-CN" w:bidi="ar"/>
            </w:rPr>
            <w:t>公司</w:t>
          </w:r>
          <w:r>
            <w:rPr>
              <w:rFonts w:hint="default" w:ascii="Times New Roman" w:hAnsi="Times New Roman" w:eastAsia="宋体" w:cs="Times New Roman"/>
              <w:bCs/>
              <w:szCs w:val="21"/>
              <w:lang w:eastAsia="zh" w:bidi="ar"/>
            </w:rPr>
            <w:t>账务处理</w:t>
          </w:r>
          <w:r>
            <w:rPr>
              <w:rFonts w:hint="default" w:ascii="Times New Roman" w:hAnsi="Times New Roman" w:eastAsia="宋体" w:cs="Times New Roman"/>
              <w:bCs/>
              <w:szCs w:val="21"/>
              <w:lang w:val="en-US" w:eastAsia="zh-CN" w:bidi="ar"/>
            </w:rPr>
            <w:t>错误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_Toc29761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E07F58C">
          <w:pPr>
            <w:pStyle w:val="14"/>
            <w:tabs>
              <w:tab w:val="right" w:leader="dot" w:pos="8301"/>
              <w:tab w:val="clear" w:pos="8297"/>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_Toc13965 </w:instrText>
          </w:r>
          <w:r>
            <w:rPr>
              <w:rFonts w:hint="default" w:ascii="Times New Roman" w:hAnsi="Times New Roman" w:cs="Times New Roman"/>
              <w:bCs/>
              <w:lang w:val="zh-CN"/>
            </w:rPr>
            <w:fldChar w:fldCharType="separate"/>
          </w:r>
          <w:r>
            <w:rPr>
              <w:rFonts w:hint="default" w:ascii="Times New Roman" w:hAnsi="Times New Roman" w:eastAsia="宋体" w:cs="Times New Roman"/>
              <w:bCs/>
              <w:szCs w:val="21"/>
              <w:lang w:eastAsia="zh" w:bidi="ar"/>
            </w:rPr>
            <w:t>（九） 内部控制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_Toc13965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B1B137C">
          <w:pPr>
            <w:tabs>
              <w:tab w:val="right" w:leader="dot" w:pos="8297"/>
            </w:tabs>
            <w:spacing w:line="0" w:lineRule="atLeast"/>
            <w:ind w:firstLine="0" w:firstLineChars="0"/>
            <w:rPr>
              <w:rFonts w:hint="default" w:ascii="Times New Roman" w:hAnsi="Times New Roman" w:cs="Times New Roman"/>
              <w:lang w:val="zh-CN"/>
            </w:rPr>
          </w:pPr>
          <w:r>
            <w:rPr>
              <w:rFonts w:hint="default" w:ascii="Times New Roman" w:hAnsi="Times New Roman" w:cs="Times New Roman"/>
              <w:b/>
              <w:bCs/>
              <w:lang w:val="zh-CN"/>
            </w:rPr>
            <w:fldChar w:fldCharType="end"/>
          </w:r>
        </w:p>
      </w:sdtContent>
    </w:sdt>
    <w:p w14:paraId="0678884C">
      <w:pPr>
        <w:widowControl/>
        <w:adjustRightInd/>
        <w:snapToGrid/>
        <w:spacing w:line="240" w:lineRule="auto"/>
        <w:ind w:firstLine="0" w:firstLineChars="0"/>
        <w:jc w:val="left"/>
        <w:rPr>
          <w:rFonts w:hint="default" w:ascii="Times New Roman" w:hAnsi="Times New Roman" w:cs="Times New Roman"/>
          <w:bCs/>
          <w:kern w:val="0"/>
          <w:sz w:val="32"/>
          <w:szCs w:val="32"/>
        </w:rPr>
      </w:pPr>
      <w:r>
        <w:rPr>
          <w:rFonts w:hint="default" w:ascii="Times New Roman" w:hAnsi="Times New Roman" w:cs="Times New Roman"/>
          <w:bCs/>
          <w:kern w:val="0"/>
          <w:sz w:val="32"/>
          <w:szCs w:val="32"/>
        </w:rPr>
        <w:br w:type="page"/>
      </w:r>
    </w:p>
    <w:p w14:paraId="4D265E33">
      <w:pPr>
        <w:pStyle w:val="67"/>
        <w:pageBreakBefore w:val="0"/>
        <w:widowControl w:val="0"/>
        <w:numPr>
          <w:ilvl w:val="0"/>
          <w:numId w:val="1"/>
        </w:numPr>
        <w:kinsoku/>
        <w:wordWrap/>
        <w:overflowPunct/>
        <w:topLinePunct w:val="0"/>
        <w:autoSpaceDE/>
        <w:autoSpaceDN/>
        <w:bidi w:val="0"/>
        <w:adjustRightInd w:val="0"/>
        <w:snapToGrid w:val="0"/>
        <w:spacing w:before="0" w:beforeLines="0" w:after="0" w:afterLines="0" w:line="360" w:lineRule="auto"/>
        <w:ind w:left="0" w:leftChars="0" w:firstLine="420" w:firstLineChars="0"/>
        <w:rPr>
          <w:rFonts w:hint="default" w:ascii="Times New Roman" w:hAnsi="Times New Roman" w:eastAsia="宋体" w:cs="Times New Roman"/>
        </w:rPr>
      </w:pPr>
      <w:bookmarkStart w:id="0" w:name="_Toc31515"/>
      <w:r>
        <w:rPr>
          <w:rFonts w:hint="default" w:ascii="Times New Roman" w:hAnsi="Times New Roman" w:eastAsia="宋体" w:cs="Times New Roman"/>
        </w:rPr>
        <w:t>财务尽调背景情况</w:t>
      </w:r>
      <w:bookmarkEnd w:id="0"/>
    </w:p>
    <w:p w14:paraId="23F704CC">
      <w:pPr>
        <w:pageBreakBefore w:val="0"/>
        <w:widowControl w:val="0"/>
        <w:kinsoku/>
        <w:wordWrap/>
        <w:overflowPunct/>
        <w:topLinePunct w:val="0"/>
        <w:autoSpaceDE/>
        <w:autoSpaceDN/>
        <w:bidi w:val="0"/>
        <w:adjustRightInd w:val="0"/>
        <w:snapToGrid w:val="0"/>
        <w:spacing w:line="360" w:lineRule="auto"/>
        <w:ind w:left="0" w:leftChars="0"/>
        <w:rPr>
          <w:rFonts w:hint="default" w:ascii="Times New Roman" w:hAnsi="Times New Roman" w:eastAsia="宋体" w:cs="Times New Roman"/>
        </w:rPr>
      </w:pPr>
      <w:r>
        <w:rPr>
          <w:rFonts w:hint="default" w:ascii="Times New Roman" w:hAnsi="Times New Roman" w:eastAsia="宋体" w:cs="Times New Roman"/>
          <w:lang w:val="en-US" w:eastAsia="zh-CN"/>
        </w:rPr>
        <w:t>项目</w:t>
      </w:r>
      <w:bookmarkStart w:id="32" w:name="_GoBack"/>
      <w:r>
        <w:rPr>
          <w:rFonts w:hint="default" w:ascii="Times New Roman" w:hAnsi="Times New Roman" w:eastAsia="宋体" w:cs="Times New Roman"/>
          <w:lang w:val="en-US" w:eastAsia="zh-CN"/>
        </w:rPr>
        <w:t>组</w:t>
      </w:r>
      <w:r>
        <w:rPr>
          <w:rFonts w:hint="default" w:ascii="Times New Roman" w:hAnsi="Times New Roman" w:eastAsia="宋体" w:cs="Times New Roman"/>
        </w:rPr>
        <w:t>已对</w:t>
      </w:r>
      <w:r>
        <w:rPr>
          <w:rFonts w:hint="default" w:ascii="Times New Roman" w:hAnsi="Times New Roman" w:cs="Times New Roman"/>
          <w:lang w:eastAsia="zh-CN"/>
        </w:rPr>
        <w:t>无锡贝塔医药科技有限公司</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简称“</w:t>
      </w:r>
      <w:r>
        <w:rPr>
          <w:rFonts w:hint="default" w:ascii="Times New Roman" w:hAnsi="Times New Roman" w:cs="Times New Roman"/>
          <w:lang w:val="en-US" w:eastAsia="zh-CN"/>
        </w:rPr>
        <w:t>贝塔医药</w:t>
      </w:r>
      <w:r>
        <w:rPr>
          <w:rFonts w:hint="default" w:ascii="Times New Roman" w:hAnsi="Times New Roman" w:eastAsia="宋体" w:cs="Times New Roman"/>
          <w:lang w:val="en-US" w:eastAsia="zh-CN"/>
        </w:rPr>
        <w:t>”）</w:t>
      </w:r>
      <w:r>
        <w:rPr>
          <w:rFonts w:hint="default" w:ascii="Times New Roman" w:hAnsi="Times New Roman" w:eastAsia="宋体" w:cs="Times New Roman"/>
        </w:rPr>
        <w:t>进行了</w:t>
      </w:r>
      <w:bookmarkEnd w:id="32"/>
      <w:r>
        <w:rPr>
          <w:rFonts w:hint="default" w:ascii="Times New Roman" w:hAnsi="Times New Roman" w:eastAsia="宋体" w:cs="Times New Roman"/>
        </w:rPr>
        <w:t>现场尽调，主要针对公司截至202</w:t>
      </w:r>
      <w:r>
        <w:rPr>
          <w:rFonts w:hint="default" w:ascii="Times New Roman" w:hAnsi="Times New Roman" w:cs="Times New Roman"/>
          <w:lang w:val="en-US" w:eastAsia="zh-CN"/>
        </w:rPr>
        <w:t>5</w:t>
      </w:r>
      <w:r>
        <w:rPr>
          <w:rFonts w:hint="default" w:ascii="Times New Roman" w:hAnsi="Times New Roman" w:eastAsia="宋体" w:cs="Times New Roman"/>
        </w:rPr>
        <w:t>年</w:t>
      </w:r>
      <w:r>
        <w:rPr>
          <w:rFonts w:hint="default" w:ascii="Times New Roman" w:hAnsi="Times New Roman" w:cs="Times New Roman"/>
          <w:lang w:val="en-US" w:eastAsia="zh-CN"/>
        </w:rPr>
        <w:t>6</w:t>
      </w:r>
      <w:r>
        <w:rPr>
          <w:rFonts w:hint="default" w:ascii="Times New Roman" w:hAnsi="Times New Roman" w:eastAsia="宋体" w:cs="Times New Roman"/>
        </w:rPr>
        <w:t>月</w:t>
      </w:r>
      <w:r>
        <w:rPr>
          <w:rFonts w:hint="default" w:ascii="Times New Roman" w:hAnsi="Times New Roman" w:eastAsia="宋体" w:cs="Times New Roman"/>
          <w:lang w:val="en-US" w:eastAsia="zh-CN"/>
        </w:rPr>
        <w:t>3</w:t>
      </w:r>
      <w:r>
        <w:rPr>
          <w:rFonts w:hint="default" w:ascii="Times New Roman" w:hAnsi="Times New Roman" w:cs="Times New Roman"/>
          <w:lang w:val="en-US" w:eastAsia="zh-CN"/>
        </w:rPr>
        <w:t>0</w:t>
      </w:r>
      <w:r>
        <w:rPr>
          <w:rFonts w:hint="default" w:ascii="Times New Roman" w:hAnsi="Times New Roman" w:eastAsia="宋体" w:cs="Times New Roman"/>
        </w:rPr>
        <w:t>止的三年一期财务数据进行了尽调，并重点关注公司现有盈利能力、财务规范情况以及相关风险。</w:t>
      </w:r>
    </w:p>
    <w:p w14:paraId="4452C343">
      <w:pPr>
        <w:pageBreakBefore w:val="0"/>
        <w:widowControl w:val="0"/>
        <w:kinsoku/>
        <w:wordWrap/>
        <w:overflowPunct/>
        <w:topLinePunct w:val="0"/>
        <w:autoSpaceDE/>
        <w:autoSpaceDN/>
        <w:bidi w:val="0"/>
        <w:adjustRightInd w:val="0"/>
        <w:snapToGrid w:val="0"/>
        <w:spacing w:line="360" w:lineRule="auto"/>
        <w:ind w:left="0" w:leftChars="0"/>
        <w:rPr>
          <w:rFonts w:hint="default" w:ascii="Times New Roman" w:hAnsi="Times New Roman" w:eastAsia="宋体" w:cs="Times New Roman"/>
        </w:rPr>
      </w:pPr>
      <w:r>
        <w:rPr>
          <w:rFonts w:hint="default" w:ascii="Times New Roman" w:hAnsi="Times New Roman" w:cs="Times New Roman"/>
          <w:highlight w:val="none"/>
          <w:lang w:eastAsia="zh-CN"/>
        </w:rPr>
        <w:t>大华会计师事务所 (特殊普通合伙 )</w:t>
      </w:r>
      <w:r>
        <w:rPr>
          <w:rFonts w:hint="default" w:ascii="Times New Roman" w:hAnsi="Times New Roman" w:eastAsia="宋体" w:cs="Times New Roman"/>
        </w:rPr>
        <w:t>已对公司财务进行了财务尽调，我们参考了</w:t>
      </w:r>
      <w:r>
        <w:rPr>
          <w:rFonts w:hint="default" w:ascii="Times New Roman" w:hAnsi="Times New Roman" w:cs="Times New Roman"/>
          <w:lang w:eastAsia="zh-CN"/>
        </w:rPr>
        <w:t>大华会计师事务所 (特殊普通合伙 )</w:t>
      </w:r>
      <w:r>
        <w:rPr>
          <w:rFonts w:hint="default" w:ascii="Times New Roman" w:hAnsi="Times New Roman" w:eastAsia="宋体" w:cs="Times New Roman"/>
        </w:rPr>
        <w:t>出具的针对202</w:t>
      </w:r>
      <w:r>
        <w:rPr>
          <w:rFonts w:hint="default" w:ascii="Times New Roman" w:hAnsi="Times New Roman" w:cs="Times New Roman"/>
          <w:lang w:val="en-US" w:eastAsia="zh-CN"/>
        </w:rPr>
        <w:t>2</w:t>
      </w:r>
      <w:r>
        <w:rPr>
          <w:rFonts w:hint="default" w:ascii="Times New Roman" w:hAnsi="Times New Roman" w:eastAsia="宋体" w:cs="Times New Roman"/>
        </w:rPr>
        <w:t>年至202</w:t>
      </w:r>
      <w:r>
        <w:rPr>
          <w:rFonts w:hint="default" w:ascii="Times New Roman" w:hAnsi="Times New Roman" w:cs="Times New Roman"/>
          <w:lang w:val="en-US" w:eastAsia="zh-CN"/>
        </w:rPr>
        <w:t>5</w:t>
      </w:r>
      <w:r>
        <w:rPr>
          <w:rFonts w:hint="default" w:ascii="Times New Roman" w:hAnsi="Times New Roman" w:eastAsia="宋体" w:cs="Times New Roman"/>
        </w:rPr>
        <w:t>年</w:t>
      </w:r>
      <w:r>
        <w:rPr>
          <w:rFonts w:hint="default" w:ascii="Times New Roman" w:hAnsi="Times New Roman" w:cs="Times New Roman"/>
          <w:lang w:val="en-US" w:eastAsia="zh-CN"/>
        </w:rPr>
        <w:t>6</w:t>
      </w:r>
      <w:r>
        <w:rPr>
          <w:rFonts w:hint="default" w:ascii="Times New Roman" w:hAnsi="Times New Roman" w:eastAsia="宋体" w:cs="Times New Roman"/>
        </w:rPr>
        <w:t>月数据出具的财务尽调报告，并对财务资料进行了审阅。</w:t>
      </w:r>
    </w:p>
    <w:p w14:paraId="0FB6F1C2">
      <w:pPr>
        <w:pageBreakBefore w:val="0"/>
        <w:widowControl w:val="0"/>
        <w:kinsoku/>
        <w:wordWrap/>
        <w:overflowPunct/>
        <w:topLinePunct w:val="0"/>
        <w:autoSpaceDE/>
        <w:autoSpaceDN/>
        <w:bidi w:val="0"/>
        <w:adjustRightInd w:val="0"/>
        <w:snapToGrid w:val="0"/>
        <w:spacing w:line="360" w:lineRule="auto"/>
        <w:ind w:left="0" w:leftChars="0"/>
        <w:rPr>
          <w:rFonts w:hint="default" w:ascii="Times New Roman" w:hAnsi="Times New Roman" w:eastAsia="宋体" w:cs="Times New Roman"/>
        </w:rPr>
      </w:pPr>
      <w:r>
        <w:rPr>
          <w:rFonts w:hint="default" w:ascii="Times New Roman" w:hAnsi="Times New Roman" w:eastAsia="宋体" w:cs="Times New Roman"/>
        </w:rPr>
        <w:t>如无特别说明，单位均为</w:t>
      </w:r>
      <w:r>
        <w:rPr>
          <w:rFonts w:hint="default" w:ascii="Times New Roman" w:hAnsi="Times New Roman" w:cs="Times New Roman"/>
          <w:lang w:val="en-US" w:eastAsia="zh-CN"/>
        </w:rPr>
        <w:t>万</w:t>
      </w:r>
      <w:r>
        <w:rPr>
          <w:rFonts w:hint="default" w:ascii="Times New Roman" w:hAnsi="Times New Roman" w:eastAsia="宋体" w:cs="Times New Roman"/>
        </w:rPr>
        <w:t>元人民币。</w:t>
      </w:r>
    </w:p>
    <w:p w14:paraId="4C8D9D1F">
      <w:pPr>
        <w:pStyle w:val="67"/>
        <w:pageBreakBefore w:val="0"/>
        <w:widowControl w:val="0"/>
        <w:numPr>
          <w:ilvl w:val="0"/>
          <w:numId w:val="1"/>
        </w:numPr>
        <w:kinsoku/>
        <w:wordWrap/>
        <w:overflowPunct/>
        <w:topLinePunct w:val="0"/>
        <w:autoSpaceDE/>
        <w:autoSpaceDN/>
        <w:bidi w:val="0"/>
        <w:adjustRightInd w:val="0"/>
        <w:snapToGrid w:val="0"/>
        <w:spacing w:before="0" w:beforeLines="0" w:after="0" w:afterLines="0" w:line="360" w:lineRule="auto"/>
        <w:ind w:left="0" w:leftChars="0" w:firstLine="420" w:firstLineChars="0"/>
        <w:rPr>
          <w:rFonts w:hint="default" w:ascii="Times New Roman" w:hAnsi="Times New Roman" w:eastAsia="宋体" w:cs="Times New Roman"/>
        </w:rPr>
      </w:pPr>
      <w:bookmarkStart w:id="1" w:name="_Toc32737"/>
      <w:r>
        <w:rPr>
          <w:rFonts w:hint="default" w:ascii="Times New Roman" w:hAnsi="Times New Roman" w:eastAsia="宋体" w:cs="Times New Roman"/>
        </w:rPr>
        <w:t>主要尽调事项</w:t>
      </w:r>
      <w:bookmarkEnd w:id="1"/>
    </w:p>
    <w:p w14:paraId="0078A2A4">
      <w:pPr>
        <w:pStyle w:val="68"/>
        <w:pageBreakBefore w:val="0"/>
        <w:widowControl w:val="0"/>
        <w:numPr>
          <w:ilvl w:val="0"/>
          <w:numId w:val="2"/>
        </w:numPr>
        <w:kinsoku/>
        <w:wordWrap/>
        <w:overflowPunct/>
        <w:topLinePunct w:val="0"/>
        <w:autoSpaceDE/>
        <w:autoSpaceDN/>
        <w:bidi w:val="0"/>
        <w:adjustRightInd w:val="0"/>
        <w:snapToGrid w:val="0"/>
        <w:spacing w:before="0" w:beforeLines="0" w:after="0" w:afterLines="0" w:line="360" w:lineRule="auto"/>
        <w:ind w:left="0" w:leftChars="0" w:firstLine="420" w:firstLineChars="0"/>
        <w:textAlignment w:val="auto"/>
        <w:rPr>
          <w:rFonts w:hint="default" w:ascii="Times New Roman" w:hAnsi="Times New Roman" w:eastAsia="宋体" w:cs="Times New Roman"/>
        </w:rPr>
      </w:pPr>
      <w:bookmarkStart w:id="2" w:name="_Toc22340"/>
      <w:r>
        <w:rPr>
          <w:rFonts w:hint="default" w:ascii="Times New Roman" w:hAnsi="Times New Roman" w:eastAsia="宋体" w:cs="Times New Roman"/>
        </w:rPr>
        <w:t>收入及利润变动情况</w:t>
      </w:r>
      <w:bookmarkEnd w:id="2"/>
    </w:p>
    <w:p w14:paraId="6D0006C9">
      <w:pPr>
        <w:pStyle w:val="69"/>
        <w:pageBreakBefore w:val="0"/>
        <w:widowControl w:val="0"/>
        <w:kinsoku/>
        <w:wordWrap/>
        <w:overflowPunct/>
        <w:topLinePunct w:val="0"/>
        <w:autoSpaceDE/>
        <w:autoSpaceDN/>
        <w:bidi w:val="0"/>
        <w:adjustRightInd w:val="0"/>
        <w:snapToGrid w:val="0"/>
        <w:spacing w:before="0" w:beforeLines="0" w:after="0" w:afterLines="0" w:line="360" w:lineRule="auto"/>
        <w:ind w:left="0" w:leftChars="0" w:firstLine="48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1、标的公司主要损益数据情况</w:t>
      </w:r>
    </w:p>
    <w:p w14:paraId="1DEC57DA">
      <w:pPr>
        <w:pageBreakBefore w:val="0"/>
        <w:widowControl w:val="0"/>
        <w:kinsoku/>
        <w:wordWrap/>
        <w:overflowPunct/>
        <w:topLinePunct w:val="0"/>
        <w:autoSpaceDE/>
        <w:autoSpaceDN/>
        <w:bidi w:val="0"/>
        <w:adjustRightInd w:val="0"/>
        <w:snapToGrid w:val="0"/>
        <w:spacing w:line="360" w:lineRule="auto"/>
        <w:ind w:left="0" w:left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标的公司三年一期主要损益数据如下：</w:t>
      </w:r>
    </w:p>
    <w:p w14:paraId="1DC5600B">
      <w:pPr>
        <w:pStyle w:val="33"/>
        <w:pageBreakBefore w:val="0"/>
        <w:widowControl w:val="0"/>
        <w:kinsoku/>
        <w:wordWrap/>
        <w:overflowPunct/>
        <w:topLinePunct w:val="0"/>
        <w:autoSpaceDE/>
        <w:autoSpaceDN/>
        <w:bidi w:val="0"/>
        <w:adjustRightInd w:val="0"/>
        <w:snapToGrid w:val="0"/>
        <w:spacing w:before="0" w:beforeLines="0" w:after="0" w:afterLines="0" w:line="360" w:lineRule="auto"/>
        <w:ind w:left="0" w:leftChars="0" w:firstLine="400"/>
        <w:jc w:val="righ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单位：</w:t>
      </w:r>
      <w:r>
        <w:rPr>
          <w:rFonts w:hint="default" w:ascii="Times New Roman" w:hAnsi="Times New Roman" w:cs="Times New Roman"/>
          <w:sz w:val="24"/>
          <w:szCs w:val="24"/>
          <w:lang w:val="en-US" w:eastAsia="zh-CN"/>
        </w:rPr>
        <w:t>万</w:t>
      </w:r>
      <w:r>
        <w:rPr>
          <w:rFonts w:hint="default" w:ascii="Times New Roman" w:hAnsi="Times New Roman" w:eastAsia="宋体" w:cs="Times New Roman"/>
          <w:sz w:val="24"/>
          <w:szCs w:val="24"/>
        </w:rPr>
        <w:t>元</w:t>
      </w:r>
    </w:p>
    <w:tbl>
      <w:tblPr>
        <w:tblStyle w:val="35"/>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694"/>
        <w:gridCol w:w="1696"/>
        <w:gridCol w:w="1696"/>
        <w:gridCol w:w="1697"/>
      </w:tblGrid>
      <w:tr w14:paraId="79EA44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018" w:type="pct"/>
            <w:shd w:val="clear" w:color="auto" w:fill="auto"/>
            <w:noWrap/>
            <w:vAlign w:val="center"/>
          </w:tcPr>
          <w:p w14:paraId="347ECA80">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项目</w:t>
            </w:r>
          </w:p>
        </w:tc>
        <w:tc>
          <w:tcPr>
            <w:tcW w:w="994" w:type="pct"/>
            <w:shd w:val="clear" w:color="auto" w:fill="auto"/>
            <w:noWrap/>
            <w:vAlign w:val="center"/>
          </w:tcPr>
          <w:p w14:paraId="7F2B58CD">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202</w:t>
            </w:r>
            <w:r>
              <w:rPr>
                <w:rFonts w:hint="default" w:ascii="Times New Roman" w:hAnsi="Times New Roman" w:cs="Times New Roman"/>
                <w:b/>
                <w:bCs/>
                <w:kern w:val="0"/>
                <w:sz w:val="21"/>
                <w:szCs w:val="21"/>
                <w:lang w:val="en-US" w:eastAsia="zh-CN"/>
              </w:rPr>
              <w:t>2</w:t>
            </w:r>
            <w:r>
              <w:rPr>
                <w:rFonts w:hint="default" w:ascii="Times New Roman" w:hAnsi="Times New Roman" w:eastAsia="宋体" w:cs="Times New Roman"/>
                <w:b/>
                <w:bCs/>
                <w:kern w:val="0"/>
                <w:sz w:val="21"/>
                <w:szCs w:val="21"/>
              </w:rPr>
              <w:t>年度</w:t>
            </w:r>
          </w:p>
        </w:tc>
        <w:tc>
          <w:tcPr>
            <w:tcW w:w="995" w:type="pct"/>
            <w:shd w:val="clear" w:color="auto" w:fill="auto"/>
            <w:noWrap/>
            <w:vAlign w:val="center"/>
          </w:tcPr>
          <w:p w14:paraId="3CFABB8A">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202</w:t>
            </w:r>
            <w:r>
              <w:rPr>
                <w:rFonts w:hint="default" w:ascii="Times New Roman" w:hAnsi="Times New Roman" w:cs="Times New Roman"/>
                <w:b/>
                <w:bCs/>
                <w:kern w:val="0"/>
                <w:sz w:val="21"/>
                <w:szCs w:val="21"/>
                <w:lang w:val="en-US" w:eastAsia="zh-CN"/>
              </w:rPr>
              <w:t>3</w:t>
            </w:r>
            <w:r>
              <w:rPr>
                <w:rFonts w:hint="default" w:ascii="Times New Roman" w:hAnsi="Times New Roman" w:eastAsia="宋体" w:cs="Times New Roman"/>
                <w:b/>
                <w:bCs/>
                <w:kern w:val="0"/>
                <w:sz w:val="21"/>
                <w:szCs w:val="21"/>
              </w:rPr>
              <w:t>年度</w:t>
            </w:r>
          </w:p>
        </w:tc>
        <w:tc>
          <w:tcPr>
            <w:tcW w:w="995" w:type="pct"/>
            <w:shd w:val="clear" w:color="auto" w:fill="auto"/>
            <w:noWrap/>
            <w:vAlign w:val="center"/>
          </w:tcPr>
          <w:p w14:paraId="79F97BC4">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202</w:t>
            </w:r>
            <w:r>
              <w:rPr>
                <w:rFonts w:hint="default" w:ascii="Times New Roman" w:hAnsi="Times New Roman" w:cs="Times New Roman"/>
                <w:b/>
                <w:bCs/>
                <w:kern w:val="0"/>
                <w:sz w:val="21"/>
                <w:szCs w:val="21"/>
                <w:lang w:val="en-US" w:eastAsia="zh-CN"/>
              </w:rPr>
              <w:t>4</w:t>
            </w:r>
            <w:r>
              <w:rPr>
                <w:rFonts w:hint="default" w:ascii="Times New Roman" w:hAnsi="Times New Roman" w:eastAsia="宋体" w:cs="Times New Roman"/>
                <w:b/>
                <w:bCs/>
                <w:kern w:val="0"/>
                <w:sz w:val="21"/>
                <w:szCs w:val="21"/>
              </w:rPr>
              <w:t>年度</w:t>
            </w:r>
          </w:p>
        </w:tc>
        <w:tc>
          <w:tcPr>
            <w:tcW w:w="995" w:type="pct"/>
            <w:shd w:val="clear" w:color="auto" w:fill="auto"/>
            <w:noWrap/>
            <w:vAlign w:val="center"/>
          </w:tcPr>
          <w:p w14:paraId="730DF7D9">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202</w:t>
            </w:r>
            <w:r>
              <w:rPr>
                <w:rFonts w:hint="default" w:ascii="Times New Roman" w:hAnsi="Times New Roman" w:cs="Times New Roman"/>
                <w:b/>
                <w:bCs/>
                <w:kern w:val="0"/>
                <w:sz w:val="21"/>
                <w:szCs w:val="21"/>
                <w:lang w:val="en-US" w:eastAsia="zh-CN"/>
              </w:rPr>
              <w:t>5</w:t>
            </w:r>
            <w:r>
              <w:rPr>
                <w:rFonts w:hint="default" w:ascii="Times New Roman" w:hAnsi="Times New Roman" w:eastAsia="宋体" w:cs="Times New Roman"/>
                <w:b/>
                <w:bCs/>
                <w:kern w:val="0"/>
                <w:sz w:val="21"/>
                <w:szCs w:val="21"/>
              </w:rPr>
              <w:t>年1-</w:t>
            </w:r>
            <w:r>
              <w:rPr>
                <w:rFonts w:hint="default" w:ascii="Times New Roman" w:hAnsi="Times New Roman" w:cs="Times New Roman"/>
                <w:b/>
                <w:bCs/>
                <w:kern w:val="0"/>
                <w:sz w:val="21"/>
                <w:szCs w:val="21"/>
                <w:lang w:val="en-US" w:eastAsia="zh-CN"/>
              </w:rPr>
              <w:t>6</w:t>
            </w:r>
            <w:r>
              <w:rPr>
                <w:rFonts w:hint="default" w:ascii="Times New Roman" w:hAnsi="Times New Roman" w:eastAsia="宋体" w:cs="Times New Roman"/>
                <w:b/>
                <w:bCs/>
                <w:kern w:val="0"/>
                <w:sz w:val="21"/>
                <w:szCs w:val="21"/>
              </w:rPr>
              <w:t>月</w:t>
            </w:r>
          </w:p>
        </w:tc>
      </w:tr>
      <w:tr w14:paraId="004BBC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18" w:type="pct"/>
            <w:shd w:val="clear" w:color="auto" w:fill="auto"/>
            <w:noWrap/>
            <w:vAlign w:val="center"/>
          </w:tcPr>
          <w:p w14:paraId="2B53E342">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营业收入</w:t>
            </w:r>
          </w:p>
        </w:tc>
        <w:tc>
          <w:tcPr>
            <w:tcW w:w="1694" w:type="dxa"/>
            <w:shd w:val="clear" w:color="auto" w:fill="auto"/>
            <w:noWrap/>
            <w:vAlign w:val="center"/>
          </w:tcPr>
          <w:p w14:paraId="4C422A5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2,879.78</w:t>
            </w:r>
          </w:p>
        </w:tc>
        <w:tc>
          <w:tcPr>
            <w:tcW w:w="1696" w:type="dxa"/>
            <w:shd w:val="clear" w:color="auto" w:fill="auto"/>
            <w:noWrap/>
            <w:vAlign w:val="center"/>
          </w:tcPr>
          <w:p w14:paraId="215E99B5">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3,018.06</w:t>
            </w:r>
          </w:p>
        </w:tc>
        <w:tc>
          <w:tcPr>
            <w:tcW w:w="1696" w:type="dxa"/>
            <w:shd w:val="clear" w:color="auto" w:fill="auto"/>
            <w:noWrap/>
            <w:vAlign w:val="center"/>
          </w:tcPr>
          <w:p w14:paraId="453B694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2,474.60</w:t>
            </w:r>
          </w:p>
        </w:tc>
        <w:tc>
          <w:tcPr>
            <w:tcW w:w="1697" w:type="dxa"/>
            <w:shd w:val="clear" w:color="auto" w:fill="auto"/>
            <w:noWrap/>
            <w:vAlign w:val="center"/>
          </w:tcPr>
          <w:p w14:paraId="1342AF4C">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609.86</w:t>
            </w:r>
          </w:p>
        </w:tc>
      </w:tr>
      <w:tr w14:paraId="4B7921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18" w:type="pct"/>
            <w:shd w:val="clear" w:color="auto" w:fill="auto"/>
            <w:noWrap/>
            <w:vAlign w:val="center"/>
          </w:tcPr>
          <w:p w14:paraId="7491BF97">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营业成本</w:t>
            </w:r>
          </w:p>
        </w:tc>
        <w:tc>
          <w:tcPr>
            <w:tcW w:w="1694" w:type="dxa"/>
            <w:shd w:val="clear" w:color="auto" w:fill="auto"/>
            <w:noWrap/>
            <w:vAlign w:val="center"/>
          </w:tcPr>
          <w:p w14:paraId="166FEB0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948.10</w:t>
            </w:r>
          </w:p>
        </w:tc>
        <w:tc>
          <w:tcPr>
            <w:tcW w:w="1696" w:type="dxa"/>
            <w:shd w:val="clear" w:color="auto" w:fill="auto"/>
            <w:noWrap/>
            <w:vAlign w:val="center"/>
          </w:tcPr>
          <w:p w14:paraId="5E987EC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1,039.77</w:t>
            </w:r>
          </w:p>
        </w:tc>
        <w:tc>
          <w:tcPr>
            <w:tcW w:w="1696" w:type="dxa"/>
            <w:shd w:val="clear" w:color="auto" w:fill="auto"/>
            <w:noWrap/>
            <w:vAlign w:val="center"/>
          </w:tcPr>
          <w:p w14:paraId="1B446F3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1,091.21</w:t>
            </w:r>
          </w:p>
        </w:tc>
        <w:tc>
          <w:tcPr>
            <w:tcW w:w="1697" w:type="dxa"/>
            <w:shd w:val="clear" w:color="auto" w:fill="auto"/>
            <w:noWrap/>
            <w:vAlign w:val="center"/>
          </w:tcPr>
          <w:p w14:paraId="2B6B391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371.24</w:t>
            </w:r>
          </w:p>
        </w:tc>
      </w:tr>
      <w:tr w14:paraId="55FD9F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018" w:type="pct"/>
            <w:shd w:val="clear" w:color="auto" w:fill="auto"/>
            <w:noWrap/>
            <w:vAlign w:val="center"/>
          </w:tcPr>
          <w:p w14:paraId="32B635BE">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kern w:val="0"/>
                <w:sz w:val="21"/>
                <w:szCs w:val="21"/>
                <w:lang w:val="en-US" w:eastAsia="zh-CN"/>
              </w:rPr>
            </w:pPr>
            <w:r>
              <w:rPr>
                <w:rFonts w:hint="default" w:ascii="Times New Roman" w:hAnsi="Times New Roman" w:eastAsia="宋体" w:cs="Times New Roman"/>
                <w:kern w:val="0"/>
                <w:sz w:val="21"/>
                <w:szCs w:val="21"/>
                <w:lang w:val="en-US" w:eastAsia="zh-CN"/>
              </w:rPr>
              <w:t>毛利润</w:t>
            </w:r>
          </w:p>
        </w:tc>
        <w:tc>
          <w:tcPr>
            <w:tcW w:w="1694" w:type="dxa"/>
            <w:shd w:val="clear" w:color="auto" w:fill="auto"/>
            <w:noWrap/>
            <w:vAlign w:val="center"/>
          </w:tcPr>
          <w:p w14:paraId="532AEC7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 xml:space="preserve"> 1,931.68 </w:t>
            </w:r>
          </w:p>
        </w:tc>
        <w:tc>
          <w:tcPr>
            <w:tcW w:w="1696" w:type="dxa"/>
            <w:shd w:val="clear" w:color="auto" w:fill="auto"/>
            <w:noWrap/>
            <w:vAlign w:val="center"/>
          </w:tcPr>
          <w:p w14:paraId="0EBE2EA4">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 xml:space="preserve"> 1,978.29 </w:t>
            </w:r>
          </w:p>
        </w:tc>
        <w:tc>
          <w:tcPr>
            <w:tcW w:w="1696" w:type="dxa"/>
            <w:shd w:val="clear" w:color="auto" w:fill="auto"/>
            <w:noWrap/>
            <w:vAlign w:val="center"/>
          </w:tcPr>
          <w:p w14:paraId="66083A1A">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 xml:space="preserve"> 1,383.38 </w:t>
            </w:r>
          </w:p>
        </w:tc>
        <w:tc>
          <w:tcPr>
            <w:tcW w:w="1697" w:type="dxa"/>
            <w:shd w:val="clear" w:color="auto" w:fill="auto"/>
            <w:noWrap/>
            <w:vAlign w:val="center"/>
          </w:tcPr>
          <w:p w14:paraId="3771F0E7">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 xml:space="preserve"> 238.63 </w:t>
            </w:r>
          </w:p>
        </w:tc>
      </w:tr>
      <w:tr w14:paraId="2EB056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18" w:type="pct"/>
            <w:shd w:val="clear" w:color="auto" w:fill="auto"/>
            <w:noWrap/>
            <w:vAlign w:val="center"/>
          </w:tcPr>
          <w:p w14:paraId="0113CE5C">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净利润</w:t>
            </w:r>
          </w:p>
        </w:tc>
        <w:tc>
          <w:tcPr>
            <w:tcW w:w="1694" w:type="dxa"/>
            <w:shd w:val="clear" w:color="auto" w:fill="auto"/>
            <w:noWrap/>
            <w:vAlign w:val="center"/>
          </w:tcPr>
          <w:p w14:paraId="6FE05B10">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764.24</w:t>
            </w:r>
          </w:p>
        </w:tc>
        <w:tc>
          <w:tcPr>
            <w:tcW w:w="1696" w:type="dxa"/>
            <w:shd w:val="clear" w:color="auto" w:fill="auto"/>
            <w:noWrap/>
            <w:vAlign w:val="center"/>
          </w:tcPr>
          <w:p w14:paraId="0D12652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514.53</w:t>
            </w:r>
          </w:p>
        </w:tc>
        <w:tc>
          <w:tcPr>
            <w:tcW w:w="1696" w:type="dxa"/>
            <w:shd w:val="clear" w:color="auto" w:fill="auto"/>
            <w:noWrap/>
            <w:vAlign w:val="center"/>
          </w:tcPr>
          <w:p w14:paraId="15BE9329">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-194.13</w:t>
            </w:r>
          </w:p>
        </w:tc>
        <w:tc>
          <w:tcPr>
            <w:tcW w:w="1697" w:type="dxa"/>
            <w:shd w:val="clear" w:color="auto" w:fill="auto"/>
            <w:noWrap/>
            <w:vAlign w:val="center"/>
          </w:tcPr>
          <w:p w14:paraId="4B203C26">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-744.13</w:t>
            </w:r>
          </w:p>
        </w:tc>
      </w:tr>
      <w:tr w14:paraId="4201A5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18" w:type="pct"/>
            <w:shd w:val="clear" w:color="auto" w:fill="auto"/>
            <w:noWrap/>
            <w:vAlign w:val="center"/>
          </w:tcPr>
          <w:p w14:paraId="3DFCA82A">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毛利率</w:t>
            </w:r>
          </w:p>
        </w:tc>
        <w:tc>
          <w:tcPr>
            <w:tcW w:w="1694" w:type="dxa"/>
            <w:shd w:val="clear" w:color="auto" w:fill="auto"/>
            <w:noWrap/>
            <w:vAlign w:val="center"/>
          </w:tcPr>
          <w:p w14:paraId="20CC37BD">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67.08%</w:t>
            </w:r>
          </w:p>
        </w:tc>
        <w:tc>
          <w:tcPr>
            <w:tcW w:w="1696" w:type="dxa"/>
            <w:shd w:val="clear" w:color="auto" w:fill="auto"/>
            <w:noWrap/>
            <w:vAlign w:val="center"/>
          </w:tcPr>
          <w:p w14:paraId="55831763">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65.55%</w:t>
            </w:r>
          </w:p>
        </w:tc>
        <w:tc>
          <w:tcPr>
            <w:tcW w:w="1696" w:type="dxa"/>
            <w:shd w:val="clear" w:color="auto" w:fill="auto"/>
            <w:noWrap/>
            <w:vAlign w:val="center"/>
          </w:tcPr>
          <w:p w14:paraId="212526FB">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55.90%</w:t>
            </w:r>
          </w:p>
        </w:tc>
        <w:tc>
          <w:tcPr>
            <w:tcW w:w="1697" w:type="dxa"/>
            <w:shd w:val="clear" w:color="auto" w:fill="auto"/>
            <w:noWrap/>
            <w:vAlign w:val="center"/>
          </w:tcPr>
          <w:p w14:paraId="295521E2">
            <w:pPr>
              <w:keepNext w:val="0"/>
              <w:keepLines w:val="0"/>
              <w:pageBreakBefore w:val="0"/>
              <w:widowControl/>
              <w:suppressLineNumbers w:val="0"/>
              <w:kinsoku/>
              <w:wordWrap/>
              <w:overflowPunct/>
              <w:topLinePunct w:val="0"/>
              <w:autoSpaceDE/>
              <w:autoSpaceDN/>
              <w:bidi w:val="0"/>
              <w:adjustRightInd w:val="0"/>
              <w:snapToGrid w:val="0"/>
              <w:spacing w:line="240" w:lineRule="auto"/>
              <w:ind w:left="0" w:leftChars="0" w:firstLine="0" w:firstLineChars="0"/>
              <w:jc w:val="right"/>
              <w:textAlignment w:val="auto"/>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39.13%</w:t>
            </w:r>
          </w:p>
        </w:tc>
      </w:tr>
    </w:tbl>
    <w:p w14:paraId="6AC2550F">
      <w:pPr>
        <w:pStyle w:val="69"/>
        <w:pageBreakBefore w:val="0"/>
        <w:widowControl w:val="0"/>
        <w:kinsoku/>
        <w:wordWrap/>
        <w:overflowPunct/>
        <w:topLinePunct w:val="0"/>
        <w:autoSpaceDE/>
        <w:autoSpaceDN/>
        <w:bidi w:val="0"/>
        <w:adjustRightInd w:val="0"/>
        <w:snapToGrid w:val="0"/>
        <w:spacing w:before="0" w:beforeLines="0" w:after="0" w:afterLines="0" w:line="360" w:lineRule="auto"/>
        <w:ind w:right="0" w:rightChars="0" w:firstLine="482"/>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2、收入变动情况</w:t>
      </w:r>
    </w:p>
    <w:p w14:paraId="385D674E">
      <w:pPr>
        <w:pageBreakBefore w:val="0"/>
        <w:widowControl w:val="0"/>
        <w:kinsoku/>
        <w:wordWrap/>
        <w:overflowPunct/>
        <w:topLinePunct w:val="0"/>
        <w:autoSpaceDE/>
        <w:autoSpaceDN/>
        <w:bidi w:val="0"/>
        <w:adjustRightInd w:val="0"/>
        <w:snapToGrid w:val="0"/>
        <w:spacing w:line="360" w:lineRule="auto"/>
        <w:ind w:left="0" w:leftChars="0" w:right="0" w:rightChars="0"/>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公司收入</w:t>
      </w:r>
      <w:r>
        <w:rPr>
          <w:rFonts w:hint="default" w:ascii="Times New Roman" w:hAnsi="Times New Roman" w:eastAsia="宋体" w:cs="Times New Roman"/>
          <w:sz w:val="24"/>
          <w:szCs w:val="24"/>
          <w:lang w:val="en-US" w:eastAsia="zh-CN"/>
        </w:rPr>
        <w:t>从2022年的</w:t>
      </w:r>
      <w:r>
        <w:rPr>
          <w:rFonts w:hint="default" w:ascii="Times New Roman" w:hAnsi="Times New Roman" w:cs="Times New Roman"/>
          <w:sz w:val="24"/>
          <w:szCs w:val="24"/>
          <w:lang w:val="en-US" w:eastAsia="zh-CN"/>
        </w:rPr>
        <w:t>2879.78</w:t>
      </w:r>
      <w:r>
        <w:rPr>
          <w:rFonts w:hint="default" w:ascii="Times New Roman" w:hAnsi="Times New Roman" w:eastAsia="宋体" w:cs="Times New Roman"/>
          <w:sz w:val="24"/>
          <w:szCs w:val="24"/>
          <w:lang w:val="en-US" w:eastAsia="zh-CN"/>
        </w:rPr>
        <w:t>万元</w:t>
      </w:r>
      <w:r>
        <w:rPr>
          <w:rFonts w:hint="default" w:ascii="Times New Roman" w:hAnsi="Times New Roman" w:cs="Times New Roman"/>
          <w:sz w:val="24"/>
          <w:szCs w:val="24"/>
          <w:lang w:val="en-US" w:eastAsia="zh-CN"/>
        </w:rPr>
        <w:t>先增加至2023年的3,018.06万元，之后</w:t>
      </w:r>
      <w:r>
        <w:rPr>
          <w:rFonts w:hint="default" w:ascii="Times New Roman" w:hAnsi="Times New Roman" w:eastAsia="宋体" w:cs="Times New Roman"/>
          <w:sz w:val="24"/>
          <w:szCs w:val="24"/>
          <w:lang w:val="en-US" w:eastAsia="zh-CN"/>
        </w:rPr>
        <w:t>下降至2024年的</w:t>
      </w:r>
      <w:r>
        <w:rPr>
          <w:rFonts w:hint="default" w:ascii="Times New Roman" w:hAnsi="Times New Roman" w:cs="Times New Roman"/>
          <w:sz w:val="24"/>
          <w:szCs w:val="24"/>
          <w:lang w:val="en-US" w:eastAsia="zh-CN"/>
        </w:rPr>
        <w:t>2</w:t>
      </w:r>
      <w:r>
        <w:rPr>
          <w:rFonts w:hint="default" w:ascii="Times New Roman" w:hAnsi="Times New Roman" w:eastAsia="宋体" w:cs="Times New Roman"/>
          <w:sz w:val="24"/>
          <w:szCs w:val="24"/>
          <w:lang w:val="en-US" w:eastAsia="zh-CN"/>
        </w:rPr>
        <w:t>,</w:t>
      </w:r>
      <w:r>
        <w:rPr>
          <w:rFonts w:hint="default" w:ascii="Times New Roman" w:hAnsi="Times New Roman" w:cs="Times New Roman"/>
          <w:sz w:val="24"/>
          <w:szCs w:val="24"/>
          <w:lang w:val="en-US" w:eastAsia="zh-CN"/>
        </w:rPr>
        <w:t>474</w:t>
      </w:r>
      <w:r>
        <w:rPr>
          <w:rFonts w:hint="default" w:ascii="Times New Roman" w:hAnsi="Times New Roman" w:eastAsia="宋体" w:cs="Times New Roman"/>
          <w:sz w:val="24"/>
          <w:szCs w:val="24"/>
          <w:lang w:val="en-US" w:eastAsia="zh-CN"/>
        </w:rPr>
        <w:t>.</w:t>
      </w:r>
      <w:r>
        <w:rPr>
          <w:rFonts w:hint="default" w:ascii="Times New Roman" w:hAnsi="Times New Roman" w:cs="Times New Roman"/>
          <w:sz w:val="24"/>
          <w:szCs w:val="24"/>
          <w:lang w:val="en-US" w:eastAsia="zh-CN"/>
        </w:rPr>
        <w:t>6</w:t>
      </w:r>
      <w:r>
        <w:rPr>
          <w:rFonts w:hint="default" w:ascii="Times New Roman" w:hAnsi="Times New Roman" w:eastAsia="宋体" w:cs="Times New Roman"/>
          <w:sz w:val="24"/>
          <w:szCs w:val="24"/>
          <w:lang w:val="en-US" w:eastAsia="zh-CN"/>
        </w:rPr>
        <w:t>万元</w:t>
      </w:r>
      <w:r>
        <w:rPr>
          <w:rFonts w:hint="default" w:ascii="Times New Roman" w:hAnsi="Times New Roman" w:cs="Times New Roman"/>
          <w:sz w:val="24"/>
          <w:szCs w:val="24"/>
          <w:lang w:val="en-US" w:eastAsia="zh-CN"/>
        </w:rPr>
        <w:t>，毛利率也持续下降，主要原因是自2023年下半年以来，医药行业景气度下降，客户标记需求减少，单价降低</w:t>
      </w:r>
      <w:r>
        <w:rPr>
          <w:rFonts w:hint="default" w:ascii="Times New Roman" w:hAnsi="Times New Roman" w:eastAsia="宋体" w:cs="Times New Roman"/>
          <w:sz w:val="24"/>
          <w:szCs w:val="24"/>
          <w:lang w:val="en-US" w:eastAsia="zh-CN"/>
        </w:rPr>
        <w:t>。2025年</w:t>
      </w:r>
      <w:r>
        <w:rPr>
          <w:rFonts w:hint="default" w:ascii="Times New Roman" w:hAnsi="Times New Roman" w:cs="Times New Roman"/>
          <w:sz w:val="24"/>
          <w:szCs w:val="24"/>
          <w:lang w:val="en-US" w:eastAsia="zh-CN"/>
        </w:rPr>
        <w:t>1-6月</w:t>
      </w:r>
      <w:r>
        <w:rPr>
          <w:rFonts w:hint="default" w:ascii="Times New Roman" w:hAnsi="Times New Roman" w:eastAsia="宋体" w:cs="Times New Roman"/>
          <w:sz w:val="24"/>
          <w:szCs w:val="24"/>
          <w:lang w:val="en-US" w:eastAsia="zh-CN"/>
        </w:rPr>
        <w:t>，</w:t>
      </w:r>
      <w:r>
        <w:rPr>
          <w:rFonts w:hint="default" w:ascii="Times New Roman" w:hAnsi="Times New Roman" w:cs="Times New Roman"/>
          <w:sz w:val="24"/>
          <w:szCs w:val="24"/>
          <w:lang w:val="en-US" w:eastAsia="zh-CN"/>
        </w:rPr>
        <w:t>公司</w:t>
      </w:r>
      <w:r>
        <w:rPr>
          <w:rFonts w:hint="default" w:ascii="Times New Roman" w:hAnsi="Times New Roman" w:eastAsia="宋体" w:cs="Times New Roman"/>
          <w:sz w:val="24"/>
          <w:szCs w:val="24"/>
          <w:lang w:val="en-US" w:eastAsia="zh-CN"/>
        </w:rPr>
        <w:t>收入</w:t>
      </w:r>
      <w:r>
        <w:rPr>
          <w:rFonts w:hint="default" w:ascii="Times New Roman" w:hAnsi="Times New Roman" w:cs="Times New Roman"/>
          <w:sz w:val="24"/>
          <w:szCs w:val="24"/>
          <w:lang w:val="en-US" w:eastAsia="zh-CN"/>
        </w:rPr>
        <w:t>609.86</w:t>
      </w:r>
      <w:r>
        <w:rPr>
          <w:rFonts w:hint="default" w:ascii="Times New Roman" w:hAnsi="Times New Roman" w:eastAsia="宋体" w:cs="Times New Roman"/>
          <w:sz w:val="24"/>
          <w:szCs w:val="24"/>
          <w:lang w:val="en-US" w:eastAsia="zh-CN"/>
        </w:rPr>
        <w:t>万元，</w:t>
      </w:r>
      <w:r>
        <w:rPr>
          <w:rFonts w:hint="default" w:ascii="Times New Roman" w:hAnsi="Times New Roman" w:cs="Times New Roman"/>
          <w:sz w:val="24"/>
          <w:szCs w:val="24"/>
          <w:lang w:val="en-US" w:eastAsia="zh-CN"/>
        </w:rPr>
        <w:t>较2024年1-6月减少235.61万元，主要原因是2024年上半年无锡贝塔完成了两个农药大单</w:t>
      </w:r>
      <w:r>
        <w:rPr>
          <w:rFonts w:hint="default" w:ascii="Times New Roman" w:hAnsi="Times New Roman" w:eastAsia="宋体" w:cs="Times New Roman"/>
          <w:sz w:val="24"/>
          <w:szCs w:val="24"/>
          <w:lang w:val="en-US" w:eastAsia="zh-CN"/>
        </w:rPr>
        <w:t>。</w:t>
      </w:r>
    </w:p>
    <w:p w14:paraId="48F2A4B3">
      <w:pPr>
        <w:pStyle w:val="68"/>
        <w:pageBreakBefore w:val="0"/>
        <w:widowControl w:val="0"/>
        <w:numPr>
          <w:ilvl w:val="0"/>
          <w:numId w:val="2"/>
        </w:numPr>
        <w:kinsoku/>
        <w:wordWrap/>
        <w:overflowPunct/>
        <w:topLinePunct w:val="0"/>
        <w:autoSpaceDE/>
        <w:autoSpaceDN/>
        <w:bidi w:val="0"/>
        <w:adjustRightInd w:val="0"/>
        <w:snapToGrid w:val="0"/>
        <w:spacing w:before="0" w:beforeLines="0" w:after="0" w:afterLines="0" w:line="360" w:lineRule="auto"/>
        <w:ind w:left="0" w:leftChars="0" w:firstLine="420" w:firstLineChars="0"/>
        <w:textAlignment w:val="auto"/>
        <w:rPr>
          <w:rFonts w:hint="default" w:ascii="Times New Roman" w:hAnsi="Times New Roman" w:eastAsia="宋体" w:cs="Times New Roman"/>
        </w:rPr>
      </w:pPr>
      <w:bookmarkStart w:id="3" w:name="_Toc7277"/>
      <w:r>
        <w:rPr>
          <w:rFonts w:hint="default" w:ascii="Times New Roman" w:hAnsi="Times New Roman" w:eastAsia="宋体" w:cs="Times New Roman"/>
        </w:rPr>
        <w:t>人员及薪酬情况</w:t>
      </w:r>
      <w:bookmarkEnd w:id="3"/>
    </w:p>
    <w:tbl>
      <w:tblPr>
        <w:tblStyle w:val="35"/>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32" w:type="dxa"/>
          <w:left w:w="64" w:type="dxa"/>
          <w:bottom w:w="32" w:type="dxa"/>
          <w:right w:w="64" w:type="dxa"/>
        </w:tblCellMar>
      </w:tblPr>
      <w:tblGrid>
        <w:gridCol w:w="1216"/>
        <w:gridCol w:w="1769"/>
        <w:gridCol w:w="1270"/>
        <w:gridCol w:w="1327"/>
        <w:gridCol w:w="1361"/>
        <w:gridCol w:w="1486"/>
      </w:tblGrid>
      <w:tr w14:paraId="0AF017B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blHeader/>
        </w:trPr>
        <w:tc>
          <w:tcPr>
            <w:tcW w:w="721" w:type="pct"/>
            <w:tcBorders>
              <w:tl2br w:val="nil"/>
              <w:tr2bl w:val="nil"/>
            </w:tcBorders>
            <w:shd w:val="clear" w:color="auto" w:fill="auto"/>
            <w:vAlign w:val="center"/>
          </w:tcPr>
          <w:p w14:paraId="7E9890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公司名称</w:t>
            </w:r>
          </w:p>
        </w:tc>
        <w:tc>
          <w:tcPr>
            <w:tcW w:w="1049" w:type="pct"/>
            <w:tcBorders>
              <w:tl2br w:val="nil"/>
              <w:tr2bl w:val="nil"/>
            </w:tcBorders>
            <w:shd w:val="clear" w:color="auto" w:fill="auto"/>
            <w:vAlign w:val="center"/>
          </w:tcPr>
          <w:p w14:paraId="3DBDBC3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工资类别</w:t>
            </w:r>
          </w:p>
        </w:tc>
        <w:tc>
          <w:tcPr>
            <w:tcW w:w="753" w:type="pct"/>
            <w:tcBorders>
              <w:tl2br w:val="nil"/>
              <w:tr2bl w:val="nil"/>
            </w:tcBorders>
            <w:shd w:val="clear" w:color="auto" w:fill="auto"/>
            <w:vAlign w:val="center"/>
          </w:tcPr>
          <w:p w14:paraId="1F354D9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2022年度</w:t>
            </w:r>
          </w:p>
        </w:tc>
        <w:tc>
          <w:tcPr>
            <w:tcW w:w="787" w:type="pct"/>
            <w:tcBorders>
              <w:tl2br w:val="nil"/>
              <w:tr2bl w:val="nil"/>
            </w:tcBorders>
            <w:shd w:val="clear" w:color="auto" w:fill="auto"/>
            <w:vAlign w:val="center"/>
          </w:tcPr>
          <w:p w14:paraId="1967558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2023年度</w:t>
            </w:r>
          </w:p>
        </w:tc>
        <w:tc>
          <w:tcPr>
            <w:tcW w:w="807" w:type="pct"/>
            <w:tcBorders>
              <w:tl2br w:val="nil"/>
              <w:tr2bl w:val="nil"/>
            </w:tcBorders>
            <w:shd w:val="clear" w:color="auto" w:fill="auto"/>
            <w:vAlign w:val="center"/>
          </w:tcPr>
          <w:p w14:paraId="5ACA491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2024年度</w:t>
            </w:r>
          </w:p>
        </w:tc>
        <w:tc>
          <w:tcPr>
            <w:tcW w:w="881" w:type="pct"/>
            <w:tcBorders>
              <w:tl2br w:val="nil"/>
              <w:tr2bl w:val="nil"/>
            </w:tcBorders>
            <w:shd w:val="clear" w:color="auto" w:fill="auto"/>
            <w:vAlign w:val="center"/>
          </w:tcPr>
          <w:p w14:paraId="3F0C3E3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2025年1-6月</w:t>
            </w:r>
          </w:p>
        </w:tc>
      </w:tr>
      <w:tr w14:paraId="264A31A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32" w:type="dxa"/>
            <w:left w:w="64" w:type="dxa"/>
            <w:bottom w:w="32" w:type="dxa"/>
            <w:right w:w="64" w:type="dxa"/>
          </w:tblCellMar>
        </w:tblPrEx>
        <w:trPr>
          <w:trHeight w:val="0" w:hRule="atLeast"/>
        </w:trPr>
        <w:tc>
          <w:tcPr>
            <w:tcW w:w="721" w:type="pct"/>
            <w:vMerge w:val="restart"/>
            <w:tcBorders>
              <w:tl2br w:val="nil"/>
              <w:tr2bl w:val="nil"/>
            </w:tcBorders>
            <w:shd w:val="clear" w:color="auto" w:fill="auto"/>
            <w:noWrap/>
            <w:vAlign w:val="center"/>
          </w:tcPr>
          <w:p w14:paraId="6B6A7FE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无锡贝塔</w:t>
            </w:r>
          </w:p>
        </w:tc>
        <w:tc>
          <w:tcPr>
            <w:tcW w:w="1049" w:type="pct"/>
            <w:tcBorders>
              <w:tl2br w:val="nil"/>
              <w:tr2bl w:val="nil"/>
            </w:tcBorders>
            <w:shd w:val="clear" w:color="auto" w:fill="auto"/>
            <w:noWrap/>
            <w:vAlign w:val="center"/>
          </w:tcPr>
          <w:p w14:paraId="21C9D09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工资</w:t>
            </w:r>
          </w:p>
        </w:tc>
        <w:tc>
          <w:tcPr>
            <w:tcW w:w="1270" w:type="dxa"/>
            <w:tcBorders>
              <w:tl2br w:val="nil"/>
              <w:tr2bl w:val="nil"/>
            </w:tcBorders>
            <w:shd w:val="clear" w:color="auto" w:fill="auto"/>
            <w:noWrap/>
            <w:vAlign w:val="center"/>
          </w:tcPr>
          <w:p w14:paraId="2D78468C">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05CD7A8F">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511.75 </w:t>
            </w:r>
          </w:p>
        </w:tc>
        <w:tc>
          <w:tcPr>
            <w:tcW w:w="1361" w:type="dxa"/>
            <w:tcBorders>
              <w:tl2br w:val="nil"/>
              <w:tr2bl w:val="nil"/>
            </w:tcBorders>
            <w:shd w:val="clear" w:color="auto" w:fill="auto"/>
            <w:noWrap/>
            <w:vAlign w:val="center"/>
          </w:tcPr>
          <w:p w14:paraId="77D7EF41">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542.53 </w:t>
            </w:r>
          </w:p>
        </w:tc>
        <w:tc>
          <w:tcPr>
            <w:tcW w:w="1486" w:type="dxa"/>
            <w:tcBorders>
              <w:tl2br w:val="nil"/>
              <w:tr2bl w:val="nil"/>
            </w:tcBorders>
            <w:shd w:val="clear" w:color="auto" w:fill="auto"/>
            <w:noWrap/>
            <w:vAlign w:val="center"/>
          </w:tcPr>
          <w:p w14:paraId="186E004E">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307.88 </w:t>
            </w:r>
          </w:p>
        </w:tc>
      </w:tr>
      <w:tr w14:paraId="2BE0F8C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2417C8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51C21E4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社保、公积金</w:t>
            </w:r>
          </w:p>
        </w:tc>
        <w:tc>
          <w:tcPr>
            <w:tcW w:w="1270" w:type="dxa"/>
            <w:tcBorders>
              <w:tl2br w:val="nil"/>
              <w:tr2bl w:val="nil"/>
            </w:tcBorders>
            <w:shd w:val="clear" w:color="auto" w:fill="auto"/>
            <w:noWrap/>
            <w:vAlign w:val="center"/>
          </w:tcPr>
          <w:p w14:paraId="44ACB2B5">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69.01 </w:t>
            </w:r>
          </w:p>
        </w:tc>
        <w:tc>
          <w:tcPr>
            <w:tcW w:w="1327" w:type="dxa"/>
            <w:tcBorders>
              <w:tl2br w:val="nil"/>
              <w:tr2bl w:val="nil"/>
            </w:tcBorders>
            <w:shd w:val="clear" w:color="auto" w:fill="auto"/>
            <w:noWrap/>
            <w:vAlign w:val="center"/>
          </w:tcPr>
          <w:p w14:paraId="068C5C56">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86.54 </w:t>
            </w:r>
          </w:p>
        </w:tc>
        <w:tc>
          <w:tcPr>
            <w:tcW w:w="1361" w:type="dxa"/>
            <w:tcBorders>
              <w:tl2br w:val="nil"/>
              <w:tr2bl w:val="nil"/>
            </w:tcBorders>
            <w:shd w:val="clear" w:color="auto" w:fill="auto"/>
            <w:noWrap/>
            <w:vAlign w:val="center"/>
          </w:tcPr>
          <w:p w14:paraId="4B9041EA">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101.65 </w:t>
            </w:r>
          </w:p>
        </w:tc>
        <w:tc>
          <w:tcPr>
            <w:tcW w:w="1486" w:type="dxa"/>
            <w:tcBorders>
              <w:tl2br w:val="nil"/>
              <w:tr2bl w:val="nil"/>
            </w:tcBorders>
            <w:shd w:val="clear" w:color="auto" w:fill="auto"/>
            <w:noWrap/>
            <w:vAlign w:val="center"/>
          </w:tcPr>
          <w:p w14:paraId="2DAE6038">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59.14 </w:t>
            </w:r>
          </w:p>
        </w:tc>
      </w:tr>
      <w:tr w14:paraId="7322BF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57350EA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28CC6E3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奖金</w:t>
            </w:r>
          </w:p>
        </w:tc>
        <w:tc>
          <w:tcPr>
            <w:tcW w:w="1270" w:type="dxa"/>
            <w:tcBorders>
              <w:tl2br w:val="nil"/>
              <w:tr2bl w:val="nil"/>
            </w:tcBorders>
            <w:shd w:val="clear" w:color="auto" w:fill="auto"/>
            <w:noWrap/>
            <w:vAlign w:val="center"/>
          </w:tcPr>
          <w:p w14:paraId="4085F8FE">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227.88 </w:t>
            </w:r>
          </w:p>
        </w:tc>
        <w:tc>
          <w:tcPr>
            <w:tcW w:w="1327" w:type="dxa"/>
            <w:tcBorders>
              <w:tl2br w:val="nil"/>
              <w:tr2bl w:val="nil"/>
            </w:tcBorders>
            <w:shd w:val="clear" w:color="auto" w:fill="auto"/>
            <w:noWrap/>
            <w:vAlign w:val="center"/>
          </w:tcPr>
          <w:p w14:paraId="11272C25">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510.77 </w:t>
            </w:r>
          </w:p>
        </w:tc>
        <w:tc>
          <w:tcPr>
            <w:tcW w:w="1361" w:type="dxa"/>
            <w:tcBorders>
              <w:tl2br w:val="nil"/>
              <w:tr2bl w:val="nil"/>
            </w:tcBorders>
            <w:shd w:val="clear" w:color="auto" w:fill="auto"/>
            <w:noWrap/>
            <w:vAlign w:val="center"/>
          </w:tcPr>
          <w:p w14:paraId="06C3152A">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547.16 </w:t>
            </w:r>
          </w:p>
        </w:tc>
        <w:tc>
          <w:tcPr>
            <w:tcW w:w="1486" w:type="dxa"/>
            <w:tcBorders>
              <w:tl2br w:val="nil"/>
              <w:tr2bl w:val="nil"/>
            </w:tcBorders>
            <w:shd w:val="clear" w:color="auto" w:fill="auto"/>
            <w:noWrap/>
            <w:vAlign w:val="center"/>
          </w:tcPr>
          <w:p w14:paraId="14AE77FF">
            <w:pPr>
              <w:jc w:val="right"/>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cs="Times New Roman"/>
                <w:b/>
                <w:bCs/>
                <w:i w:val="0"/>
                <w:iCs w:val="0"/>
                <w:color w:val="auto"/>
                <w:kern w:val="0"/>
                <w:sz w:val="21"/>
                <w:szCs w:val="21"/>
                <w:u w:val="none"/>
                <w:lang w:val="en-US" w:eastAsia="zh-CN" w:bidi="ar"/>
                <w14:ligatures w14:val="none"/>
              </w:rPr>
              <w:t>-</w:t>
            </w:r>
          </w:p>
        </w:tc>
      </w:tr>
      <w:tr w14:paraId="2C6FAC7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06468E5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6BE9F25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福利费</w:t>
            </w:r>
          </w:p>
        </w:tc>
        <w:tc>
          <w:tcPr>
            <w:tcW w:w="1270" w:type="dxa"/>
            <w:tcBorders>
              <w:tl2br w:val="nil"/>
              <w:tr2bl w:val="nil"/>
            </w:tcBorders>
            <w:shd w:val="clear" w:color="auto" w:fill="auto"/>
            <w:noWrap/>
            <w:vAlign w:val="center"/>
          </w:tcPr>
          <w:p w14:paraId="7D7027C9">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5.49 </w:t>
            </w:r>
          </w:p>
        </w:tc>
        <w:tc>
          <w:tcPr>
            <w:tcW w:w="1327" w:type="dxa"/>
            <w:tcBorders>
              <w:tl2br w:val="nil"/>
              <w:tr2bl w:val="nil"/>
            </w:tcBorders>
            <w:shd w:val="clear" w:color="auto" w:fill="auto"/>
            <w:noWrap/>
            <w:vAlign w:val="center"/>
          </w:tcPr>
          <w:p w14:paraId="31D784F2">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22.23 </w:t>
            </w:r>
          </w:p>
        </w:tc>
        <w:tc>
          <w:tcPr>
            <w:tcW w:w="1361" w:type="dxa"/>
            <w:tcBorders>
              <w:tl2br w:val="nil"/>
              <w:tr2bl w:val="nil"/>
            </w:tcBorders>
            <w:shd w:val="clear" w:color="auto" w:fill="auto"/>
            <w:noWrap/>
            <w:vAlign w:val="center"/>
          </w:tcPr>
          <w:p w14:paraId="57673E16">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10.22 </w:t>
            </w:r>
          </w:p>
        </w:tc>
        <w:tc>
          <w:tcPr>
            <w:tcW w:w="1486" w:type="dxa"/>
            <w:tcBorders>
              <w:tl2br w:val="nil"/>
              <w:tr2bl w:val="nil"/>
            </w:tcBorders>
            <w:shd w:val="clear" w:color="auto" w:fill="auto"/>
            <w:noWrap/>
            <w:vAlign w:val="center"/>
          </w:tcPr>
          <w:p w14:paraId="1EF31FEE">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49.46 </w:t>
            </w:r>
          </w:p>
        </w:tc>
      </w:tr>
      <w:tr w14:paraId="6506B30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6D5E24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2BBB936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工会经费、职工教育经费</w:t>
            </w:r>
          </w:p>
        </w:tc>
        <w:tc>
          <w:tcPr>
            <w:tcW w:w="1270" w:type="dxa"/>
            <w:tcBorders>
              <w:tl2br w:val="nil"/>
              <w:tr2bl w:val="nil"/>
            </w:tcBorders>
            <w:shd w:val="clear" w:color="auto" w:fill="auto"/>
            <w:noWrap/>
            <w:vAlign w:val="center"/>
          </w:tcPr>
          <w:p w14:paraId="59BC6867">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3DA86178">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8.03 </w:t>
            </w:r>
          </w:p>
        </w:tc>
        <w:tc>
          <w:tcPr>
            <w:tcW w:w="1361" w:type="dxa"/>
            <w:tcBorders>
              <w:tl2br w:val="nil"/>
              <w:tr2bl w:val="nil"/>
            </w:tcBorders>
            <w:shd w:val="clear" w:color="auto" w:fill="auto"/>
            <w:noWrap/>
            <w:vAlign w:val="center"/>
          </w:tcPr>
          <w:p w14:paraId="737AEE1D">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4.73 </w:t>
            </w:r>
          </w:p>
        </w:tc>
        <w:tc>
          <w:tcPr>
            <w:tcW w:w="1486" w:type="dxa"/>
            <w:tcBorders>
              <w:tl2br w:val="nil"/>
              <w:tr2bl w:val="nil"/>
            </w:tcBorders>
            <w:shd w:val="clear" w:color="auto" w:fill="auto"/>
            <w:noWrap/>
            <w:vAlign w:val="center"/>
          </w:tcPr>
          <w:p w14:paraId="54E2C1BD">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r>
      <w:tr w14:paraId="2A0280B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24EB648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78AE50C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合计</w:t>
            </w:r>
          </w:p>
        </w:tc>
        <w:tc>
          <w:tcPr>
            <w:tcW w:w="1270" w:type="dxa"/>
            <w:tcBorders>
              <w:tl2br w:val="nil"/>
              <w:tr2bl w:val="nil"/>
            </w:tcBorders>
            <w:shd w:val="clear" w:color="auto" w:fill="auto"/>
            <w:noWrap/>
            <w:vAlign w:val="center"/>
          </w:tcPr>
          <w:p w14:paraId="461EC013">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695.36 </w:t>
            </w:r>
          </w:p>
        </w:tc>
        <w:tc>
          <w:tcPr>
            <w:tcW w:w="1327" w:type="dxa"/>
            <w:tcBorders>
              <w:tl2br w:val="nil"/>
              <w:tr2bl w:val="nil"/>
            </w:tcBorders>
            <w:shd w:val="clear" w:color="auto" w:fill="auto"/>
            <w:noWrap/>
            <w:vAlign w:val="center"/>
          </w:tcPr>
          <w:p w14:paraId="090ACC6F">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1,139.32 </w:t>
            </w:r>
          </w:p>
        </w:tc>
        <w:tc>
          <w:tcPr>
            <w:tcW w:w="1361" w:type="dxa"/>
            <w:tcBorders>
              <w:tl2br w:val="nil"/>
              <w:tr2bl w:val="nil"/>
            </w:tcBorders>
            <w:shd w:val="clear" w:color="auto" w:fill="auto"/>
            <w:noWrap/>
            <w:vAlign w:val="center"/>
          </w:tcPr>
          <w:p w14:paraId="64340B73">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1,206.30 </w:t>
            </w:r>
          </w:p>
        </w:tc>
        <w:tc>
          <w:tcPr>
            <w:tcW w:w="1486" w:type="dxa"/>
            <w:tcBorders>
              <w:tl2br w:val="nil"/>
              <w:tr2bl w:val="nil"/>
            </w:tcBorders>
            <w:shd w:val="clear" w:color="auto" w:fill="auto"/>
            <w:noWrap/>
            <w:vAlign w:val="center"/>
          </w:tcPr>
          <w:p w14:paraId="04C6F130">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416.48 </w:t>
            </w:r>
          </w:p>
        </w:tc>
      </w:tr>
      <w:tr w14:paraId="7500C4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restart"/>
            <w:tcBorders>
              <w:tl2br w:val="nil"/>
              <w:tr2bl w:val="nil"/>
            </w:tcBorders>
            <w:shd w:val="clear" w:color="auto" w:fill="auto"/>
            <w:noWrap/>
            <w:vAlign w:val="center"/>
          </w:tcPr>
          <w:p w14:paraId="3CFA984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长沙贝塔</w:t>
            </w:r>
          </w:p>
        </w:tc>
        <w:tc>
          <w:tcPr>
            <w:tcW w:w="1049" w:type="pct"/>
            <w:tcBorders>
              <w:tl2br w:val="nil"/>
              <w:tr2bl w:val="nil"/>
            </w:tcBorders>
            <w:shd w:val="clear" w:color="auto" w:fill="auto"/>
            <w:noWrap/>
            <w:vAlign w:val="center"/>
          </w:tcPr>
          <w:p w14:paraId="7252844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工资</w:t>
            </w:r>
          </w:p>
        </w:tc>
        <w:tc>
          <w:tcPr>
            <w:tcW w:w="1270" w:type="dxa"/>
            <w:tcBorders>
              <w:tl2br w:val="nil"/>
              <w:tr2bl w:val="nil"/>
            </w:tcBorders>
            <w:shd w:val="clear" w:color="auto" w:fill="auto"/>
            <w:noWrap/>
            <w:vAlign w:val="center"/>
          </w:tcPr>
          <w:p w14:paraId="19B57FFD">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246.23 </w:t>
            </w:r>
          </w:p>
        </w:tc>
        <w:tc>
          <w:tcPr>
            <w:tcW w:w="1327" w:type="dxa"/>
            <w:tcBorders>
              <w:tl2br w:val="nil"/>
              <w:tr2bl w:val="nil"/>
            </w:tcBorders>
            <w:shd w:val="clear" w:color="auto" w:fill="auto"/>
            <w:noWrap/>
            <w:vAlign w:val="center"/>
          </w:tcPr>
          <w:p w14:paraId="6D0E2EE2">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325.55 </w:t>
            </w:r>
          </w:p>
        </w:tc>
        <w:tc>
          <w:tcPr>
            <w:tcW w:w="1361" w:type="dxa"/>
            <w:tcBorders>
              <w:tl2br w:val="nil"/>
              <w:tr2bl w:val="nil"/>
            </w:tcBorders>
            <w:shd w:val="clear" w:color="auto" w:fill="auto"/>
            <w:noWrap/>
            <w:vAlign w:val="center"/>
          </w:tcPr>
          <w:p w14:paraId="616A2283">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211.78 </w:t>
            </w:r>
          </w:p>
        </w:tc>
        <w:tc>
          <w:tcPr>
            <w:tcW w:w="1486" w:type="dxa"/>
            <w:tcBorders>
              <w:tl2br w:val="nil"/>
              <w:tr2bl w:val="nil"/>
            </w:tcBorders>
            <w:shd w:val="clear" w:color="auto" w:fill="auto"/>
            <w:noWrap/>
            <w:vAlign w:val="center"/>
          </w:tcPr>
          <w:p w14:paraId="6ED59F6F">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134.42 </w:t>
            </w:r>
          </w:p>
        </w:tc>
      </w:tr>
      <w:tr w14:paraId="1C6290E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1AA6857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2F8631B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社保、公积金</w:t>
            </w:r>
          </w:p>
        </w:tc>
        <w:tc>
          <w:tcPr>
            <w:tcW w:w="1270" w:type="dxa"/>
            <w:tcBorders>
              <w:tl2br w:val="nil"/>
              <w:tr2bl w:val="nil"/>
            </w:tcBorders>
            <w:shd w:val="clear" w:color="auto" w:fill="auto"/>
            <w:noWrap/>
            <w:vAlign w:val="center"/>
          </w:tcPr>
          <w:p w14:paraId="29D2A49E">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32.59 </w:t>
            </w:r>
          </w:p>
        </w:tc>
        <w:tc>
          <w:tcPr>
            <w:tcW w:w="1327" w:type="dxa"/>
            <w:tcBorders>
              <w:tl2br w:val="nil"/>
              <w:tr2bl w:val="nil"/>
            </w:tcBorders>
            <w:shd w:val="clear" w:color="auto" w:fill="auto"/>
            <w:noWrap/>
            <w:vAlign w:val="center"/>
          </w:tcPr>
          <w:p w14:paraId="7700C004">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37.52 </w:t>
            </w:r>
          </w:p>
        </w:tc>
        <w:tc>
          <w:tcPr>
            <w:tcW w:w="1361" w:type="dxa"/>
            <w:tcBorders>
              <w:tl2br w:val="nil"/>
              <w:tr2bl w:val="nil"/>
            </w:tcBorders>
            <w:shd w:val="clear" w:color="auto" w:fill="auto"/>
            <w:noWrap/>
            <w:vAlign w:val="center"/>
          </w:tcPr>
          <w:p w14:paraId="56BAE836">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38.22 </w:t>
            </w:r>
          </w:p>
        </w:tc>
        <w:tc>
          <w:tcPr>
            <w:tcW w:w="1486" w:type="dxa"/>
            <w:tcBorders>
              <w:tl2br w:val="nil"/>
              <w:tr2bl w:val="nil"/>
            </w:tcBorders>
            <w:shd w:val="clear" w:color="auto" w:fill="auto"/>
            <w:noWrap/>
            <w:vAlign w:val="center"/>
          </w:tcPr>
          <w:p w14:paraId="0942BBEE">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22.57 </w:t>
            </w:r>
          </w:p>
        </w:tc>
      </w:tr>
      <w:tr w14:paraId="273475B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0DED8C2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33DD3B8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奖金</w:t>
            </w:r>
          </w:p>
        </w:tc>
        <w:tc>
          <w:tcPr>
            <w:tcW w:w="1270" w:type="dxa"/>
            <w:tcBorders>
              <w:tl2br w:val="nil"/>
              <w:tr2bl w:val="nil"/>
            </w:tcBorders>
            <w:shd w:val="clear" w:color="auto" w:fill="auto"/>
            <w:noWrap/>
            <w:vAlign w:val="center"/>
          </w:tcPr>
          <w:p w14:paraId="3577CD21">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1D7F0FD9">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61" w:type="dxa"/>
            <w:tcBorders>
              <w:tl2br w:val="nil"/>
              <w:tr2bl w:val="nil"/>
            </w:tcBorders>
            <w:shd w:val="clear" w:color="auto" w:fill="auto"/>
            <w:noWrap/>
            <w:vAlign w:val="center"/>
          </w:tcPr>
          <w:p w14:paraId="44FA05A5">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112.00 </w:t>
            </w:r>
          </w:p>
        </w:tc>
        <w:tc>
          <w:tcPr>
            <w:tcW w:w="1486" w:type="dxa"/>
            <w:tcBorders>
              <w:tl2br w:val="nil"/>
              <w:tr2bl w:val="nil"/>
            </w:tcBorders>
            <w:shd w:val="clear" w:color="auto" w:fill="auto"/>
            <w:noWrap/>
            <w:vAlign w:val="center"/>
          </w:tcPr>
          <w:p w14:paraId="402E17D8">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r>
      <w:tr w14:paraId="1C7DC3E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3D84076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2411BD3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合计</w:t>
            </w:r>
          </w:p>
        </w:tc>
        <w:tc>
          <w:tcPr>
            <w:tcW w:w="1270" w:type="dxa"/>
            <w:tcBorders>
              <w:tl2br w:val="nil"/>
              <w:tr2bl w:val="nil"/>
            </w:tcBorders>
            <w:shd w:val="clear" w:color="auto" w:fill="auto"/>
            <w:noWrap/>
            <w:vAlign w:val="center"/>
          </w:tcPr>
          <w:p w14:paraId="3F6F9D82">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278.82 </w:t>
            </w:r>
          </w:p>
        </w:tc>
        <w:tc>
          <w:tcPr>
            <w:tcW w:w="1327" w:type="dxa"/>
            <w:tcBorders>
              <w:tl2br w:val="nil"/>
              <w:tr2bl w:val="nil"/>
            </w:tcBorders>
            <w:shd w:val="clear" w:color="auto" w:fill="auto"/>
            <w:noWrap/>
            <w:vAlign w:val="center"/>
          </w:tcPr>
          <w:p w14:paraId="119752AC">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363.07 </w:t>
            </w:r>
          </w:p>
        </w:tc>
        <w:tc>
          <w:tcPr>
            <w:tcW w:w="1361" w:type="dxa"/>
            <w:tcBorders>
              <w:tl2br w:val="nil"/>
              <w:tr2bl w:val="nil"/>
            </w:tcBorders>
            <w:shd w:val="clear" w:color="auto" w:fill="auto"/>
            <w:noWrap/>
            <w:vAlign w:val="center"/>
          </w:tcPr>
          <w:p w14:paraId="7B1769B0">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362.00 </w:t>
            </w:r>
          </w:p>
        </w:tc>
        <w:tc>
          <w:tcPr>
            <w:tcW w:w="1486" w:type="dxa"/>
            <w:tcBorders>
              <w:tl2br w:val="nil"/>
              <w:tr2bl w:val="nil"/>
            </w:tcBorders>
            <w:shd w:val="clear" w:color="auto" w:fill="auto"/>
            <w:noWrap/>
            <w:vAlign w:val="center"/>
          </w:tcPr>
          <w:p w14:paraId="19D2C7D3">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156.99 </w:t>
            </w:r>
          </w:p>
        </w:tc>
      </w:tr>
      <w:tr w14:paraId="69884FE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restart"/>
            <w:tcBorders>
              <w:tl2br w:val="nil"/>
              <w:tr2bl w:val="nil"/>
            </w:tcBorders>
            <w:shd w:val="clear" w:color="auto" w:fill="auto"/>
            <w:noWrap/>
            <w:vAlign w:val="center"/>
          </w:tcPr>
          <w:p w14:paraId="671D7A5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江苏金伯奇</w:t>
            </w:r>
          </w:p>
        </w:tc>
        <w:tc>
          <w:tcPr>
            <w:tcW w:w="1049" w:type="pct"/>
            <w:tcBorders>
              <w:tl2br w:val="nil"/>
              <w:tr2bl w:val="nil"/>
            </w:tcBorders>
            <w:shd w:val="clear" w:color="auto" w:fill="auto"/>
            <w:noWrap/>
            <w:vAlign w:val="center"/>
          </w:tcPr>
          <w:p w14:paraId="3320C7E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工资</w:t>
            </w:r>
          </w:p>
        </w:tc>
        <w:tc>
          <w:tcPr>
            <w:tcW w:w="1270" w:type="dxa"/>
            <w:tcBorders>
              <w:tl2br w:val="nil"/>
              <w:tr2bl w:val="nil"/>
            </w:tcBorders>
            <w:shd w:val="clear" w:color="auto" w:fill="auto"/>
            <w:noWrap/>
            <w:vAlign w:val="center"/>
          </w:tcPr>
          <w:p w14:paraId="21305284">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6870B544">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61" w:type="dxa"/>
            <w:tcBorders>
              <w:tl2br w:val="nil"/>
              <w:tr2bl w:val="nil"/>
            </w:tcBorders>
            <w:shd w:val="clear" w:color="auto" w:fill="auto"/>
            <w:noWrap/>
            <w:vAlign w:val="center"/>
          </w:tcPr>
          <w:p w14:paraId="555118B0">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41.82 </w:t>
            </w:r>
          </w:p>
        </w:tc>
        <w:tc>
          <w:tcPr>
            <w:tcW w:w="1486" w:type="dxa"/>
            <w:tcBorders>
              <w:tl2br w:val="nil"/>
              <w:tr2bl w:val="nil"/>
            </w:tcBorders>
            <w:shd w:val="clear" w:color="auto" w:fill="auto"/>
            <w:noWrap/>
            <w:vAlign w:val="center"/>
          </w:tcPr>
          <w:p w14:paraId="34883B31">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33.02 </w:t>
            </w:r>
          </w:p>
        </w:tc>
      </w:tr>
      <w:tr w14:paraId="611D7CD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6DBD58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09A491D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社保、公积金</w:t>
            </w:r>
          </w:p>
        </w:tc>
        <w:tc>
          <w:tcPr>
            <w:tcW w:w="1270" w:type="dxa"/>
            <w:tcBorders>
              <w:tl2br w:val="nil"/>
              <w:tr2bl w:val="nil"/>
            </w:tcBorders>
            <w:shd w:val="clear" w:color="auto" w:fill="auto"/>
            <w:noWrap/>
            <w:vAlign w:val="center"/>
          </w:tcPr>
          <w:p w14:paraId="7C4FC935">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7FD1CA49">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61" w:type="dxa"/>
            <w:tcBorders>
              <w:tl2br w:val="nil"/>
              <w:tr2bl w:val="nil"/>
            </w:tcBorders>
            <w:shd w:val="clear" w:color="auto" w:fill="auto"/>
            <w:noWrap/>
            <w:vAlign w:val="center"/>
          </w:tcPr>
          <w:p w14:paraId="5C578264">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8.68 </w:t>
            </w:r>
          </w:p>
        </w:tc>
        <w:tc>
          <w:tcPr>
            <w:tcW w:w="1486" w:type="dxa"/>
            <w:tcBorders>
              <w:tl2br w:val="nil"/>
              <w:tr2bl w:val="nil"/>
            </w:tcBorders>
            <w:shd w:val="clear" w:color="auto" w:fill="auto"/>
            <w:noWrap/>
            <w:vAlign w:val="center"/>
          </w:tcPr>
          <w:p w14:paraId="7815D5AE">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6.51 </w:t>
            </w:r>
          </w:p>
        </w:tc>
      </w:tr>
      <w:tr w14:paraId="7627D3F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1FC2F3E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18FA9FF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福利费</w:t>
            </w:r>
          </w:p>
        </w:tc>
        <w:tc>
          <w:tcPr>
            <w:tcW w:w="1270" w:type="dxa"/>
            <w:tcBorders>
              <w:tl2br w:val="nil"/>
              <w:tr2bl w:val="nil"/>
            </w:tcBorders>
            <w:shd w:val="clear" w:color="auto" w:fill="auto"/>
            <w:noWrap/>
            <w:vAlign w:val="center"/>
          </w:tcPr>
          <w:p w14:paraId="78C988BF">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1BBAB98D">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 </w:t>
            </w:r>
          </w:p>
        </w:tc>
        <w:tc>
          <w:tcPr>
            <w:tcW w:w="1361" w:type="dxa"/>
            <w:tcBorders>
              <w:tl2br w:val="nil"/>
              <w:tr2bl w:val="nil"/>
            </w:tcBorders>
            <w:shd w:val="clear" w:color="auto" w:fill="auto"/>
            <w:noWrap/>
            <w:vAlign w:val="center"/>
          </w:tcPr>
          <w:p w14:paraId="64C36C77">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0.67 </w:t>
            </w:r>
          </w:p>
        </w:tc>
        <w:tc>
          <w:tcPr>
            <w:tcW w:w="1486" w:type="dxa"/>
            <w:tcBorders>
              <w:tl2br w:val="nil"/>
              <w:tr2bl w:val="nil"/>
            </w:tcBorders>
            <w:shd w:val="clear" w:color="auto" w:fill="auto"/>
            <w:noWrap/>
            <w:vAlign w:val="center"/>
          </w:tcPr>
          <w:p w14:paraId="47300A57">
            <w:pPr>
              <w:keepNext w:val="0"/>
              <w:keepLines w:val="0"/>
              <w:widowControl/>
              <w:suppressLineNumbers w:val="0"/>
              <w:ind w:firstLine="360" w:firstLineChars="200"/>
              <w:jc w:val="right"/>
              <w:textAlignment w:val="center"/>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18"/>
                <w:szCs w:val="18"/>
                <w:u w:val="none"/>
                <w:lang w:val="en-US" w:eastAsia="zh-CN" w:bidi="ar"/>
                <w14:ligatures w14:val="none"/>
              </w:rPr>
              <w:t xml:space="preserve"> 4.88 </w:t>
            </w:r>
          </w:p>
        </w:tc>
      </w:tr>
      <w:tr w14:paraId="13536B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32" w:type="dxa"/>
            <w:left w:w="64" w:type="dxa"/>
            <w:bottom w:w="32" w:type="dxa"/>
            <w:right w:w="64" w:type="dxa"/>
          </w:tblCellMar>
        </w:tblPrEx>
        <w:trPr>
          <w:trHeight w:val="0" w:hRule="atLeast"/>
        </w:trPr>
        <w:tc>
          <w:tcPr>
            <w:tcW w:w="721" w:type="pct"/>
            <w:vMerge w:val="continue"/>
            <w:tcBorders>
              <w:tl2br w:val="nil"/>
              <w:tr2bl w:val="nil"/>
            </w:tcBorders>
            <w:shd w:val="clear" w:color="auto" w:fill="auto"/>
            <w:noWrap/>
            <w:vAlign w:val="center"/>
          </w:tcPr>
          <w:p w14:paraId="3976830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p>
        </w:tc>
        <w:tc>
          <w:tcPr>
            <w:tcW w:w="1049" w:type="pct"/>
            <w:tcBorders>
              <w:tl2br w:val="nil"/>
              <w:tr2bl w:val="nil"/>
            </w:tcBorders>
            <w:shd w:val="clear" w:color="auto" w:fill="auto"/>
            <w:noWrap/>
            <w:vAlign w:val="center"/>
          </w:tcPr>
          <w:p w14:paraId="20FA251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合计</w:t>
            </w:r>
          </w:p>
        </w:tc>
        <w:tc>
          <w:tcPr>
            <w:tcW w:w="1270" w:type="dxa"/>
            <w:tcBorders>
              <w:tl2br w:val="nil"/>
              <w:tr2bl w:val="nil"/>
            </w:tcBorders>
            <w:shd w:val="clear" w:color="auto" w:fill="auto"/>
            <w:noWrap/>
            <w:vAlign w:val="center"/>
          </w:tcPr>
          <w:p w14:paraId="6FAEDA2E">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 </w:t>
            </w:r>
          </w:p>
        </w:tc>
        <w:tc>
          <w:tcPr>
            <w:tcW w:w="1327" w:type="dxa"/>
            <w:tcBorders>
              <w:tl2br w:val="nil"/>
              <w:tr2bl w:val="nil"/>
            </w:tcBorders>
            <w:shd w:val="clear" w:color="auto" w:fill="auto"/>
            <w:noWrap/>
            <w:vAlign w:val="center"/>
          </w:tcPr>
          <w:p w14:paraId="3A45A685">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 </w:t>
            </w:r>
          </w:p>
        </w:tc>
        <w:tc>
          <w:tcPr>
            <w:tcW w:w="1361" w:type="dxa"/>
            <w:tcBorders>
              <w:tl2br w:val="nil"/>
              <w:tr2bl w:val="nil"/>
            </w:tcBorders>
            <w:shd w:val="clear" w:color="auto" w:fill="auto"/>
            <w:noWrap/>
            <w:vAlign w:val="center"/>
          </w:tcPr>
          <w:p w14:paraId="239A8CCC">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51.17 </w:t>
            </w:r>
          </w:p>
        </w:tc>
        <w:tc>
          <w:tcPr>
            <w:tcW w:w="1486" w:type="dxa"/>
            <w:tcBorders>
              <w:tl2br w:val="nil"/>
              <w:tr2bl w:val="nil"/>
            </w:tcBorders>
            <w:shd w:val="clear" w:color="auto" w:fill="auto"/>
            <w:noWrap/>
            <w:vAlign w:val="center"/>
          </w:tcPr>
          <w:p w14:paraId="6E4F7C1A">
            <w:pPr>
              <w:keepNext w:val="0"/>
              <w:keepLines w:val="0"/>
              <w:widowControl/>
              <w:suppressLineNumbers w:val="0"/>
              <w:ind w:firstLine="360" w:firstLineChars="200"/>
              <w:jc w:val="right"/>
              <w:textAlignment w:val="center"/>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000000"/>
                <w:kern w:val="0"/>
                <w:sz w:val="18"/>
                <w:szCs w:val="18"/>
                <w:u w:val="none"/>
                <w:lang w:val="en-US" w:eastAsia="zh-CN" w:bidi="ar"/>
                <w14:ligatures w14:val="none"/>
              </w:rPr>
              <w:t xml:space="preserve"> 44.41 </w:t>
            </w:r>
          </w:p>
        </w:tc>
      </w:tr>
      <w:tr w14:paraId="11DF09E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32" w:type="dxa"/>
            <w:left w:w="64" w:type="dxa"/>
            <w:bottom w:w="32" w:type="dxa"/>
            <w:right w:w="64" w:type="dxa"/>
          </w:tblCellMar>
        </w:tblPrEx>
        <w:trPr>
          <w:trHeight w:val="0" w:hRule="atLeast"/>
        </w:trPr>
        <w:tc>
          <w:tcPr>
            <w:tcW w:w="721" w:type="pct"/>
            <w:tcBorders>
              <w:tl2br w:val="nil"/>
              <w:tr2bl w:val="nil"/>
            </w:tcBorders>
            <w:shd w:val="clear" w:color="auto" w:fill="auto"/>
            <w:noWrap/>
            <w:vAlign w:val="center"/>
          </w:tcPr>
          <w:p w14:paraId="28CEFC0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cs="Times New Roman"/>
                <w:b/>
                <w:bCs/>
                <w:i w:val="0"/>
                <w:iCs w:val="0"/>
                <w:color w:val="auto"/>
                <w:kern w:val="0"/>
                <w:sz w:val="21"/>
                <w:szCs w:val="21"/>
                <w:u w:val="none"/>
                <w:lang w:val="en-US" w:eastAsia="zh-CN" w:bidi="ar"/>
                <w14:ligatures w14:val="none"/>
              </w:rPr>
              <w:t>合并层面</w:t>
            </w:r>
          </w:p>
        </w:tc>
        <w:tc>
          <w:tcPr>
            <w:tcW w:w="1049" w:type="pct"/>
            <w:tcBorders>
              <w:tl2br w:val="nil"/>
              <w:tr2bl w:val="nil"/>
            </w:tcBorders>
            <w:shd w:val="clear" w:color="auto" w:fill="auto"/>
            <w:noWrap/>
            <w:vAlign w:val="center"/>
          </w:tcPr>
          <w:p w14:paraId="5D0F60A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cs="Times New Roman"/>
                <w:b/>
                <w:bCs/>
                <w:i w:val="0"/>
                <w:iCs w:val="0"/>
                <w:color w:val="auto"/>
                <w:kern w:val="0"/>
                <w:sz w:val="21"/>
                <w:szCs w:val="21"/>
                <w:u w:val="none"/>
                <w:lang w:val="en-US" w:eastAsia="zh-CN" w:bidi="ar"/>
                <w14:ligatures w14:val="none"/>
              </w:rPr>
              <w:t>合计</w:t>
            </w:r>
          </w:p>
        </w:tc>
        <w:tc>
          <w:tcPr>
            <w:tcW w:w="1270" w:type="dxa"/>
            <w:tcBorders>
              <w:tl2br w:val="nil"/>
              <w:tr2bl w:val="nil"/>
            </w:tcBorders>
            <w:shd w:val="clear" w:color="auto" w:fill="auto"/>
            <w:noWrap/>
            <w:vAlign w:val="center"/>
          </w:tcPr>
          <w:p w14:paraId="06331006">
            <w:pPr>
              <w:keepNext w:val="0"/>
              <w:keepLines w:val="0"/>
              <w:widowControl/>
              <w:suppressLineNumbers w:val="0"/>
              <w:ind w:firstLine="361" w:firstLineChars="200"/>
              <w:jc w:val="right"/>
              <w:textAlignment w:val="center"/>
              <w:rPr>
                <w:rFonts w:hint="default" w:ascii="Times New Roman" w:hAnsi="Times New Roman" w:eastAsia="宋体" w:cs="Times New Roman"/>
                <w:b/>
                <w:bCs/>
                <w:i w:val="0"/>
                <w:iCs w:val="0"/>
                <w:color w:val="000000"/>
                <w:kern w:val="0"/>
                <w:sz w:val="18"/>
                <w:szCs w:val="18"/>
                <w:u w:val="none"/>
                <w:lang w:val="en-US" w:eastAsia="zh-CN" w:bidi="ar"/>
                <w14:ligatures w14:val="none"/>
              </w:rPr>
            </w:pPr>
            <w:r>
              <w:rPr>
                <w:rFonts w:hint="default" w:ascii="Times New Roman" w:hAnsi="Times New Roman" w:eastAsia="宋体" w:cs="Times New Roman"/>
                <w:b/>
                <w:bCs/>
                <w:i w:val="0"/>
                <w:iCs w:val="0"/>
                <w:color w:val="000000"/>
                <w:kern w:val="0"/>
                <w:sz w:val="18"/>
                <w:szCs w:val="18"/>
                <w:u w:val="none"/>
                <w:lang w:val="en-US" w:eastAsia="zh-CN" w:bidi="ar"/>
                <w14:ligatures w14:val="none"/>
              </w:rPr>
              <w:t xml:space="preserve"> 974.18 </w:t>
            </w:r>
          </w:p>
        </w:tc>
        <w:tc>
          <w:tcPr>
            <w:tcW w:w="1327" w:type="dxa"/>
            <w:tcBorders>
              <w:tl2br w:val="nil"/>
              <w:tr2bl w:val="nil"/>
            </w:tcBorders>
            <w:shd w:val="clear" w:color="auto" w:fill="auto"/>
            <w:noWrap/>
            <w:vAlign w:val="center"/>
          </w:tcPr>
          <w:p w14:paraId="4F102184">
            <w:pPr>
              <w:keepNext w:val="0"/>
              <w:keepLines w:val="0"/>
              <w:widowControl/>
              <w:suppressLineNumbers w:val="0"/>
              <w:ind w:firstLine="361" w:firstLineChars="200"/>
              <w:jc w:val="right"/>
              <w:textAlignment w:val="center"/>
              <w:rPr>
                <w:rFonts w:hint="default" w:ascii="Times New Roman" w:hAnsi="Times New Roman" w:eastAsia="宋体" w:cs="Times New Roman"/>
                <w:b/>
                <w:bCs/>
                <w:i w:val="0"/>
                <w:iCs w:val="0"/>
                <w:color w:val="000000"/>
                <w:kern w:val="0"/>
                <w:sz w:val="18"/>
                <w:szCs w:val="18"/>
                <w:u w:val="none"/>
                <w:lang w:val="en-US" w:eastAsia="zh-CN" w:bidi="ar"/>
                <w14:ligatures w14:val="none"/>
              </w:rPr>
            </w:pPr>
            <w:r>
              <w:rPr>
                <w:rFonts w:hint="default" w:ascii="Times New Roman" w:hAnsi="Times New Roman" w:eastAsia="宋体" w:cs="Times New Roman"/>
                <w:b/>
                <w:bCs/>
                <w:i w:val="0"/>
                <w:iCs w:val="0"/>
                <w:color w:val="000000"/>
                <w:kern w:val="0"/>
                <w:sz w:val="18"/>
                <w:szCs w:val="18"/>
                <w:u w:val="none"/>
                <w:lang w:val="en-US" w:eastAsia="zh-CN" w:bidi="ar"/>
                <w14:ligatures w14:val="none"/>
              </w:rPr>
              <w:t xml:space="preserve"> 1,502.38 </w:t>
            </w:r>
          </w:p>
        </w:tc>
        <w:tc>
          <w:tcPr>
            <w:tcW w:w="1361" w:type="dxa"/>
            <w:tcBorders>
              <w:tl2br w:val="nil"/>
              <w:tr2bl w:val="nil"/>
            </w:tcBorders>
            <w:shd w:val="clear" w:color="auto" w:fill="auto"/>
            <w:noWrap/>
            <w:vAlign w:val="center"/>
          </w:tcPr>
          <w:p w14:paraId="0948FB70">
            <w:pPr>
              <w:keepNext w:val="0"/>
              <w:keepLines w:val="0"/>
              <w:widowControl/>
              <w:suppressLineNumbers w:val="0"/>
              <w:ind w:firstLine="361" w:firstLineChars="200"/>
              <w:jc w:val="right"/>
              <w:textAlignment w:val="center"/>
              <w:rPr>
                <w:rFonts w:hint="default" w:ascii="Times New Roman" w:hAnsi="Times New Roman" w:eastAsia="宋体" w:cs="Times New Roman"/>
                <w:b/>
                <w:bCs/>
                <w:i w:val="0"/>
                <w:iCs w:val="0"/>
                <w:color w:val="000000"/>
                <w:kern w:val="0"/>
                <w:sz w:val="18"/>
                <w:szCs w:val="18"/>
                <w:u w:val="none"/>
                <w:lang w:val="en-US" w:eastAsia="zh-CN" w:bidi="ar"/>
                <w14:ligatures w14:val="none"/>
              </w:rPr>
            </w:pPr>
            <w:r>
              <w:rPr>
                <w:rFonts w:hint="default" w:ascii="Times New Roman" w:hAnsi="Times New Roman" w:eastAsia="宋体" w:cs="Times New Roman"/>
                <w:b/>
                <w:bCs/>
                <w:i w:val="0"/>
                <w:iCs w:val="0"/>
                <w:color w:val="000000"/>
                <w:kern w:val="0"/>
                <w:sz w:val="18"/>
                <w:szCs w:val="18"/>
                <w:u w:val="none"/>
                <w:lang w:val="en-US" w:eastAsia="zh-CN" w:bidi="ar"/>
                <w14:ligatures w14:val="none"/>
              </w:rPr>
              <w:t xml:space="preserve"> 1,619.47 </w:t>
            </w:r>
          </w:p>
        </w:tc>
        <w:tc>
          <w:tcPr>
            <w:tcW w:w="1486" w:type="dxa"/>
            <w:tcBorders>
              <w:tl2br w:val="nil"/>
              <w:tr2bl w:val="nil"/>
            </w:tcBorders>
            <w:shd w:val="clear" w:color="auto" w:fill="auto"/>
            <w:noWrap/>
            <w:vAlign w:val="center"/>
          </w:tcPr>
          <w:p w14:paraId="79900BBC">
            <w:pPr>
              <w:keepNext w:val="0"/>
              <w:keepLines w:val="0"/>
              <w:widowControl/>
              <w:suppressLineNumbers w:val="0"/>
              <w:ind w:firstLine="361" w:firstLineChars="200"/>
              <w:jc w:val="right"/>
              <w:textAlignment w:val="center"/>
              <w:rPr>
                <w:rFonts w:hint="default" w:ascii="Times New Roman" w:hAnsi="Times New Roman" w:eastAsia="宋体" w:cs="Times New Roman"/>
                <w:b/>
                <w:bCs/>
                <w:i w:val="0"/>
                <w:iCs w:val="0"/>
                <w:color w:val="000000"/>
                <w:kern w:val="0"/>
                <w:sz w:val="18"/>
                <w:szCs w:val="18"/>
                <w:u w:val="none"/>
                <w:lang w:val="en-US" w:eastAsia="zh-CN" w:bidi="ar"/>
                <w14:ligatures w14:val="none"/>
              </w:rPr>
            </w:pPr>
            <w:r>
              <w:rPr>
                <w:rFonts w:hint="default" w:ascii="Times New Roman" w:hAnsi="Times New Roman" w:eastAsia="宋体" w:cs="Times New Roman"/>
                <w:b/>
                <w:bCs/>
                <w:i w:val="0"/>
                <w:iCs w:val="0"/>
                <w:color w:val="000000"/>
                <w:kern w:val="0"/>
                <w:sz w:val="18"/>
                <w:szCs w:val="18"/>
                <w:u w:val="none"/>
                <w:lang w:val="en-US" w:eastAsia="zh-CN" w:bidi="ar"/>
                <w14:ligatures w14:val="none"/>
              </w:rPr>
              <w:t xml:space="preserve"> 617.88 </w:t>
            </w:r>
          </w:p>
        </w:tc>
      </w:tr>
    </w:tbl>
    <w:p w14:paraId="170C6CB3">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240" w:lineRule="auto"/>
        <w:jc w:val="both"/>
        <w:textAlignment w:val="auto"/>
        <w:outlineLvl w:val="9"/>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4150" cy="2404745"/>
            <wp:effectExtent l="0" t="0" r="12700"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64150" cy="2404745"/>
                    </a:xfrm>
                    <a:prstGeom prst="rect">
                      <a:avLst/>
                    </a:prstGeom>
                    <a:noFill/>
                    <a:ln>
                      <a:noFill/>
                    </a:ln>
                  </pic:spPr>
                </pic:pic>
              </a:graphicData>
            </a:graphic>
          </wp:inline>
        </w:drawing>
      </w:r>
    </w:p>
    <w:p w14:paraId="583AD35E">
      <w:pPr>
        <w:keepNext w:val="0"/>
        <w:keepLines w:val="0"/>
        <w:widowControl/>
        <w:suppressLineNumbers w:val="0"/>
        <w:jc w:val="left"/>
        <w:rPr>
          <w:rFonts w:hint="default" w:ascii="Times New Roman" w:hAnsi="Times New Roman" w:eastAsia="宋体" w:cs="Times New Roman"/>
          <w:sz w:val="24"/>
          <w:szCs w:val="24"/>
          <w:lang w:val="en-US"/>
        </w:rPr>
      </w:pPr>
      <w:r>
        <w:rPr>
          <w:rFonts w:hint="default" w:ascii="Times New Roman" w:hAnsi="Times New Roman" w:eastAsia="宋体" w:cs="Times New Roman"/>
          <w:color w:val="000000"/>
          <w:kern w:val="0"/>
          <w:sz w:val="24"/>
          <w:szCs w:val="24"/>
          <w:lang w:val="en-US" w:eastAsia="zh-CN" w:bidi="ar"/>
          <w14:ligatures w14:val="none"/>
        </w:rPr>
        <w:t>此表为无锡贝塔、长沙贝塔以及江苏金伯奇在2022年度至2024年度及2025年1~6月期间的人力成本支出总体情况。从表内数据可以看出</w:t>
      </w:r>
      <w:r>
        <w:rPr>
          <w:rFonts w:hint="default" w:ascii="Times New Roman" w:hAnsi="Times New Roman" w:cs="Times New Roman"/>
          <w:color w:val="000000"/>
          <w:kern w:val="0"/>
          <w:sz w:val="24"/>
          <w:szCs w:val="24"/>
          <w:lang w:val="en-US" w:eastAsia="zh-CN" w:bidi="ar"/>
          <w14:ligatures w14:val="none"/>
        </w:rPr>
        <w:t>，</w:t>
      </w:r>
      <w:r>
        <w:rPr>
          <w:rFonts w:hint="default" w:ascii="Times New Roman" w:hAnsi="Times New Roman" w:eastAsia="宋体" w:cs="Times New Roman"/>
          <w:color w:val="000000"/>
          <w:kern w:val="0"/>
          <w:sz w:val="24"/>
          <w:szCs w:val="24"/>
          <w:lang w:val="en-US" w:eastAsia="zh-CN" w:bidi="ar"/>
          <w14:ligatures w14:val="none"/>
        </w:rPr>
        <w:t>贝塔医药2022年度至2024年度人工成本支出呈现上升趋势，2023年1,502.38万元较2022年974.18万元增长528.20万元，2024年1,619.47万元较2023年增长</w:t>
      </w:r>
      <w:r>
        <w:rPr>
          <w:rFonts w:hint="default" w:ascii="Times New Roman" w:hAnsi="Times New Roman" w:cs="Times New Roman"/>
          <w:color w:val="000000"/>
          <w:kern w:val="0"/>
          <w:sz w:val="24"/>
          <w:szCs w:val="24"/>
          <w:lang w:val="en-US" w:eastAsia="zh-CN" w:bidi="ar"/>
          <w14:ligatures w14:val="none"/>
        </w:rPr>
        <w:t>117.09万元</w:t>
      </w:r>
      <w:r>
        <w:rPr>
          <w:rFonts w:hint="default" w:ascii="Times New Roman" w:hAnsi="Times New Roman" w:eastAsia="宋体" w:cs="Times New Roman"/>
          <w:color w:val="000000"/>
          <w:kern w:val="0"/>
          <w:sz w:val="24"/>
          <w:szCs w:val="24"/>
          <w:lang w:val="en-US" w:eastAsia="zh-CN" w:bidi="ar"/>
          <w14:ligatures w14:val="none"/>
        </w:rPr>
        <w:t>。</w:t>
      </w:r>
      <w:r>
        <w:rPr>
          <w:rFonts w:hint="default" w:ascii="Times New Roman" w:hAnsi="Times New Roman" w:cs="Times New Roman"/>
          <w:color w:val="000000"/>
          <w:kern w:val="0"/>
          <w:sz w:val="24"/>
          <w:szCs w:val="24"/>
          <w:lang w:val="en-US" w:eastAsia="zh-CN" w:bidi="ar"/>
          <w14:ligatures w14:val="none"/>
        </w:rPr>
        <w:t>2025年1-6月相比2024年全年的一半809.73万元减少191.85万元，主要原因是2025年未发放2024年度年终奖（</w:t>
      </w:r>
      <w:r>
        <w:rPr>
          <w:rFonts w:hint="default" w:ascii="Times New Roman" w:hAnsi="Times New Roman" w:eastAsia="宋体" w:cs="Times New Roman"/>
        </w:rPr>
        <w:t>2024年度取消发放年终奖这一工资福利</w:t>
      </w:r>
      <w:r>
        <w:rPr>
          <w:rFonts w:hint="default" w:ascii="Times New Roman" w:hAnsi="Times New Roman" w:cs="Times New Roman"/>
          <w:lang w:eastAsia="zh-CN"/>
        </w:rPr>
        <w:t>）</w:t>
      </w:r>
      <w:r>
        <w:rPr>
          <w:rFonts w:hint="default" w:ascii="Times New Roman" w:hAnsi="Times New Roman" w:cs="Times New Roman"/>
          <w:color w:val="000000"/>
          <w:kern w:val="0"/>
          <w:sz w:val="24"/>
          <w:szCs w:val="24"/>
          <w:lang w:val="en-US" w:eastAsia="zh-CN" w:bidi="ar"/>
          <w14:ligatures w14:val="none"/>
        </w:rPr>
        <w:t>。</w:t>
      </w:r>
    </w:p>
    <w:p w14:paraId="40C91019">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jc w:val="both"/>
        <w:textAlignment w:val="auto"/>
        <w:outlineLvl w:val="2"/>
        <w:rPr>
          <w:rFonts w:hint="default" w:ascii="Times New Roman" w:hAnsi="Times New Roman" w:eastAsia="宋体" w:cs="Times New Roman"/>
          <w:lang w:val="en-US" w:eastAsia="zh-CN"/>
        </w:rPr>
      </w:pPr>
    </w:p>
    <w:p w14:paraId="1B458F3B">
      <w:pPr>
        <w:pStyle w:val="68"/>
        <w:pageBreakBefore w:val="0"/>
        <w:widowControl w:val="0"/>
        <w:numPr>
          <w:ilvl w:val="0"/>
          <w:numId w:val="2"/>
        </w:numPr>
        <w:kinsoku/>
        <w:wordWrap/>
        <w:overflowPunct/>
        <w:topLinePunct w:val="0"/>
        <w:autoSpaceDE/>
        <w:autoSpaceDN/>
        <w:bidi w:val="0"/>
        <w:adjustRightInd w:val="0"/>
        <w:snapToGrid w:val="0"/>
        <w:spacing w:before="0" w:beforeLines="0" w:after="0" w:afterLines="0" w:line="360" w:lineRule="auto"/>
        <w:ind w:left="0" w:leftChars="0" w:firstLine="420" w:firstLineChars="0"/>
        <w:textAlignment w:val="auto"/>
        <w:rPr>
          <w:rFonts w:hint="default" w:ascii="Times New Roman" w:hAnsi="Times New Roman" w:eastAsia="宋体" w:cs="Times New Roman"/>
        </w:rPr>
      </w:pPr>
      <w:bookmarkStart w:id="4" w:name="_Toc13735"/>
      <w:r>
        <w:rPr>
          <w:rFonts w:hint="default" w:ascii="Times New Roman" w:hAnsi="Times New Roman" w:eastAsia="宋体" w:cs="Times New Roman"/>
        </w:rPr>
        <w:t>现金流量情况</w:t>
      </w:r>
      <w:bookmarkEnd w:id="4"/>
    </w:p>
    <w:p w14:paraId="4AF8F6ED">
      <w:pPr>
        <w:pStyle w:val="33"/>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textAlignment w:val="auto"/>
        <w:rPr>
          <w:rFonts w:hint="default" w:ascii="Times New Roman" w:hAnsi="Times New Roman" w:cs="Times New Roman"/>
        </w:rPr>
      </w:pPr>
      <w:r>
        <w:rPr>
          <w:rFonts w:hint="default" w:ascii="Times New Roman" w:hAnsi="Times New Roman" w:cs="Times New Roman"/>
        </w:rPr>
        <w:t>标的公司各期现金流量情况如下：</w:t>
      </w:r>
    </w:p>
    <w:tbl>
      <w:tblPr>
        <w:tblStyle w:val="35"/>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3794"/>
        <w:gridCol w:w="1180"/>
        <w:gridCol w:w="1180"/>
        <w:gridCol w:w="1180"/>
        <w:gridCol w:w="1183"/>
      </w:tblGrid>
      <w:tr w14:paraId="1283F2F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vAlign w:val="center"/>
          </w:tcPr>
          <w:p w14:paraId="221157B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i/>
                <w:iCs/>
                <w:color w:val="auto"/>
                <w:sz w:val="21"/>
                <w:szCs w:val="21"/>
                <w:u w:val="none"/>
              </w:rPr>
            </w:pPr>
            <w:r>
              <w:rPr>
                <w:rFonts w:hint="default" w:ascii="Times New Roman" w:hAnsi="Times New Roman" w:eastAsia="宋体" w:cs="Times New Roman"/>
                <w:i/>
                <w:iCs/>
                <w:color w:val="auto"/>
                <w:kern w:val="0"/>
                <w:sz w:val="21"/>
                <w:szCs w:val="21"/>
                <w:u w:val="none"/>
                <w:lang w:val="en-US" w:eastAsia="zh-CN" w:bidi="ar"/>
                <w14:ligatures w14:val="none"/>
              </w:rPr>
              <w:t>货币：人民币</w:t>
            </w:r>
            <w:r>
              <w:rPr>
                <w:rFonts w:hint="default" w:ascii="Times New Roman" w:hAnsi="Times New Roman" w:cs="Times New Roman"/>
                <w:i/>
                <w:iCs/>
                <w:color w:val="auto"/>
                <w:kern w:val="0"/>
                <w:sz w:val="21"/>
                <w:szCs w:val="21"/>
                <w:u w:val="none"/>
                <w:lang w:val="en-US" w:eastAsia="zh-CN" w:bidi="ar"/>
                <w14:ligatures w14:val="none"/>
              </w:rPr>
              <w:t>万</w:t>
            </w:r>
            <w:r>
              <w:rPr>
                <w:rFonts w:hint="default" w:ascii="Times New Roman" w:hAnsi="Times New Roman" w:eastAsia="宋体" w:cs="Times New Roman"/>
                <w:i/>
                <w:iCs/>
                <w:color w:val="auto"/>
                <w:kern w:val="0"/>
                <w:sz w:val="21"/>
                <w:szCs w:val="21"/>
                <w:u w:val="none"/>
                <w:lang w:val="en-US" w:eastAsia="zh-CN" w:bidi="ar"/>
                <w14:ligatures w14:val="none"/>
              </w:rPr>
              <w:t>元</w:t>
            </w:r>
          </w:p>
        </w:tc>
        <w:tc>
          <w:tcPr>
            <w:tcW w:w="692" w:type="pct"/>
            <w:tcBorders>
              <w:tl2br w:val="nil"/>
              <w:tr2bl w:val="nil"/>
            </w:tcBorders>
            <w:shd w:val="clear" w:color="auto" w:fill="auto"/>
            <w:vAlign w:val="center"/>
          </w:tcPr>
          <w:p w14:paraId="2D51781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2022年度</w:t>
            </w:r>
          </w:p>
        </w:tc>
        <w:tc>
          <w:tcPr>
            <w:tcW w:w="692" w:type="pct"/>
            <w:tcBorders>
              <w:tl2br w:val="nil"/>
              <w:tr2bl w:val="nil"/>
            </w:tcBorders>
            <w:shd w:val="clear" w:color="auto" w:fill="auto"/>
            <w:vAlign w:val="center"/>
          </w:tcPr>
          <w:p w14:paraId="404ECE8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2023年度</w:t>
            </w:r>
          </w:p>
        </w:tc>
        <w:tc>
          <w:tcPr>
            <w:tcW w:w="692" w:type="pct"/>
            <w:tcBorders>
              <w:tl2br w:val="nil"/>
              <w:tr2bl w:val="nil"/>
            </w:tcBorders>
            <w:shd w:val="clear" w:color="auto" w:fill="auto"/>
            <w:vAlign w:val="center"/>
          </w:tcPr>
          <w:p w14:paraId="26F6E7A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2024年度</w:t>
            </w:r>
          </w:p>
        </w:tc>
        <w:tc>
          <w:tcPr>
            <w:tcW w:w="694" w:type="pct"/>
            <w:tcBorders>
              <w:tl2br w:val="nil"/>
              <w:tr2bl w:val="nil"/>
            </w:tcBorders>
            <w:shd w:val="clear" w:color="auto" w:fill="auto"/>
            <w:vAlign w:val="center"/>
          </w:tcPr>
          <w:p w14:paraId="04F9D2C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2025年1-6月</w:t>
            </w:r>
          </w:p>
        </w:tc>
      </w:tr>
      <w:tr w14:paraId="15F0A6E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noWrap/>
            <w:vAlign w:val="center"/>
          </w:tcPr>
          <w:p w14:paraId="4E0D92E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 xml:space="preserve"> </w:t>
            </w:r>
            <w:r>
              <w:rPr>
                <w:rStyle w:val="103"/>
                <w:rFonts w:hint="default" w:ascii="Times New Roman" w:hAnsi="Times New Roman" w:eastAsia="宋体" w:cs="Times New Roman"/>
                <w:color w:val="auto"/>
                <w:sz w:val="21"/>
                <w:szCs w:val="21"/>
                <w:lang w:val="en-US" w:eastAsia="zh-CN" w:bidi="ar"/>
              </w:rPr>
              <w:t>经营活动产生的现金流量净额</w:t>
            </w:r>
          </w:p>
        </w:tc>
        <w:tc>
          <w:tcPr>
            <w:tcW w:w="692" w:type="pct"/>
            <w:tcBorders>
              <w:tl2br w:val="nil"/>
              <w:tr2bl w:val="nil"/>
            </w:tcBorders>
            <w:shd w:val="clear" w:color="auto" w:fill="auto"/>
            <w:noWrap/>
            <w:vAlign w:val="center"/>
          </w:tcPr>
          <w:p w14:paraId="0B42D1F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-1,027.58</w:t>
            </w:r>
          </w:p>
        </w:tc>
        <w:tc>
          <w:tcPr>
            <w:tcW w:w="692" w:type="pct"/>
            <w:tcBorders>
              <w:tl2br w:val="nil"/>
              <w:tr2bl w:val="nil"/>
            </w:tcBorders>
            <w:shd w:val="clear" w:color="auto" w:fill="auto"/>
            <w:noWrap/>
            <w:vAlign w:val="center"/>
          </w:tcPr>
          <w:p w14:paraId="4EDA1D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-1,216.70</w:t>
            </w:r>
          </w:p>
        </w:tc>
        <w:tc>
          <w:tcPr>
            <w:tcW w:w="692" w:type="pct"/>
            <w:tcBorders>
              <w:tl2br w:val="nil"/>
              <w:tr2bl w:val="nil"/>
            </w:tcBorders>
            <w:shd w:val="clear" w:color="auto" w:fill="auto"/>
            <w:noWrap/>
            <w:vAlign w:val="center"/>
          </w:tcPr>
          <w:p w14:paraId="470321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-575.35</w:t>
            </w:r>
          </w:p>
        </w:tc>
        <w:tc>
          <w:tcPr>
            <w:tcW w:w="694" w:type="pct"/>
            <w:tcBorders>
              <w:tl2br w:val="nil"/>
              <w:tr2bl w:val="nil"/>
            </w:tcBorders>
            <w:shd w:val="clear" w:color="auto" w:fill="auto"/>
            <w:noWrap/>
            <w:vAlign w:val="center"/>
          </w:tcPr>
          <w:p w14:paraId="09130C9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-230.09</w:t>
            </w:r>
          </w:p>
        </w:tc>
      </w:tr>
      <w:tr w14:paraId="7B8963A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noWrap/>
            <w:vAlign w:val="center"/>
          </w:tcPr>
          <w:p w14:paraId="0CB3940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 xml:space="preserve"> </w:t>
            </w:r>
            <w:r>
              <w:rPr>
                <w:rStyle w:val="103"/>
                <w:rFonts w:hint="default" w:ascii="Times New Roman" w:hAnsi="Times New Roman" w:eastAsia="宋体" w:cs="Times New Roman"/>
                <w:color w:val="auto"/>
                <w:sz w:val="21"/>
                <w:szCs w:val="21"/>
                <w:lang w:val="en-US" w:eastAsia="zh-CN" w:bidi="ar"/>
              </w:rPr>
              <w:t>投资活动产生的现金流量净额</w:t>
            </w:r>
          </w:p>
        </w:tc>
        <w:tc>
          <w:tcPr>
            <w:tcW w:w="692" w:type="pct"/>
            <w:tcBorders>
              <w:tl2br w:val="nil"/>
              <w:tr2bl w:val="nil"/>
            </w:tcBorders>
            <w:shd w:val="clear" w:color="auto" w:fill="auto"/>
            <w:noWrap/>
            <w:vAlign w:val="center"/>
          </w:tcPr>
          <w:p w14:paraId="41808BF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-1,560.88</w:t>
            </w:r>
          </w:p>
        </w:tc>
        <w:tc>
          <w:tcPr>
            <w:tcW w:w="692" w:type="pct"/>
            <w:tcBorders>
              <w:tl2br w:val="nil"/>
              <w:tr2bl w:val="nil"/>
            </w:tcBorders>
            <w:shd w:val="clear" w:color="auto" w:fill="auto"/>
            <w:noWrap/>
            <w:vAlign w:val="center"/>
          </w:tcPr>
          <w:p w14:paraId="7F388D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-528.93</w:t>
            </w:r>
          </w:p>
        </w:tc>
        <w:tc>
          <w:tcPr>
            <w:tcW w:w="692" w:type="pct"/>
            <w:tcBorders>
              <w:tl2br w:val="nil"/>
              <w:tr2bl w:val="nil"/>
            </w:tcBorders>
            <w:shd w:val="clear" w:color="auto" w:fill="auto"/>
            <w:noWrap/>
            <w:vAlign w:val="center"/>
          </w:tcPr>
          <w:p w14:paraId="7DFA36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1,889.52</w:t>
            </w:r>
          </w:p>
        </w:tc>
        <w:tc>
          <w:tcPr>
            <w:tcW w:w="694" w:type="pct"/>
            <w:tcBorders>
              <w:tl2br w:val="nil"/>
              <w:tr2bl w:val="nil"/>
            </w:tcBorders>
            <w:shd w:val="clear" w:color="auto" w:fill="auto"/>
            <w:noWrap/>
            <w:vAlign w:val="center"/>
          </w:tcPr>
          <w:p w14:paraId="0B1F2A5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-3,305.78</w:t>
            </w:r>
          </w:p>
        </w:tc>
      </w:tr>
      <w:tr w14:paraId="71A437E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noWrap/>
            <w:vAlign w:val="center"/>
          </w:tcPr>
          <w:p w14:paraId="639AC2F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 xml:space="preserve"> </w:t>
            </w:r>
            <w:r>
              <w:rPr>
                <w:rStyle w:val="103"/>
                <w:rFonts w:hint="default" w:ascii="Times New Roman" w:hAnsi="Times New Roman" w:eastAsia="宋体" w:cs="Times New Roman"/>
                <w:color w:val="auto"/>
                <w:sz w:val="21"/>
                <w:szCs w:val="21"/>
                <w:lang w:val="en-US" w:eastAsia="zh-CN" w:bidi="ar"/>
              </w:rPr>
              <w:t>筹资活动产生的现金流量净额</w:t>
            </w:r>
          </w:p>
        </w:tc>
        <w:tc>
          <w:tcPr>
            <w:tcW w:w="692" w:type="pct"/>
            <w:tcBorders>
              <w:tl2br w:val="nil"/>
              <w:tr2bl w:val="nil"/>
            </w:tcBorders>
            <w:shd w:val="clear" w:color="auto" w:fill="auto"/>
            <w:noWrap/>
            <w:vAlign w:val="center"/>
          </w:tcPr>
          <w:p w14:paraId="626DBC7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2,536.33</w:t>
            </w:r>
          </w:p>
        </w:tc>
        <w:tc>
          <w:tcPr>
            <w:tcW w:w="692" w:type="pct"/>
            <w:tcBorders>
              <w:tl2br w:val="nil"/>
              <w:tr2bl w:val="nil"/>
            </w:tcBorders>
            <w:shd w:val="clear" w:color="auto" w:fill="auto"/>
            <w:noWrap/>
            <w:vAlign w:val="center"/>
          </w:tcPr>
          <w:p w14:paraId="38629E3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1,664.85</w:t>
            </w:r>
          </w:p>
        </w:tc>
        <w:tc>
          <w:tcPr>
            <w:tcW w:w="692" w:type="pct"/>
            <w:tcBorders>
              <w:tl2br w:val="nil"/>
              <w:tr2bl w:val="nil"/>
            </w:tcBorders>
            <w:shd w:val="clear" w:color="auto" w:fill="auto"/>
            <w:noWrap/>
            <w:vAlign w:val="center"/>
          </w:tcPr>
          <w:p w14:paraId="428056E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510.91</w:t>
            </w:r>
          </w:p>
        </w:tc>
        <w:tc>
          <w:tcPr>
            <w:tcW w:w="694" w:type="pct"/>
            <w:tcBorders>
              <w:tl2br w:val="nil"/>
              <w:tr2bl w:val="nil"/>
            </w:tcBorders>
            <w:shd w:val="clear" w:color="auto" w:fill="auto"/>
            <w:noWrap/>
            <w:vAlign w:val="center"/>
          </w:tcPr>
          <w:p w14:paraId="3AFDF31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1,854.89</w:t>
            </w:r>
          </w:p>
        </w:tc>
      </w:tr>
      <w:tr w14:paraId="73AAEA2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2227" w:type="pct"/>
            <w:tcBorders>
              <w:tl2br w:val="nil"/>
              <w:tr2bl w:val="nil"/>
            </w:tcBorders>
            <w:shd w:val="clear" w:color="auto" w:fill="auto"/>
            <w:noWrap/>
            <w:vAlign w:val="center"/>
          </w:tcPr>
          <w:p w14:paraId="1B1FF2C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14:ligatures w14:val="none"/>
              </w:rPr>
              <w:t>汇率变动影响</w:t>
            </w:r>
          </w:p>
        </w:tc>
        <w:tc>
          <w:tcPr>
            <w:tcW w:w="1180" w:type="dxa"/>
            <w:tcBorders>
              <w:tl2br w:val="nil"/>
              <w:tr2bl w:val="nil"/>
            </w:tcBorders>
            <w:shd w:val="clear" w:color="auto" w:fill="auto"/>
            <w:noWrap/>
            <w:vAlign w:val="center"/>
          </w:tcPr>
          <w:p w14:paraId="201E221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0.00</w:t>
            </w:r>
          </w:p>
        </w:tc>
        <w:tc>
          <w:tcPr>
            <w:tcW w:w="1180" w:type="dxa"/>
            <w:tcBorders>
              <w:tl2br w:val="nil"/>
              <w:tr2bl w:val="nil"/>
            </w:tcBorders>
            <w:shd w:val="clear" w:color="auto" w:fill="auto"/>
            <w:noWrap/>
            <w:vAlign w:val="center"/>
          </w:tcPr>
          <w:p w14:paraId="641B671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0.00</w:t>
            </w:r>
          </w:p>
        </w:tc>
        <w:tc>
          <w:tcPr>
            <w:tcW w:w="1180" w:type="dxa"/>
            <w:tcBorders>
              <w:tl2br w:val="nil"/>
              <w:tr2bl w:val="nil"/>
            </w:tcBorders>
            <w:shd w:val="clear" w:color="auto" w:fill="auto"/>
            <w:noWrap/>
            <w:vAlign w:val="center"/>
          </w:tcPr>
          <w:p w14:paraId="3FD0D4B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0.00</w:t>
            </w:r>
          </w:p>
        </w:tc>
        <w:tc>
          <w:tcPr>
            <w:tcW w:w="1183" w:type="dxa"/>
            <w:tcBorders>
              <w:tl2br w:val="nil"/>
              <w:tr2bl w:val="nil"/>
            </w:tcBorders>
            <w:shd w:val="clear" w:color="auto" w:fill="auto"/>
            <w:noWrap/>
            <w:vAlign w:val="center"/>
          </w:tcPr>
          <w:p w14:paraId="62FA1C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0.00</w:t>
            </w:r>
          </w:p>
        </w:tc>
      </w:tr>
      <w:tr w14:paraId="40E116F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noWrap/>
            <w:vAlign w:val="center"/>
          </w:tcPr>
          <w:p w14:paraId="695890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现金净增加额</w:t>
            </w:r>
          </w:p>
        </w:tc>
        <w:tc>
          <w:tcPr>
            <w:tcW w:w="1180" w:type="dxa"/>
            <w:tcBorders>
              <w:tl2br w:val="nil"/>
              <w:tr2bl w:val="nil"/>
            </w:tcBorders>
            <w:shd w:val="clear" w:color="auto" w:fill="auto"/>
            <w:noWrap/>
            <w:vAlign w:val="center"/>
          </w:tcPr>
          <w:p w14:paraId="0ED3D9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-52.13</w:t>
            </w:r>
          </w:p>
        </w:tc>
        <w:tc>
          <w:tcPr>
            <w:tcW w:w="1180" w:type="dxa"/>
            <w:tcBorders>
              <w:tl2br w:val="nil"/>
              <w:tr2bl w:val="nil"/>
            </w:tcBorders>
            <w:shd w:val="clear" w:color="auto" w:fill="auto"/>
            <w:noWrap/>
            <w:vAlign w:val="center"/>
          </w:tcPr>
          <w:p w14:paraId="014E53B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-80.78</w:t>
            </w:r>
          </w:p>
        </w:tc>
        <w:tc>
          <w:tcPr>
            <w:tcW w:w="1180" w:type="dxa"/>
            <w:tcBorders>
              <w:tl2br w:val="nil"/>
              <w:tr2bl w:val="nil"/>
            </w:tcBorders>
            <w:shd w:val="clear" w:color="auto" w:fill="auto"/>
            <w:noWrap/>
            <w:vAlign w:val="center"/>
          </w:tcPr>
          <w:p w14:paraId="4E87C74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1,825.08</w:t>
            </w:r>
          </w:p>
        </w:tc>
        <w:tc>
          <w:tcPr>
            <w:tcW w:w="1183" w:type="dxa"/>
            <w:tcBorders>
              <w:tl2br w:val="nil"/>
              <w:tr2bl w:val="nil"/>
            </w:tcBorders>
            <w:shd w:val="clear" w:color="auto" w:fill="auto"/>
            <w:noWrap/>
            <w:vAlign w:val="center"/>
          </w:tcPr>
          <w:p w14:paraId="222E5D5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-1,680.97</w:t>
            </w:r>
          </w:p>
        </w:tc>
      </w:tr>
      <w:tr w14:paraId="57BF679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noWrap/>
            <w:vAlign w:val="center"/>
          </w:tcPr>
          <w:p w14:paraId="56D8BFF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w:t>
            </w:r>
            <w:r>
              <w:rPr>
                <w:rStyle w:val="102"/>
                <w:rFonts w:hint="default" w:ascii="Times New Roman" w:hAnsi="Times New Roman" w:eastAsia="宋体" w:cs="Times New Roman"/>
                <w:color w:val="auto"/>
                <w:sz w:val="21"/>
                <w:szCs w:val="21"/>
                <w:lang w:val="en-US" w:eastAsia="zh-CN" w:bidi="ar"/>
              </w:rPr>
              <w:t>加：期初现金余额</w:t>
            </w:r>
          </w:p>
        </w:tc>
        <w:tc>
          <w:tcPr>
            <w:tcW w:w="1180" w:type="dxa"/>
            <w:tcBorders>
              <w:tl2br w:val="nil"/>
              <w:tr2bl w:val="nil"/>
            </w:tcBorders>
            <w:shd w:val="clear" w:color="auto" w:fill="auto"/>
            <w:noWrap/>
            <w:vAlign w:val="center"/>
          </w:tcPr>
          <w:p w14:paraId="077C70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260.14</w:t>
            </w:r>
          </w:p>
        </w:tc>
        <w:tc>
          <w:tcPr>
            <w:tcW w:w="1180" w:type="dxa"/>
            <w:tcBorders>
              <w:tl2br w:val="nil"/>
              <w:tr2bl w:val="nil"/>
            </w:tcBorders>
            <w:shd w:val="clear" w:color="auto" w:fill="auto"/>
            <w:noWrap/>
            <w:vAlign w:val="center"/>
          </w:tcPr>
          <w:p w14:paraId="65A21A3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208.01</w:t>
            </w:r>
          </w:p>
        </w:tc>
        <w:tc>
          <w:tcPr>
            <w:tcW w:w="1180" w:type="dxa"/>
            <w:tcBorders>
              <w:tl2br w:val="nil"/>
              <w:tr2bl w:val="nil"/>
            </w:tcBorders>
            <w:shd w:val="clear" w:color="auto" w:fill="auto"/>
            <w:noWrap/>
            <w:vAlign w:val="center"/>
          </w:tcPr>
          <w:p w14:paraId="7E6C134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127.21</w:t>
            </w:r>
          </w:p>
        </w:tc>
        <w:tc>
          <w:tcPr>
            <w:tcW w:w="1183" w:type="dxa"/>
            <w:tcBorders>
              <w:tl2br w:val="nil"/>
              <w:tr2bl w:val="nil"/>
            </w:tcBorders>
            <w:shd w:val="clear" w:color="auto" w:fill="auto"/>
            <w:noWrap/>
            <w:vAlign w:val="center"/>
          </w:tcPr>
          <w:p w14:paraId="1828CD8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auto"/>
                <w:kern w:val="0"/>
                <w:sz w:val="21"/>
                <w:szCs w:val="21"/>
                <w:u w:val="none"/>
                <w:lang w:val="en-US" w:eastAsia="zh-CN" w:bidi="ar"/>
                <w14:ligatures w14:val="none"/>
              </w:rPr>
            </w:pPr>
            <w:r>
              <w:rPr>
                <w:rFonts w:hint="default" w:ascii="Times New Roman" w:hAnsi="Times New Roman" w:eastAsia="宋体" w:cs="Times New Roman"/>
                <w:b w:val="0"/>
                <w:bCs w:val="0"/>
                <w:i w:val="0"/>
                <w:iCs w:val="0"/>
                <w:color w:val="auto"/>
                <w:kern w:val="0"/>
                <w:sz w:val="21"/>
                <w:szCs w:val="21"/>
                <w:u w:val="none"/>
                <w:lang w:val="en-US" w:eastAsia="zh-CN" w:bidi="ar"/>
                <w14:ligatures w14:val="none"/>
              </w:rPr>
              <w:t>1,952.28</w:t>
            </w:r>
          </w:p>
        </w:tc>
      </w:tr>
      <w:tr w14:paraId="15F1094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227" w:type="pct"/>
            <w:tcBorders>
              <w:tl2br w:val="nil"/>
              <w:tr2bl w:val="nil"/>
            </w:tcBorders>
            <w:shd w:val="clear" w:color="auto" w:fill="auto"/>
            <w:noWrap/>
            <w:vAlign w:val="center"/>
          </w:tcPr>
          <w:p w14:paraId="494C502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期末现金余额</w:t>
            </w:r>
          </w:p>
        </w:tc>
        <w:tc>
          <w:tcPr>
            <w:tcW w:w="1180" w:type="dxa"/>
            <w:tcBorders>
              <w:tl2br w:val="nil"/>
              <w:tr2bl w:val="nil"/>
            </w:tcBorders>
            <w:shd w:val="clear" w:color="auto" w:fill="auto"/>
            <w:noWrap/>
            <w:vAlign w:val="center"/>
          </w:tcPr>
          <w:p w14:paraId="1AC9CA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208.01</w:t>
            </w:r>
          </w:p>
        </w:tc>
        <w:tc>
          <w:tcPr>
            <w:tcW w:w="1180" w:type="dxa"/>
            <w:tcBorders>
              <w:tl2br w:val="nil"/>
              <w:tr2bl w:val="nil"/>
            </w:tcBorders>
            <w:shd w:val="clear" w:color="auto" w:fill="auto"/>
            <w:noWrap/>
            <w:vAlign w:val="center"/>
          </w:tcPr>
          <w:p w14:paraId="3270E1B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127.23</w:t>
            </w:r>
          </w:p>
        </w:tc>
        <w:tc>
          <w:tcPr>
            <w:tcW w:w="1180" w:type="dxa"/>
            <w:tcBorders>
              <w:tl2br w:val="nil"/>
              <w:tr2bl w:val="nil"/>
            </w:tcBorders>
            <w:shd w:val="clear" w:color="auto" w:fill="auto"/>
            <w:noWrap/>
            <w:vAlign w:val="center"/>
          </w:tcPr>
          <w:p w14:paraId="6C82B43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1,952.28</w:t>
            </w:r>
          </w:p>
        </w:tc>
        <w:tc>
          <w:tcPr>
            <w:tcW w:w="1183" w:type="dxa"/>
            <w:tcBorders>
              <w:tl2br w:val="nil"/>
              <w:tr2bl w:val="nil"/>
            </w:tcBorders>
            <w:shd w:val="clear" w:color="auto" w:fill="auto"/>
            <w:noWrap/>
            <w:vAlign w:val="center"/>
          </w:tcPr>
          <w:p w14:paraId="5ADF0DB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271.31</w:t>
            </w:r>
          </w:p>
        </w:tc>
      </w:tr>
    </w:tbl>
    <w:p w14:paraId="0272F0E8">
      <w:pPr>
        <w:pStyle w:val="33"/>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公司</w:t>
      </w:r>
      <w:r>
        <w:rPr>
          <w:rFonts w:hint="default" w:ascii="Times New Roman" w:hAnsi="Times New Roman" w:eastAsia="宋体" w:cs="Times New Roman"/>
        </w:rPr>
        <w:t>经营性现金流</w:t>
      </w:r>
      <w:r>
        <w:rPr>
          <w:rFonts w:hint="default" w:ascii="Times New Roman" w:hAnsi="Times New Roman" w:cs="Times New Roman"/>
          <w:lang w:val="en-US" w:eastAsia="zh-CN"/>
        </w:rPr>
        <w:t>持续为负，主要原因是公司2022、2023年虽然盈利，但是由于提前购置</w:t>
      </w:r>
      <w:r>
        <w:rPr>
          <w:rFonts w:hint="default" w:ascii="Times New Roman" w:hAnsi="Times New Roman" w:eastAsia="宋体" w:cs="Times New Roman"/>
          <w:b w:val="0"/>
          <w:bCs w:val="0"/>
          <w:color w:val="auto"/>
          <w:kern w:val="2"/>
          <w:sz w:val="24"/>
          <w:szCs w:val="22"/>
          <w:lang w:bidi="ar"/>
        </w:rPr>
        <w:t>碳酸钡-14C</w:t>
      </w:r>
      <w:r>
        <w:rPr>
          <w:rFonts w:hint="default" w:ascii="Times New Roman" w:hAnsi="Times New Roman" w:cs="Times New Roman"/>
          <w:lang w:val="en-US" w:eastAsia="zh-CN"/>
        </w:rPr>
        <w:t>和</w:t>
      </w:r>
      <w:r>
        <w:rPr>
          <w:rFonts w:hint="default" w:ascii="Times New Roman" w:hAnsi="Times New Roman" w:eastAsia="宋体" w:cs="Times New Roman"/>
          <w:b w:val="0"/>
          <w:bCs w:val="0"/>
          <w:color w:val="auto"/>
          <w:kern w:val="2"/>
          <w:sz w:val="24"/>
          <w:szCs w:val="22"/>
          <w:lang w:bidi="ar"/>
        </w:rPr>
        <w:t>氰化钾-14C</w:t>
      </w:r>
      <w:r>
        <w:rPr>
          <w:rFonts w:hint="default" w:ascii="Times New Roman" w:hAnsi="Times New Roman" w:cs="Times New Roman"/>
          <w:lang w:val="en-US" w:eastAsia="zh-CN"/>
        </w:rPr>
        <w:t>原材料储备（2022和2023年分别采购</w:t>
      </w:r>
      <w:r>
        <w:rPr>
          <w:rFonts w:hint="default" w:ascii="Times New Roman" w:hAnsi="Times New Roman" w:cs="Times New Roman"/>
          <w:b w:val="0"/>
          <w:bCs w:val="0"/>
          <w:kern w:val="2"/>
          <w:sz w:val="24"/>
          <w:szCs w:val="22"/>
          <w:lang w:val="en-US" w:eastAsia="zh-CN" w:bidi="ar"/>
        </w:rPr>
        <w:t>1189.77万元和2223.31万元）</w:t>
      </w:r>
      <w:r>
        <w:rPr>
          <w:rFonts w:hint="default" w:ascii="Times New Roman" w:hAnsi="Times New Roman" w:cs="Times New Roman"/>
          <w:lang w:val="en-US" w:eastAsia="zh-CN"/>
        </w:rPr>
        <w:t>，因此导致经营性现金流为负，而公司2024年及2025年1-6月由于国内医药景气度下降，合同价格下降出现亏损，所以经营性现金流为负。</w:t>
      </w:r>
    </w:p>
    <w:p w14:paraId="55197D4B">
      <w:pPr>
        <w:pStyle w:val="33"/>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textAlignment w:val="auto"/>
        <w:rPr>
          <w:rFonts w:hint="default" w:ascii="Times New Roman" w:hAnsi="Times New Roman" w:eastAsia="宋体" w:cs="Times New Roman"/>
          <w:lang w:eastAsia="zh-CN"/>
        </w:rPr>
      </w:pPr>
      <w:r>
        <w:rPr>
          <w:rFonts w:hint="default" w:ascii="Times New Roman" w:hAnsi="Times New Roman" w:cs="Times New Roman"/>
          <w:lang w:val="en-US" w:eastAsia="zh-CN"/>
        </w:rPr>
        <w:t>投资性现金流</w:t>
      </w:r>
      <w:r>
        <w:rPr>
          <w:rFonts w:hint="default" w:ascii="Times New Roman" w:hAnsi="Times New Roman" w:eastAsia="宋体" w:cs="Times New Roman"/>
        </w:rPr>
        <w:t>主要是构建固定资产</w:t>
      </w:r>
      <w:r>
        <w:rPr>
          <w:rFonts w:hint="default" w:ascii="Times New Roman" w:hAnsi="Times New Roman" w:eastAsia="宋体" w:cs="Times New Roman"/>
          <w:lang w:eastAsia="zh-CN"/>
        </w:rPr>
        <w:t>、</w:t>
      </w:r>
      <w:r>
        <w:rPr>
          <w:rFonts w:hint="default" w:ascii="Times New Roman" w:hAnsi="Times New Roman" w:eastAsia="宋体" w:cs="Times New Roman"/>
        </w:rPr>
        <w:t>投资理财产品</w:t>
      </w:r>
      <w:r>
        <w:rPr>
          <w:rFonts w:hint="default" w:ascii="Times New Roman" w:hAnsi="Times New Roman" w:eastAsia="宋体" w:cs="Times New Roman"/>
          <w:lang w:eastAsia="zh-CN"/>
        </w:rPr>
        <w:t>。</w:t>
      </w:r>
    </w:p>
    <w:p w14:paraId="65966B5C">
      <w:pPr>
        <w:pStyle w:val="33"/>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筹资活动现金流主要是银行借款。</w:t>
      </w:r>
    </w:p>
    <w:p w14:paraId="7A6827DD">
      <w:pPr>
        <w:pStyle w:val="68"/>
        <w:pageBreakBefore w:val="0"/>
        <w:widowControl w:val="0"/>
        <w:numPr>
          <w:ilvl w:val="0"/>
          <w:numId w:val="2"/>
        </w:numPr>
        <w:kinsoku/>
        <w:wordWrap/>
        <w:overflowPunct/>
        <w:topLinePunct w:val="0"/>
        <w:autoSpaceDE/>
        <w:autoSpaceDN/>
        <w:bidi w:val="0"/>
        <w:adjustRightInd w:val="0"/>
        <w:snapToGrid w:val="0"/>
        <w:spacing w:before="0" w:beforeLines="0" w:after="0" w:afterLines="0" w:line="360" w:lineRule="auto"/>
        <w:ind w:left="0" w:leftChars="0" w:firstLine="420" w:firstLineChars="0"/>
        <w:textAlignment w:val="auto"/>
        <w:rPr>
          <w:rFonts w:hint="default" w:ascii="Times New Roman" w:hAnsi="Times New Roman" w:eastAsia="宋体" w:cs="Times New Roman"/>
        </w:rPr>
      </w:pPr>
      <w:bookmarkStart w:id="5" w:name="_Toc4037"/>
      <w:r>
        <w:rPr>
          <w:rFonts w:hint="default" w:ascii="Times New Roman" w:hAnsi="Times New Roman" w:eastAsia="宋体" w:cs="Times New Roman"/>
          <w:lang w:val="en-US" w:eastAsia="zh-CN"/>
        </w:rPr>
        <w:t>借款合同情况</w:t>
      </w:r>
      <w:bookmarkEnd w:id="5"/>
    </w:p>
    <w:p w14:paraId="1A632DFC">
      <w:pPr>
        <w:pStyle w:val="68"/>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textAlignment w:val="auto"/>
        <w:rPr>
          <w:rFonts w:hint="default" w:ascii="Times New Roman" w:hAnsi="Times New Roman" w:eastAsia="宋体" w:cs="Times New Roman"/>
        </w:rPr>
      </w:pPr>
    </w:p>
    <w:tbl>
      <w:tblPr>
        <w:tblStyle w:val="3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1961"/>
        <w:gridCol w:w="1278"/>
        <w:gridCol w:w="1475"/>
        <w:gridCol w:w="987"/>
        <w:gridCol w:w="2188"/>
      </w:tblGrid>
      <w:tr w14:paraId="1B97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67" w:type="pct"/>
            <w:vAlign w:val="center"/>
          </w:tcPr>
          <w:p w14:paraId="624254C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top"/>
              <w:rPr>
                <w:rFonts w:hint="default" w:ascii="Times New Roman" w:hAnsi="Times New Roman" w:eastAsia="宋体" w:cs="Times New Roman"/>
                <w:b/>
                <w:bCs/>
                <w:i w:val="0"/>
                <w:iCs w:val="0"/>
                <w:color w:val="auto"/>
                <w:kern w:val="0"/>
                <w:sz w:val="20"/>
                <w:szCs w:val="20"/>
                <w:u w:val="none"/>
                <w:lang w:val="en-US" w:eastAsia="zh-CN" w:bidi="ar"/>
                <w14:ligatures w14:val="none"/>
              </w:rPr>
            </w:pPr>
            <w:r>
              <w:rPr>
                <w:rFonts w:hint="default" w:ascii="Times New Roman" w:hAnsi="Times New Roman" w:eastAsia="宋体" w:cs="Times New Roman"/>
                <w:b/>
                <w:bCs/>
                <w:i w:val="0"/>
                <w:iCs w:val="0"/>
                <w:color w:val="auto"/>
                <w:kern w:val="0"/>
                <w:sz w:val="20"/>
                <w:szCs w:val="20"/>
                <w:u w:val="none"/>
                <w:lang w:val="en-US" w:eastAsia="zh-CN" w:bidi="ar"/>
                <w14:ligatures w14:val="none"/>
              </w:rPr>
              <w:t>公司</w:t>
            </w:r>
          </w:p>
        </w:tc>
        <w:tc>
          <w:tcPr>
            <w:tcW w:w="1151" w:type="pct"/>
            <w:vAlign w:val="center"/>
          </w:tcPr>
          <w:p w14:paraId="25BB781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top"/>
              <w:rPr>
                <w:rFonts w:hint="default" w:ascii="Times New Roman" w:hAnsi="Times New Roman" w:eastAsia="宋体" w:cs="Times New Roman"/>
                <w:b/>
                <w:bCs/>
                <w:i w:val="0"/>
                <w:iCs w:val="0"/>
                <w:color w:val="auto"/>
                <w:kern w:val="0"/>
                <w:sz w:val="20"/>
                <w:szCs w:val="20"/>
                <w:u w:val="none"/>
                <w:lang w:val="en-US" w:eastAsia="zh-CN" w:bidi="ar"/>
                <w14:ligatures w14:val="none"/>
              </w:rPr>
            </w:pPr>
            <w:r>
              <w:rPr>
                <w:rFonts w:hint="default" w:ascii="Times New Roman" w:hAnsi="Times New Roman" w:eastAsia="宋体" w:cs="Times New Roman"/>
                <w:b/>
                <w:bCs/>
                <w:i w:val="0"/>
                <w:iCs w:val="0"/>
                <w:color w:val="auto"/>
                <w:kern w:val="0"/>
                <w:sz w:val="20"/>
                <w:szCs w:val="20"/>
                <w:u w:val="none"/>
                <w:lang w:val="en-US" w:eastAsia="zh-CN" w:bidi="ar"/>
                <w14:ligatures w14:val="none"/>
              </w:rPr>
              <w:t>借款期限</w:t>
            </w:r>
          </w:p>
        </w:tc>
        <w:tc>
          <w:tcPr>
            <w:tcW w:w="750" w:type="pct"/>
            <w:vAlign w:val="center"/>
          </w:tcPr>
          <w:p w14:paraId="23F9DDD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top"/>
              <w:rPr>
                <w:rFonts w:hint="default" w:ascii="Times New Roman" w:hAnsi="Times New Roman" w:eastAsia="宋体" w:cs="Times New Roman"/>
                <w:b/>
                <w:bCs/>
                <w:i w:val="0"/>
                <w:iCs w:val="0"/>
                <w:color w:val="auto"/>
                <w:kern w:val="0"/>
                <w:sz w:val="20"/>
                <w:szCs w:val="20"/>
                <w:u w:val="none"/>
                <w:lang w:val="en-US" w:eastAsia="zh-CN" w:bidi="ar"/>
                <w14:ligatures w14:val="none"/>
              </w:rPr>
            </w:pPr>
            <w:r>
              <w:rPr>
                <w:rFonts w:hint="default" w:ascii="Times New Roman" w:hAnsi="Times New Roman" w:eastAsia="宋体" w:cs="Times New Roman"/>
                <w:b/>
                <w:bCs/>
                <w:i w:val="0"/>
                <w:iCs w:val="0"/>
                <w:color w:val="auto"/>
                <w:kern w:val="0"/>
                <w:sz w:val="20"/>
                <w:szCs w:val="20"/>
                <w:u w:val="none"/>
                <w:lang w:val="en-US" w:eastAsia="zh-CN" w:bidi="ar"/>
                <w14:ligatures w14:val="none"/>
              </w:rPr>
              <w:t>贷款银行</w:t>
            </w:r>
          </w:p>
        </w:tc>
        <w:tc>
          <w:tcPr>
            <w:tcW w:w="866" w:type="pct"/>
            <w:vAlign w:val="center"/>
          </w:tcPr>
          <w:p w14:paraId="43C1889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top"/>
              <w:rPr>
                <w:rFonts w:hint="default" w:ascii="Times New Roman" w:hAnsi="Times New Roman" w:eastAsia="宋体" w:cs="Times New Roman"/>
                <w:b/>
                <w:bCs/>
                <w:i w:val="0"/>
                <w:iCs w:val="0"/>
                <w:color w:val="auto"/>
                <w:kern w:val="0"/>
                <w:sz w:val="20"/>
                <w:szCs w:val="20"/>
                <w:u w:val="none"/>
                <w:lang w:val="en-US" w:eastAsia="zh-CN" w:bidi="ar"/>
                <w14:ligatures w14:val="none"/>
              </w:rPr>
            </w:pPr>
            <w:r>
              <w:rPr>
                <w:rFonts w:hint="default" w:ascii="Times New Roman" w:hAnsi="Times New Roman" w:eastAsia="宋体" w:cs="Times New Roman"/>
                <w:b/>
                <w:bCs/>
                <w:i w:val="0"/>
                <w:iCs w:val="0"/>
                <w:color w:val="auto"/>
                <w:kern w:val="0"/>
                <w:sz w:val="20"/>
                <w:szCs w:val="20"/>
                <w:u w:val="none"/>
                <w:lang w:val="en-US" w:eastAsia="zh-CN" w:bidi="ar"/>
                <w14:ligatures w14:val="none"/>
              </w:rPr>
              <w:t>贷款金额</w:t>
            </w:r>
          </w:p>
        </w:tc>
        <w:tc>
          <w:tcPr>
            <w:tcW w:w="579" w:type="pct"/>
            <w:vAlign w:val="center"/>
          </w:tcPr>
          <w:p w14:paraId="72A27E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top"/>
              <w:rPr>
                <w:rFonts w:hint="default" w:ascii="Times New Roman" w:hAnsi="Times New Roman" w:eastAsia="宋体" w:cs="Times New Roman"/>
                <w:b/>
                <w:bCs/>
                <w:i w:val="0"/>
                <w:iCs w:val="0"/>
                <w:color w:val="auto"/>
                <w:kern w:val="0"/>
                <w:sz w:val="20"/>
                <w:szCs w:val="20"/>
                <w:u w:val="none"/>
                <w:lang w:val="en-US" w:eastAsia="zh-CN" w:bidi="ar"/>
                <w14:ligatures w14:val="none"/>
              </w:rPr>
            </w:pPr>
            <w:r>
              <w:rPr>
                <w:rFonts w:hint="default" w:ascii="Times New Roman" w:hAnsi="Times New Roman" w:eastAsia="宋体" w:cs="Times New Roman"/>
                <w:b/>
                <w:bCs/>
                <w:i w:val="0"/>
                <w:iCs w:val="0"/>
                <w:color w:val="auto"/>
                <w:kern w:val="0"/>
                <w:sz w:val="20"/>
                <w:szCs w:val="20"/>
                <w:u w:val="none"/>
                <w:lang w:val="en-US" w:eastAsia="zh-CN" w:bidi="ar"/>
                <w14:ligatures w14:val="none"/>
              </w:rPr>
              <w:t>年利率</w:t>
            </w:r>
          </w:p>
        </w:tc>
        <w:tc>
          <w:tcPr>
            <w:tcW w:w="1284" w:type="pct"/>
            <w:vAlign w:val="center"/>
          </w:tcPr>
          <w:p w14:paraId="5EEBEAB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top"/>
              <w:rPr>
                <w:rFonts w:hint="default" w:ascii="Times New Roman" w:hAnsi="Times New Roman" w:eastAsia="宋体" w:cs="Times New Roman"/>
                <w:b/>
                <w:bCs/>
                <w:i w:val="0"/>
                <w:iCs w:val="0"/>
                <w:color w:val="auto"/>
                <w:kern w:val="0"/>
                <w:sz w:val="20"/>
                <w:szCs w:val="20"/>
                <w:u w:val="none"/>
                <w:lang w:val="en-US" w:eastAsia="zh-CN" w:bidi="ar"/>
                <w14:ligatures w14:val="none"/>
              </w:rPr>
            </w:pPr>
            <w:r>
              <w:rPr>
                <w:rFonts w:hint="default" w:ascii="Times New Roman" w:hAnsi="Times New Roman" w:eastAsia="宋体" w:cs="Times New Roman"/>
                <w:b/>
                <w:bCs/>
                <w:i w:val="0"/>
                <w:iCs w:val="0"/>
                <w:color w:val="auto"/>
                <w:kern w:val="0"/>
                <w:sz w:val="20"/>
                <w:szCs w:val="20"/>
                <w:u w:val="none"/>
                <w:lang w:val="en-US" w:eastAsia="zh-CN" w:bidi="ar"/>
                <w14:ligatures w14:val="none"/>
              </w:rPr>
              <w:t>担保方式</w:t>
            </w:r>
          </w:p>
        </w:tc>
      </w:tr>
      <w:tr w14:paraId="52F8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67" w:type="pct"/>
            <w:vMerge w:val="restart"/>
            <w:vAlign w:val="center"/>
          </w:tcPr>
          <w:p w14:paraId="2ED00E1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cs="Times New Roman"/>
                <w:b w:val="0"/>
                <w:bCs w:val="0"/>
                <w:i w:val="0"/>
                <w:iCs w:val="0"/>
                <w:color w:val="auto"/>
                <w:kern w:val="0"/>
                <w:sz w:val="20"/>
                <w:szCs w:val="20"/>
                <w:u w:val="none"/>
                <w:lang w:val="en-US" w:eastAsia="zh-CN" w:bidi="ar"/>
                <w14:ligatures w14:val="none"/>
              </w:rPr>
              <w:t>无锡贝塔</w:t>
            </w:r>
          </w:p>
        </w:tc>
        <w:tc>
          <w:tcPr>
            <w:tcW w:w="1151" w:type="pct"/>
            <w:vAlign w:val="center"/>
          </w:tcPr>
          <w:p w14:paraId="7EB9712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2024.7.23-2025.7.22</w:t>
            </w:r>
          </w:p>
        </w:tc>
        <w:tc>
          <w:tcPr>
            <w:tcW w:w="750" w:type="pct"/>
            <w:vAlign w:val="center"/>
          </w:tcPr>
          <w:p w14:paraId="2B37CFF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江阴农商行</w:t>
            </w:r>
          </w:p>
        </w:tc>
        <w:tc>
          <w:tcPr>
            <w:tcW w:w="866" w:type="pct"/>
            <w:vAlign w:val="center"/>
          </w:tcPr>
          <w:p w14:paraId="17324A4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10,000,000.00</w:t>
            </w:r>
          </w:p>
        </w:tc>
        <w:tc>
          <w:tcPr>
            <w:tcW w:w="579" w:type="pct"/>
            <w:vAlign w:val="center"/>
          </w:tcPr>
          <w:p w14:paraId="7F57DF2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3.35%</w:t>
            </w:r>
          </w:p>
        </w:tc>
        <w:tc>
          <w:tcPr>
            <w:tcW w:w="1284" w:type="pct"/>
            <w:vAlign w:val="center"/>
          </w:tcPr>
          <w:p w14:paraId="6917D95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李刚连带责任保证+专利质押</w:t>
            </w:r>
          </w:p>
        </w:tc>
      </w:tr>
      <w:tr w14:paraId="4E18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67" w:type="pct"/>
            <w:vMerge w:val="continue"/>
            <w:vAlign w:val="center"/>
          </w:tcPr>
          <w:p w14:paraId="2FE93D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p>
        </w:tc>
        <w:tc>
          <w:tcPr>
            <w:tcW w:w="1151" w:type="pct"/>
            <w:vAlign w:val="center"/>
          </w:tcPr>
          <w:p w14:paraId="21F82C0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2025.3.11-2026.3.12</w:t>
            </w:r>
          </w:p>
        </w:tc>
        <w:tc>
          <w:tcPr>
            <w:tcW w:w="750" w:type="pct"/>
            <w:vAlign w:val="center"/>
          </w:tcPr>
          <w:p w14:paraId="48BD8DA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江苏银行</w:t>
            </w:r>
          </w:p>
        </w:tc>
        <w:tc>
          <w:tcPr>
            <w:tcW w:w="866" w:type="pct"/>
            <w:vAlign w:val="center"/>
          </w:tcPr>
          <w:p w14:paraId="2AEF8D8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8,000,000.00</w:t>
            </w:r>
          </w:p>
        </w:tc>
        <w:tc>
          <w:tcPr>
            <w:tcW w:w="579" w:type="pct"/>
            <w:vAlign w:val="center"/>
          </w:tcPr>
          <w:p w14:paraId="4315D37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3.20%</w:t>
            </w:r>
          </w:p>
        </w:tc>
        <w:tc>
          <w:tcPr>
            <w:tcW w:w="1284" w:type="pct"/>
            <w:vAlign w:val="center"/>
          </w:tcPr>
          <w:p w14:paraId="375EE2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专利质押</w:t>
            </w:r>
          </w:p>
        </w:tc>
      </w:tr>
      <w:tr w14:paraId="6D22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367" w:type="pct"/>
            <w:vMerge w:val="continue"/>
            <w:vAlign w:val="center"/>
          </w:tcPr>
          <w:p w14:paraId="0C38EA8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p>
        </w:tc>
        <w:tc>
          <w:tcPr>
            <w:tcW w:w="1151" w:type="pct"/>
            <w:vAlign w:val="center"/>
          </w:tcPr>
          <w:p w14:paraId="7E8AD51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2025.3.31-2026.3.15</w:t>
            </w:r>
          </w:p>
        </w:tc>
        <w:tc>
          <w:tcPr>
            <w:tcW w:w="750" w:type="pct"/>
            <w:vAlign w:val="center"/>
          </w:tcPr>
          <w:p w14:paraId="2F1F056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中国银行</w:t>
            </w:r>
          </w:p>
        </w:tc>
        <w:tc>
          <w:tcPr>
            <w:tcW w:w="866" w:type="pct"/>
            <w:vAlign w:val="center"/>
          </w:tcPr>
          <w:p w14:paraId="541F96C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10,000,000.00</w:t>
            </w:r>
          </w:p>
        </w:tc>
        <w:tc>
          <w:tcPr>
            <w:tcW w:w="579" w:type="pct"/>
            <w:vAlign w:val="center"/>
          </w:tcPr>
          <w:p w14:paraId="5AE890B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2.90%</w:t>
            </w:r>
          </w:p>
        </w:tc>
        <w:tc>
          <w:tcPr>
            <w:tcW w:w="1284" w:type="pct"/>
            <w:vAlign w:val="center"/>
          </w:tcPr>
          <w:p w14:paraId="27045A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李刚夫妇最高额担保、江苏科担江南融资担保有限公司提供保证担保</w:t>
            </w:r>
          </w:p>
        </w:tc>
      </w:tr>
      <w:tr w14:paraId="76E4A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367" w:type="pct"/>
            <w:vMerge w:val="restart"/>
            <w:vAlign w:val="center"/>
          </w:tcPr>
          <w:p w14:paraId="72BF83D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长沙贝塔</w:t>
            </w:r>
          </w:p>
        </w:tc>
        <w:tc>
          <w:tcPr>
            <w:tcW w:w="1151" w:type="pct"/>
            <w:vAlign w:val="center"/>
          </w:tcPr>
          <w:p w14:paraId="38321AB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2025.4.28-2026.4.27</w:t>
            </w:r>
          </w:p>
        </w:tc>
        <w:tc>
          <w:tcPr>
            <w:tcW w:w="750" w:type="pct"/>
            <w:vAlign w:val="center"/>
          </w:tcPr>
          <w:p w14:paraId="7536995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农业银行</w:t>
            </w:r>
          </w:p>
        </w:tc>
        <w:tc>
          <w:tcPr>
            <w:tcW w:w="866" w:type="pct"/>
            <w:vAlign w:val="center"/>
          </w:tcPr>
          <w:p w14:paraId="4AA5A2C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3,000,000.00</w:t>
            </w:r>
          </w:p>
        </w:tc>
        <w:tc>
          <w:tcPr>
            <w:tcW w:w="579" w:type="pct"/>
            <w:vAlign w:val="center"/>
          </w:tcPr>
          <w:p w14:paraId="4F62960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2.60%</w:t>
            </w:r>
          </w:p>
        </w:tc>
        <w:tc>
          <w:tcPr>
            <w:tcW w:w="1284" w:type="pct"/>
            <w:vAlign w:val="center"/>
          </w:tcPr>
          <w:p w14:paraId="1421FC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李刚连带责任保证</w:t>
            </w:r>
          </w:p>
        </w:tc>
      </w:tr>
      <w:tr w14:paraId="001FC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trPr>
        <w:tc>
          <w:tcPr>
            <w:tcW w:w="367" w:type="pct"/>
            <w:vMerge w:val="continue"/>
            <w:vAlign w:val="center"/>
          </w:tcPr>
          <w:p w14:paraId="3D1CD54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p>
        </w:tc>
        <w:tc>
          <w:tcPr>
            <w:tcW w:w="1151" w:type="pct"/>
            <w:vAlign w:val="center"/>
          </w:tcPr>
          <w:p w14:paraId="162DD8B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2025.4.28-2026.4.27</w:t>
            </w:r>
          </w:p>
        </w:tc>
        <w:tc>
          <w:tcPr>
            <w:tcW w:w="750" w:type="pct"/>
            <w:vAlign w:val="center"/>
          </w:tcPr>
          <w:p w14:paraId="77DE82A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中国银行</w:t>
            </w:r>
          </w:p>
        </w:tc>
        <w:tc>
          <w:tcPr>
            <w:tcW w:w="866" w:type="pct"/>
            <w:vAlign w:val="center"/>
          </w:tcPr>
          <w:p w14:paraId="2E46E25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4,800,000.00</w:t>
            </w:r>
          </w:p>
        </w:tc>
        <w:tc>
          <w:tcPr>
            <w:tcW w:w="579" w:type="pct"/>
            <w:vAlign w:val="center"/>
          </w:tcPr>
          <w:p w14:paraId="7064DFF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2.60%</w:t>
            </w:r>
          </w:p>
        </w:tc>
        <w:tc>
          <w:tcPr>
            <w:tcW w:w="1284" w:type="pct"/>
            <w:vAlign w:val="center"/>
          </w:tcPr>
          <w:p w14:paraId="68F0FCD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top"/>
              <w:rPr>
                <w:rFonts w:hint="default" w:ascii="Times New Roman" w:hAnsi="Times New Roman" w:eastAsia="宋体" w:cs="Times New Roman"/>
                <w:b w:val="0"/>
                <w:bCs w:val="0"/>
                <w:i w:val="0"/>
                <w:iCs w:val="0"/>
                <w:color w:val="auto"/>
                <w:kern w:val="0"/>
                <w:sz w:val="20"/>
                <w:szCs w:val="20"/>
                <w:u w:val="none"/>
                <w:lang w:val="en-US" w:eastAsia="zh-CN" w:bidi="ar"/>
                <w14:ligatures w14:val="none"/>
              </w:rPr>
            </w:pPr>
            <w:r>
              <w:rPr>
                <w:rFonts w:hint="default" w:ascii="Times New Roman" w:hAnsi="Times New Roman" w:eastAsia="宋体" w:cs="Times New Roman"/>
                <w:b w:val="0"/>
                <w:bCs w:val="0"/>
                <w:i w:val="0"/>
                <w:iCs w:val="0"/>
                <w:color w:val="auto"/>
                <w:kern w:val="0"/>
                <w:sz w:val="20"/>
                <w:szCs w:val="20"/>
                <w:u w:val="none"/>
                <w:lang w:val="en-US" w:eastAsia="zh-CN" w:bidi="ar"/>
                <w14:ligatures w14:val="none"/>
              </w:rPr>
              <w:t>李刚连带责任保证</w:t>
            </w:r>
          </w:p>
        </w:tc>
      </w:tr>
    </w:tbl>
    <w:p w14:paraId="1ABA884D">
      <w:pPr>
        <w:pStyle w:val="68"/>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ind w:firstLine="420" w:firstLineChars="0"/>
        <w:textAlignment w:val="auto"/>
        <w:outlineLvl w:val="9"/>
        <w:rPr>
          <w:rFonts w:hint="default" w:ascii="Times New Roman" w:hAnsi="Times New Roman" w:eastAsia="宋体" w:cs="Times New Roman"/>
          <w:b w:val="0"/>
          <w:bCs/>
          <w:sz w:val="24"/>
          <w:szCs w:val="24"/>
        </w:rPr>
      </w:pPr>
      <w:r>
        <w:rPr>
          <w:rFonts w:hint="default" w:ascii="Times New Roman" w:hAnsi="Times New Roman" w:eastAsia="宋体" w:cs="Times New Roman"/>
          <w:b w:val="0"/>
          <w:bCs/>
          <w:sz w:val="24"/>
          <w:szCs w:val="24"/>
        </w:rPr>
        <w:t>截至</w:t>
      </w:r>
      <w:r>
        <w:rPr>
          <w:rFonts w:hint="default" w:ascii="Times New Roman" w:hAnsi="Times New Roman" w:eastAsia="宋体" w:cs="Times New Roman"/>
          <w:b w:val="0"/>
          <w:bCs/>
          <w:sz w:val="24"/>
          <w:szCs w:val="24"/>
          <w:lang w:eastAsia="zh-CN"/>
        </w:rPr>
        <w:t>2025年6月30日</w:t>
      </w:r>
      <w:r>
        <w:rPr>
          <w:rFonts w:hint="default" w:ascii="Times New Roman" w:hAnsi="Times New Roman" w:eastAsia="宋体" w:cs="Times New Roman"/>
          <w:b w:val="0"/>
          <w:bCs/>
          <w:sz w:val="24"/>
          <w:szCs w:val="24"/>
        </w:rPr>
        <w:t>，无锡贝塔和长沙贝塔分别剩余2,800.00万元、780.00万元银行贷款未还。无锡贝塔与长沙贝塔银行贷款担保方式多为法人李刚进行保证担保，保证方式为承担连带责任。</w:t>
      </w:r>
    </w:p>
    <w:p w14:paraId="71570A37">
      <w:pPr>
        <w:pStyle w:val="68"/>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ind w:firstLine="420" w:firstLineChars="0"/>
        <w:textAlignment w:val="auto"/>
        <w:outlineLvl w:val="9"/>
        <w:rPr>
          <w:rFonts w:hint="default" w:ascii="Times New Roman" w:hAnsi="Times New Roman" w:eastAsia="宋体" w:cs="Times New Roman"/>
          <w:sz w:val="24"/>
          <w:szCs w:val="24"/>
        </w:rPr>
      </w:pPr>
      <w:r>
        <w:rPr>
          <w:rFonts w:hint="default" w:ascii="Times New Roman" w:hAnsi="Times New Roman" w:eastAsia="宋体" w:cs="Times New Roman"/>
          <w:b w:val="0"/>
          <w:bCs/>
          <w:sz w:val="24"/>
          <w:szCs w:val="24"/>
        </w:rPr>
        <w:t>无锡贝塔2023年及2024年江阴农商行贷款担保方式为保证和专利质押，其中被质押的专利为专利号ZL202010392890.0的一种稳定性同位素13C标记1,4二硫-2,5-二醇的合成方法。无锡贝塔2024年江苏银行贷款800.00万贷款为“苏质贷”享有利息补贴，补贴政策为贷款金额按年利率1.00%进行减免利息。无锡贝塔2025年江苏银行贷款800.00万贷款担保方式为专利质押，其中被质押的专利为专利号为ZL202110921508.8的一种甘氨酸-1-14C的制备方法。</w:t>
      </w:r>
    </w:p>
    <w:p w14:paraId="048A9D45">
      <w:pPr>
        <w:rPr>
          <w:rFonts w:hint="default" w:ascii="Times New Roman" w:hAnsi="Times New Roman" w:cs="Times New Roman"/>
        </w:rPr>
      </w:pPr>
      <w:r>
        <w:rPr>
          <w:rFonts w:hint="default" w:ascii="Times New Roman" w:hAnsi="Times New Roman" w:cs="Times New Roman"/>
        </w:rPr>
        <w:br w:type="page"/>
      </w:r>
    </w:p>
    <w:p w14:paraId="2980D55A">
      <w:pPr>
        <w:pStyle w:val="67"/>
        <w:pageBreakBefore w:val="0"/>
        <w:widowControl w:val="0"/>
        <w:numPr>
          <w:ilvl w:val="0"/>
          <w:numId w:val="1"/>
        </w:numPr>
        <w:kinsoku/>
        <w:wordWrap/>
        <w:overflowPunct/>
        <w:topLinePunct w:val="0"/>
        <w:autoSpaceDE/>
        <w:autoSpaceDN/>
        <w:bidi w:val="0"/>
        <w:adjustRightInd w:val="0"/>
        <w:snapToGrid w:val="0"/>
        <w:spacing w:before="0" w:beforeLines="0" w:after="0" w:afterLines="0" w:line="360" w:lineRule="auto"/>
        <w:ind w:left="0" w:leftChars="0" w:firstLine="420" w:firstLineChars="0"/>
        <w:rPr>
          <w:rFonts w:hint="default" w:ascii="Times New Roman" w:hAnsi="Times New Roman" w:eastAsia="宋体" w:cs="Times New Roman"/>
        </w:rPr>
      </w:pPr>
      <w:bookmarkStart w:id="6" w:name="_Toc12348"/>
      <w:r>
        <w:rPr>
          <w:rFonts w:hint="default" w:ascii="Times New Roman" w:hAnsi="Times New Roman" w:eastAsia="宋体" w:cs="Times New Roman"/>
        </w:rPr>
        <w:t>财务报表情况</w:t>
      </w:r>
      <w:bookmarkEnd w:id="6"/>
    </w:p>
    <w:p w14:paraId="3294012D">
      <w:pPr>
        <w:pStyle w:val="33"/>
        <w:keepNext w:val="0"/>
        <w:keepLines w:val="0"/>
        <w:pageBreakBefore w:val="0"/>
        <w:widowControl w:val="0"/>
        <w:kinsoku/>
        <w:wordWrap/>
        <w:overflowPunct/>
        <w:topLinePunct w:val="0"/>
        <w:autoSpaceDE/>
        <w:autoSpaceDN/>
        <w:bidi w:val="0"/>
        <w:adjustRightInd w:val="0"/>
        <w:snapToGrid w:val="0"/>
        <w:spacing w:before="0" w:beforeLines="0" w:after="0" w:afterLines="0"/>
        <w:ind w:firstLine="480"/>
        <w:textAlignment w:val="auto"/>
        <w:rPr>
          <w:rFonts w:hint="default" w:ascii="Times New Roman" w:hAnsi="Times New Roman" w:eastAsia="宋体" w:cs="Times New Roman"/>
        </w:rPr>
      </w:pPr>
      <w:r>
        <w:rPr>
          <w:rFonts w:hint="default" w:ascii="Times New Roman" w:hAnsi="Times New Roman" w:cs="Times New Roman"/>
          <w:lang w:val="en-US" w:eastAsia="zh-CN"/>
        </w:rPr>
        <w:t>根据公司2022年-204年审计报告及2025年1-6月财务报表，公司的</w:t>
      </w:r>
      <w:r>
        <w:rPr>
          <w:rFonts w:hint="default" w:ascii="Times New Roman" w:hAnsi="Times New Roman" w:eastAsia="宋体" w:cs="Times New Roman"/>
        </w:rPr>
        <w:t>三年一期财务报表情况如下：</w:t>
      </w:r>
    </w:p>
    <w:p w14:paraId="684E01A1">
      <w:pPr>
        <w:pStyle w:val="68"/>
        <w:keepNext/>
        <w:keepLines/>
        <w:pageBreakBefore w:val="0"/>
        <w:widowControl w:val="0"/>
        <w:numPr>
          <w:ilvl w:val="0"/>
          <w:numId w:val="3"/>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7" w:name="_Toc8659"/>
      <w:r>
        <w:rPr>
          <w:rFonts w:hint="default" w:ascii="Times New Roman" w:hAnsi="Times New Roman" w:eastAsia="宋体" w:cs="Times New Roman"/>
          <w:lang w:val="en-US" w:eastAsia="zh-CN"/>
        </w:rPr>
        <w:t>合并</w:t>
      </w:r>
      <w:r>
        <w:rPr>
          <w:rFonts w:hint="default" w:ascii="Times New Roman" w:hAnsi="Times New Roman" w:eastAsia="宋体" w:cs="Times New Roman"/>
        </w:rPr>
        <w:t>资产负债表</w:t>
      </w:r>
      <w:bookmarkEnd w:id="7"/>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830"/>
        <w:gridCol w:w="1537"/>
        <w:gridCol w:w="1622"/>
        <w:gridCol w:w="1538"/>
      </w:tblGrid>
      <w:tr w14:paraId="37429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exact"/>
          <w:tblHeader/>
        </w:trPr>
        <w:tc>
          <w:tcPr>
            <w:tcW w:w="1168" w:type="pct"/>
            <w:shd w:val="clear" w:color="auto" w:fill="auto"/>
            <w:noWrap/>
            <w:vAlign w:val="center"/>
          </w:tcPr>
          <w:p w14:paraId="0377500F">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b/>
                <w:bCs/>
                <w:i/>
                <w:iCs/>
                <w:color w:val="auto"/>
                <w:kern w:val="0"/>
                <w:sz w:val="21"/>
                <w:szCs w:val="21"/>
                <w:u w:val="none"/>
                <w:lang w:val="en-US" w:eastAsia="zh-CN" w:bidi="ar"/>
                <w14:ligatures w14:val="none"/>
              </w:rPr>
              <w:t>货币：人民币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074" w:type="pct"/>
            <w:shd w:val="clear" w:color="auto" w:fill="auto"/>
            <w:vAlign w:val="center"/>
          </w:tcPr>
          <w:p w14:paraId="1347039A">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bidi="ar"/>
                <w14:ligatures w14:val="none"/>
              </w:rPr>
            </w:pPr>
            <w:r>
              <w:rPr>
                <w:rFonts w:hint="default" w:ascii="Times New Roman" w:hAnsi="Times New Roman" w:eastAsia="宋体" w:cs="Times New Roman"/>
                <w:b/>
                <w:bCs/>
                <w:color w:val="000000"/>
                <w:spacing w:val="-6"/>
                <w:kern w:val="0"/>
                <w:sz w:val="21"/>
                <w:szCs w:val="21"/>
                <w:lang w:bidi="ar"/>
                <w14:ligatures w14:val="none"/>
              </w:rPr>
              <w:t>2022年12月31日</w:t>
            </w:r>
          </w:p>
        </w:tc>
        <w:tc>
          <w:tcPr>
            <w:tcW w:w="902" w:type="pct"/>
            <w:shd w:val="clear" w:color="auto" w:fill="auto"/>
            <w:vAlign w:val="center"/>
          </w:tcPr>
          <w:p w14:paraId="2661EE9C">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bidi="ar"/>
                <w14:ligatures w14:val="none"/>
              </w:rPr>
            </w:pPr>
            <w:r>
              <w:rPr>
                <w:rFonts w:hint="default" w:ascii="Times New Roman" w:hAnsi="Times New Roman" w:eastAsia="宋体" w:cs="Times New Roman"/>
                <w:b/>
                <w:bCs/>
                <w:color w:val="000000"/>
                <w:spacing w:val="-6"/>
                <w:kern w:val="0"/>
                <w:sz w:val="21"/>
                <w:szCs w:val="21"/>
                <w:lang w:bidi="ar"/>
                <w14:ligatures w14:val="none"/>
              </w:rPr>
              <w:t>2023年12月31日</w:t>
            </w:r>
          </w:p>
        </w:tc>
        <w:tc>
          <w:tcPr>
            <w:tcW w:w="952" w:type="pct"/>
            <w:shd w:val="clear" w:color="auto" w:fill="auto"/>
            <w:noWrap/>
            <w:vAlign w:val="center"/>
          </w:tcPr>
          <w:p w14:paraId="160B8AFA">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bidi="ar"/>
                <w14:ligatures w14:val="none"/>
              </w:rPr>
            </w:pPr>
            <w:r>
              <w:rPr>
                <w:rFonts w:hint="default" w:ascii="Times New Roman" w:hAnsi="Times New Roman" w:eastAsia="宋体" w:cs="Times New Roman"/>
                <w:b/>
                <w:bCs/>
                <w:color w:val="000000"/>
                <w:spacing w:val="-6"/>
                <w:kern w:val="0"/>
                <w:sz w:val="21"/>
                <w:szCs w:val="21"/>
                <w:lang w:bidi="ar"/>
                <w14:ligatures w14:val="none"/>
              </w:rPr>
              <w:t>2024年12月31日</w:t>
            </w:r>
          </w:p>
        </w:tc>
        <w:tc>
          <w:tcPr>
            <w:tcW w:w="902" w:type="pct"/>
            <w:shd w:val="clear" w:color="auto" w:fill="auto"/>
            <w:noWrap/>
            <w:vAlign w:val="center"/>
          </w:tcPr>
          <w:p w14:paraId="53DF440E">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bidi="ar"/>
                <w14:ligatures w14:val="none"/>
              </w:rPr>
            </w:pPr>
            <w:r>
              <w:rPr>
                <w:rFonts w:hint="default" w:ascii="Times New Roman" w:hAnsi="Times New Roman" w:eastAsia="宋体" w:cs="Times New Roman"/>
                <w:b/>
                <w:bCs/>
                <w:color w:val="000000"/>
                <w:spacing w:val="-6"/>
                <w:kern w:val="0"/>
                <w:sz w:val="21"/>
                <w:szCs w:val="21"/>
                <w:lang w:bidi="ar"/>
                <w14:ligatures w14:val="none"/>
              </w:rPr>
              <w:t>2025年6月30日</w:t>
            </w:r>
          </w:p>
        </w:tc>
      </w:tr>
      <w:tr w14:paraId="2356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11EE1093">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货币资金</w:t>
            </w:r>
          </w:p>
        </w:tc>
        <w:tc>
          <w:tcPr>
            <w:tcW w:w="1074" w:type="pct"/>
            <w:shd w:val="clear" w:color="auto" w:fill="auto"/>
            <w:noWrap/>
            <w:vAlign w:val="center"/>
          </w:tcPr>
          <w:p w14:paraId="74FEA2C7">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208.01</w:t>
            </w:r>
          </w:p>
        </w:tc>
        <w:tc>
          <w:tcPr>
            <w:tcW w:w="902" w:type="pct"/>
            <w:shd w:val="clear" w:color="auto" w:fill="auto"/>
            <w:noWrap/>
            <w:vAlign w:val="center"/>
          </w:tcPr>
          <w:p w14:paraId="67B7A227">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127.23</w:t>
            </w:r>
          </w:p>
        </w:tc>
        <w:tc>
          <w:tcPr>
            <w:tcW w:w="952" w:type="pct"/>
            <w:shd w:val="clear" w:color="auto" w:fill="auto"/>
            <w:noWrap/>
            <w:vAlign w:val="center"/>
          </w:tcPr>
          <w:p w14:paraId="0AD4A7BC">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1,952.28</w:t>
            </w:r>
          </w:p>
        </w:tc>
        <w:tc>
          <w:tcPr>
            <w:tcW w:w="902" w:type="pct"/>
            <w:shd w:val="clear" w:color="auto" w:fill="auto"/>
            <w:noWrap/>
            <w:vAlign w:val="center"/>
          </w:tcPr>
          <w:p w14:paraId="1B338A8D">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271.31</w:t>
            </w:r>
          </w:p>
        </w:tc>
      </w:tr>
      <w:tr w14:paraId="34CE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5BA772A9">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交易性金融资产</w:t>
            </w:r>
          </w:p>
        </w:tc>
        <w:tc>
          <w:tcPr>
            <w:tcW w:w="1074" w:type="pct"/>
            <w:shd w:val="clear" w:color="auto" w:fill="auto"/>
            <w:noWrap/>
            <w:vAlign w:val="center"/>
          </w:tcPr>
          <w:p w14:paraId="41E6B0DC">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4,604.24</w:t>
            </w:r>
          </w:p>
        </w:tc>
        <w:tc>
          <w:tcPr>
            <w:tcW w:w="902" w:type="pct"/>
            <w:shd w:val="clear" w:color="auto" w:fill="auto"/>
            <w:noWrap/>
            <w:vAlign w:val="center"/>
          </w:tcPr>
          <w:p w14:paraId="4A1BBE3D">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4,947.11</w:t>
            </w:r>
          </w:p>
        </w:tc>
        <w:tc>
          <w:tcPr>
            <w:tcW w:w="952" w:type="pct"/>
            <w:shd w:val="clear" w:color="auto" w:fill="auto"/>
            <w:noWrap/>
            <w:vAlign w:val="center"/>
          </w:tcPr>
          <w:p w14:paraId="255E0D98">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2,726.30</w:t>
            </w:r>
          </w:p>
        </w:tc>
        <w:tc>
          <w:tcPr>
            <w:tcW w:w="902" w:type="pct"/>
            <w:shd w:val="clear" w:color="auto" w:fill="auto"/>
            <w:noWrap/>
            <w:vAlign w:val="center"/>
          </w:tcPr>
          <w:p w14:paraId="243C351F">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4,641.05</w:t>
            </w:r>
          </w:p>
        </w:tc>
      </w:tr>
      <w:tr w14:paraId="574A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764B698D">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应收票据</w:t>
            </w:r>
          </w:p>
        </w:tc>
        <w:tc>
          <w:tcPr>
            <w:tcW w:w="1074" w:type="pct"/>
            <w:shd w:val="clear" w:color="auto" w:fill="auto"/>
            <w:noWrap/>
            <w:vAlign w:val="center"/>
          </w:tcPr>
          <w:p w14:paraId="461D41EE">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w:t>
            </w:r>
          </w:p>
        </w:tc>
        <w:tc>
          <w:tcPr>
            <w:tcW w:w="902" w:type="pct"/>
            <w:shd w:val="clear" w:color="auto" w:fill="auto"/>
            <w:noWrap/>
            <w:vAlign w:val="center"/>
          </w:tcPr>
          <w:p w14:paraId="6B771D1A">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w:t>
            </w:r>
          </w:p>
        </w:tc>
        <w:tc>
          <w:tcPr>
            <w:tcW w:w="952" w:type="pct"/>
            <w:shd w:val="clear" w:color="auto" w:fill="auto"/>
            <w:noWrap/>
            <w:vAlign w:val="center"/>
          </w:tcPr>
          <w:p w14:paraId="53A45FE3">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9.00</w:t>
            </w:r>
          </w:p>
        </w:tc>
        <w:tc>
          <w:tcPr>
            <w:tcW w:w="902" w:type="pct"/>
            <w:shd w:val="clear" w:color="auto" w:fill="auto"/>
            <w:noWrap/>
            <w:vAlign w:val="center"/>
          </w:tcPr>
          <w:p w14:paraId="63FF6174">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21.00</w:t>
            </w:r>
          </w:p>
        </w:tc>
      </w:tr>
      <w:tr w14:paraId="1809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5FED5CE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应收账款</w:t>
            </w:r>
          </w:p>
        </w:tc>
        <w:tc>
          <w:tcPr>
            <w:tcW w:w="1074" w:type="pct"/>
            <w:shd w:val="clear" w:color="auto" w:fill="auto"/>
            <w:noWrap/>
            <w:vAlign w:val="center"/>
          </w:tcPr>
          <w:p w14:paraId="3011B288">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779.32</w:t>
            </w:r>
          </w:p>
        </w:tc>
        <w:tc>
          <w:tcPr>
            <w:tcW w:w="902" w:type="pct"/>
            <w:shd w:val="clear" w:color="auto" w:fill="auto"/>
            <w:noWrap/>
            <w:vAlign w:val="center"/>
          </w:tcPr>
          <w:p w14:paraId="31FAD01E">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275.37</w:t>
            </w:r>
          </w:p>
        </w:tc>
        <w:tc>
          <w:tcPr>
            <w:tcW w:w="952" w:type="pct"/>
            <w:shd w:val="clear" w:color="auto" w:fill="auto"/>
            <w:noWrap/>
            <w:vAlign w:val="center"/>
          </w:tcPr>
          <w:p w14:paraId="7E0ED806">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956.84</w:t>
            </w:r>
          </w:p>
        </w:tc>
        <w:tc>
          <w:tcPr>
            <w:tcW w:w="902" w:type="pct"/>
            <w:shd w:val="clear" w:color="auto" w:fill="auto"/>
            <w:noWrap/>
            <w:vAlign w:val="center"/>
          </w:tcPr>
          <w:p w14:paraId="1A82692D">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272.28</w:t>
            </w:r>
          </w:p>
        </w:tc>
      </w:tr>
      <w:tr w14:paraId="58A8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429B71F2">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预付款项</w:t>
            </w:r>
          </w:p>
        </w:tc>
        <w:tc>
          <w:tcPr>
            <w:tcW w:w="1074" w:type="pct"/>
            <w:shd w:val="clear" w:color="auto" w:fill="auto"/>
            <w:noWrap/>
            <w:vAlign w:val="center"/>
          </w:tcPr>
          <w:p w14:paraId="606F2A9A">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26.62</w:t>
            </w:r>
          </w:p>
        </w:tc>
        <w:tc>
          <w:tcPr>
            <w:tcW w:w="902" w:type="pct"/>
            <w:shd w:val="clear" w:color="auto" w:fill="auto"/>
            <w:noWrap/>
            <w:vAlign w:val="center"/>
          </w:tcPr>
          <w:p w14:paraId="23C2400C">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104.39</w:t>
            </w:r>
          </w:p>
        </w:tc>
        <w:tc>
          <w:tcPr>
            <w:tcW w:w="952" w:type="pct"/>
            <w:shd w:val="clear" w:color="auto" w:fill="auto"/>
            <w:noWrap/>
            <w:vAlign w:val="center"/>
          </w:tcPr>
          <w:p w14:paraId="6E1FC7A0">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91.62</w:t>
            </w:r>
          </w:p>
        </w:tc>
        <w:tc>
          <w:tcPr>
            <w:tcW w:w="902" w:type="pct"/>
            <w:shd w:val="clear" w:color="auto" w:fill="auto"/>
            <w:noWrap/>
            <w:vAlign w:val="center"/>
          </w:tcPr>
          <w:p w14:paraId="543A38F7">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52.25</w:t>
            </w:r>
          </w:p>
        </w:tc>
      </w:tr>
      <w:tr w14:paraId="7B025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470DBFDE">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其他应收款</w:t>
            </w:r>
          </w:p>
        </w:tc>
        <w:tc>
          <w:tcPr>
            <w:tcW w:w="1074" w:type="pct"/>
            <w:shd w:val="clear" w:color="auto" w:fill="auto"/>
            <w:noWrap/>
            <w:vAlign w:val="center"/>
          </w:tcPr>
          <w:p w14:paraId="758684C8">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5.08</w:t>
            </w:r>
          </w:p>
        </w:tc>
        <w:tc>
          <w:tcPr>
            <w:tcW w:w="902" w:type="pct"/>
            <w:shd w:val="clear" w:color="auto" w:fill="auto"/>
            <w:noWrap/>
            <w:vAlign w:val="center"/>
          </w:tcPr>
          <w:p w14:paraId="44A0E464">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5.36</w:t>
            </w:r>
          </w:p>
        </w:tc>
        <w:tc>
          <w:tcPr>
            <w:tcW w:w="952" w:type="pct"/>
            <w:shd w:val="clear" w:color="auto" w:fill="auto"/>
            <w:noWrap/>
            <w:vAlign w:val="center"/>
          </w:tcPr>
          <w:p w14:paraId="6B66B435">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5.08</w:t>
            </w:r>
          </w:p>
        </w:tc>
        <w:tc>
          <w:tcPr>
            <w:tcW w:w="902" w:type="pct"/>
            <w:shd w:val="clear" w:color="auto" w:fill="auto"/>
            <w:noWrap/>
            <w:vAlign w:val="center"/>
          </w:tcPr>
          <w:p w14:paraId="5E1C33F6">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1,359.33</w:t>
            </w:r>
          </w:p>
        </w:tc>
      </w:tr>
      <w:tr w14:paraId="37C3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2383219D">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待摊费用</w:t>
            </w:r>
          </w:p>
        </w:tc>
        <w:tc>
          <w:tcPr>
            <w:tcW w:w="1074" w:type="pct"/>
            <w:shd w:val="clear" w:color="auto" w:fill="auto"/>
            <w:noWrap/>
            <w:vAlign w:val="center"/>
          </w:tcPr>
          <w:p w14:paraId="78AD443F">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w:t>
            </w:r>
          </w:p>
        </w:tc>
        <w:tc>
          <w:tcPr>
            <w:tcW w:w="902" w:type="pct"/>
            <w:shd w:val="clear" w:color="auto" w:fill="auto"/>
            <w:noWrap/>
            <w:vAlign w:val="center"/>
          </w:tcPr>
          <w:p w14:paraId="2A201847">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w:t>
            </w:r>
          </w:p>
        </w:tc>
        <w:tc>
          <w:tcPr>
            <w:tcW w:w="952" w:type="pct"/>
            <w:shd w:val="clear" w:color="auto" w:fill="auto"/>
            <w:noWrap/>
            <w:vAlign w:val="center"/>
          </w:tcPr>
          <w:p w14:paraId="2C502B25">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w:t>
            </w:r>
          </w:p>
        </w:tc>
        <w:tc>
          <w:tcPr>
            <w:tcW w:w="902" w:type="pct"/>
            <w:shd w:val="clear" w:color="auto" w:fill="auto"/>
            <w:noWrap/>
            <w:vAlign w:val="center"/>
          </w:tcPr>
          <w:p w14:paraId="1A93EBA2">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83.72</w:t>
            </w:r>
          </w:p>
        </w:tc>
      </w:tr>
      <w:tr w14:paraId="6A41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5C6EFB60">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存货</w:t>
            </w:r>
          </w:p>
        </w:tc>
        <w:tc>
          <w:tcPr>
            <w:tcW w:w="1074" w:type="pct"/>
            <w:shd w:val="clear" w:color="auto" w:fill="auto"/>
            <w:noWrap/>
            <w:vAlign w:val="center"/>
          </w:tcPr>
          <w:p w14:paraId="28AE7E4C">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1,658.77</w:t>
            </w:r>
          </w:p>
        </w:tc>
        <w:tc>
          <w:tcPr>
            <w:tcW w:w="902" w:type="pct"/>
            <w:shd w:val="clear" w:color="auto" w:fill="auto"/>
            <w:noWrap/>
            <w:vAlign w:val="center"/>
          </w:tcPr>
          <w:p w14:paraId="492FFD14">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3,833.75</w:t>
            </w:r>
          </w:p>
        </w:tc>
        <w:tc>
          <w:tcPr>
            <w:tcW w:w="952" w:type="pct"/>
            <w:shd w:val="clear" w:color="auto" w:fill="auto"/>
            <w:noWrap/>
            <w:vAlign w:val="center"/>
          </w:tcPr>
          <w:p w14:paraId="510CCF71">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3,333.36</w:t>
            </w:r>
          </w:p>
        </w:tc>
        <w:tc>
          <w:tcPr>
            <w:tcW w:w="902" w:type="pct"/>
            <w:shd w:val="clear" w:color="auto" w:fill="auto"/>
            <w:noWrap/>
            <w:vAlign w:val="center"/>
          </w:tcPr>
          <w:p w14:paraId="737F0075">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3,569.84</w:t>
            </w:r>
          </w:p>
        </w:tc>
      </w:tr>
      <w:tr w14:paraId="2438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E62E24B">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其他流动资产</w:t>
            </w:r>
          </w:p>
        </w:tc>
        <w:tc>
          <w:tcPr>
            <w:tcW w:w="1074" w:type="pct"/>
            <w:shd w:val="clear" w:color="auto" w:fill="auto"/>
            <w:noWrap/>
            <w:vAlign w:val="center"/>
          </w:tcPr>
          <w:p w14:paraId="6290434A">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281.59</w:t>
            </w:r>
          </w:p>
        </w:tc>
        <w:tc>
          <w:tcPr>
            <w:tcW w:w="902" w:type="pct"/>
            <w:shd w:val="clear" w:color="auto" w:fill="auto"/>
            <w:noWrap/>
            <w:vAlign w:val="center"/>
          </w:tcPr>
          <w:p w14:paraId="53726B3D">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378.51</w:t>
            </w:r>
          </w:p>
        </w:tc>
        <w:tc>
          <w:tcPr>
            <w:tcW w:w="952" w:type="pct"/>
            <w:shd w:val="clear" w:color="auto" w:fill="auto"/>
            <w:noWrap/>
            <w:vAlign w:val="center"/>
          </w:tcPr>
          <w:p w14:paraId="6788D894">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282.47</w:t>
            </w:r>
          </w:p>
        </w:tc>
        <w:tc>
          <w:tcPr>
            <w:tcW w:w="902" w:type="pct"/>
            <w:shd w:val="clear" w:color="auto" w:fill="auto"/>
            <w:noWrap/>
            <w:vAlign w:val="center"/>
          </w:tcPr>
          <w:p w14:paraId="07E9824E">
            <w:pPr>
              <w:widowControl/>
              <w:adjustRightInd/>
              <w:snapToGrid/>
              <w:spacing w:line="240" w:lineRule="auto"/>
              <w:ind w:firstLine="0" w:firstLineChars="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color w:val="000000"/>
                <w:sz w:val="21"/>
                <w:szCs w:val="21"/>
                <w:lang w:val="en-US" w:eastAsia="zh-CN"/>
                <w14:ligatures w14:val="none"/>
              </w:rPr>
              <w:t>-</w:t>
            </w:r>
          </w:p>
        </w:tc>
      </w:tr>
      <w:tr w14:paraId="3D2CC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2CEB10A3">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流动资产合计</w:t>
            </w:r>
          </w:p>
        </w:tc>
        <w:tc>
          <w:tcPr>
            <w:tcW w:w="1074" w:type="pct"/>
            <w:shd w:val="clear" w:color="auto" w:fill="auto"/>
            <w:noWrap/>
            <w:vAlign w:val="center"/>
          </w:tcPr>
          <w:p w14:paraId="50EA18ED">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color w:val="000000"/>
                <w:sz w:val="21"/>
                <w:szCs w:val="21"/>
                <w:lang w:val="en-US" w:eastAsia="zh-CN"/>
                <w14:ligatures w14:val="none"/>
              </w:rPr>
              <w:t>7,563.64</w:t>
            </w:r>
          </w:p>
        </w:tc>
        <w:tc>
          <w:tcPr>
            <w:tcW w:w="902" w:type="pct"/>
            <w:shd w:val="clear" w:color="auto" w:fill="auto"/>
            <w:noWrap/>
            <w:vAlign w:val="center"/>
          </w:tcPr>
          <w:p w14:paraId="3FCB2286">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color w:val="000000"/>
                <w:sz w:val="21"/>
                <w:szCs w:val="21"/>
                <w:lang w:val="en-US" w:eastAsia="zh-CN"/>
                <w14:ligatures w14:val="none"/>
              </w:rPr>
              <w:t>9,671.73</w:t>
            </w:r>
          </w:p>
        </w:tc>
        <w:tc>
          <w:tcPr>
            <w:tcW w:w="952" w:type="pct"/>
            <w:shd w:val="clear" w:color="auto" w:fill="auto"/>
            <w:noWrap/>
            <w:vAlign w:val="center"/>
          </w:tcPr>
          <w:p w14:paraId="6EF85421">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color w:val="000000"/>
                <w:sz w:val="21"/>
                <w:szCs w:val="21"/>
                <w:lang w:val="en-US" w:eastAsia="zh-CN"/>
                <w14:ligatures w14:val="none"/>
              </w:rPr>
              <w:t>9,356.96</w:t>
            </w:r>
          </w:p>
        </w:tc>
        <w:tc>
          <w:tcPr>
            <w:tcW w:w="902" w:type="pct"/>
            <w:shd w:val="clear" w:color="auto" w:fill="auto"/>
            <w:noWrap/>
            <w:vAlign w:val="center"/>
          </w:tcPr>
          <w:p w14:paraId="47C073F1">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color w:val="000000"/>
                <w:sz w:val="21"/>
                <w:szCs w:val="21"/>
                <w:lang w:val="en-US" w:eastAsia="zh-CN"/>
                <w14:ligatures w14:val="none"/>
              </w:rPr>
              <w:t>10,270.78</w:t>
            </w:r>
          </w:p>
        </w:tc>
      </w:tr>
      <w:tr w14:paraId="453D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7A84FD7E">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固定资产</w:t>
            </w:r>
          </w:p>
        </w:tc>
        <w:tc>
          <w:tcPr>
            <w:tcW w:w="1074" w:type="pct"/>
            <w:shd w:val="clear" w:color="auto" w:fill="auto"/>
            <w:noWrap/>
            <w:vAlign w:val="center"/>
          </w:tcPr>
          <w:p w14:paraId="5AFDD65D">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3,018.92</w:t>
            </w:r>
          </w:p>
        </w:tc>
        <w:tc>
          <w:tcPr>
            <w:tcW w:w="902" w:type="pct"/>
            <w:shd w:val="clear" w:color="auto" w:fill="auto"/>
            <w:noWrap/>
            <w:vAlign w:val="center"/>
          </w:tcPr>
          <w:p w14:paraId="571596E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3,057.65</w:t>
            </w:r>
          </w:p>
        </w:tc>
        <w:tc>
          <w:tcPr>
            <w:tcW w:w="952" w:type="pct"/>
            <w:shd w:val="clear" w:color="auto" w:fill="auto"/>
            <w:noWrap/>
            <w:vAlign w:val="center"/>
          </w:tcPr>
          <w:p w14:paraId="724B3C6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2,984.98</w:t>
            </w:r>
          </w:p>
        </w:tc>
        <w:tc>
          <w:tcPr>
            <w:tcW w:w="902" w:type="pct"/>
            <w:shd w:val="clear" w:color="auto" w:fill="auto"/>
            <w:noWrap/>
            <w:vAlign w:val="center"/>
          </w:tcPr>
          <w:p w14:paraId="4B598B3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2,908.24</w:t>
            </w:r>
          </w:p>
        </w:tc>
      </w:tr>
      <w:tr w14:paraId="3990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EA7E777">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在建工程</w:t>
            </w:r>
          </w:p>
        </w:tc>
        <w:tc>
          <w:tcPr>
            <w:tcW w:w="1074" w:type="pct"/>
            <w:shd w:val="clear" w:color="auto" w:fill="auto"/>
            <w:noWrap/>
            <w:vAlign w:val="center"/>
          </w:tcPr>
          <w:p w14:paraId="3A67BEEF">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28.30</w:t>
            </w:r>
          </w:p>
        </w:tc>
        <w:tc>
          <w:tcPr>
            <w:tcW w:w="902" w:type="pct"/>
            <w:shd w:val="clear" w:color="auto" w:fill="auto"/>
            <w:noWrap/>
            <w:vAlign w:val="center"/>
          </w:tcPr>
          <w:p w14:paraId="3914B6A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52" w:type="pct"/>
            <w:shd w:val="clear" w:color="auto" w:fill="auto"/>
            <w:noWrap/>
            <w:vAlign w:val="center"/>
          </w:tcPr>
          <w:p w14:paraId="6AB03115">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48.17</w:t>
            </w:r>
          </w:p>
        </w:tc>
        <w:tc>
          <w:tcPr>
            <w:tcW w:w="902" w:type="pct"/>
            <w:shd w:val="clear" w:color="auto" w:fill="auto"/>
            <w:noWrap/>
            <w:vAlign w:val="center"/>
          </w:tcPr>
          <w:p w14:paraId="0457DB9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r>
      <w:tr w14:paraId="7B9B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79D03D0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使用权资产</w:t>
            </w:r>
          </w:p>
        </w:tc>
        <w:tc>
          <w:tcPr>
            <w:tcW w:w="1074" w:type="pct"/>
            <w:shd w:val="clear" w:color="auto" w:fill="auto"/>
            <w:noWrap/>
            <w:vAlign w:val="center"/>
          </w:tcPr>
          <w:p w14:paraId="44C142E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23.56</w:t>
            </w:r>
          </w:p>
        </w:tc>
        <w:tc>
          <w:tcPr>
            <w:tcW w:w="902" w:type="pct"/>
            <w:shd w:val="clear" w:color="auto" w:fill="auto"/>
            <w:noWrap/>
            <w:vAlign w:val="center"/>
          </w:tcPr>
          <w:p w14:paraId="4530753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51.44</w:t>
            </w:r>
          </w:p>
        </w:tc>
        <w:tc>
          <w:tcPr>
            <w:tcW w:w="952" w:type="pct"/>
            <w:shd w:val="clear" w:color="auto" w:fill="auto"/>
            <w:noWrap/>
            <w:vAlign w:val="center"/>
          </w:tcPr>
          <w:p w14:paraId="6F0D2B3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25.72</w:t>
            </w:r>
          </w:p>
        </w:tc>
        <w:tc>
          <w:tcPr>
            <w:tcW w:w="902" w:type="pct"/>
            <w:shd w:val="clear" w:color="auto" w:fill="auto"/>
            <w:noWrap/>
            <w:vAlign w:val="center"/>
          </w:tcPr>
          <w:p w14:paraId="673F1F2A">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r>
      <w:tr w14:paraId="112D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14CFCEEE">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长期待摊费用</w:t>
            </w:r>
          </w:p>
        </w:tc>
        <w:tc>
          <w:tcPr>
            <w:tcW w:w="1074" w:type="pct"/>
            <w:shd w:val="clear" w:color="auto" w:fill="auto"/>
            <w:noWrap/>
            <w:vAlign w:val="center"/>
          </w:tcPr>
          <w:p w14:paraId="03422D3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221.85</w:t>
            </w:r>
          </w:p>
        </w:tc>
        <w:tc>
          <w:tcPr>
            <w:tcW w:w="902" w:type="pct"/>
            <w:shd w:val="clear" w:color="auto" w:fill="auto"/>
            <w:noWrap/>
            <w:vAlign w:val="center"/>
          </w:tcPr>
          <w:p w14:paraId="1CCC9B80">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570.30</w:t>
            </w:r>
          </w:p>
        </w:tc>
        <w:tc>
          <w:tcPr>
            <w:tcW w:w="952" w:type="pct"/>
            <w:shd w:val="clear" w:color="auto" w:fill="auto"/>
            <w:noWrap/>
            <w:vAlign w:val="center"/>
          </w:tcPr>
          <w:p w14:paraId="70764A2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526.32</w:t>
            </w:r>
          </w:p>
        </w:tc>
        <w:tc>
          <w:tcPr>
            <w:tcW w:w="902" w:type="pct"/>
            <w:shd w:val="clear" w:color="auto" w:fill="auto"/>
            <w:noWrap/>
            <w:vAlign w:val="center"/>
          </w:tcPr>
          <w:p w14:paraId="0507A40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524.00</w:t>
            </w:r>
          </w:p>
        </w:tc>
      </w:tr>
      <w:tr w14:paraId="276B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076AA0EC">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递延所得税资产</w:t>
            </w:r>
          </w:p>
        </w:tc>
        <w:tc>
          <w:tcPr>
            <w:tcW w:w="1074" w:type="pct"/>
            <w:shd w:val="clear" w:color="auto" w:fill="auto"/>
            <w:noWrap/>
            <w:vAlign w:val="center"/>
          </w:tcPr>
          <w:p w14:paraId="20AC24ED">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317.28</w:t>
            </w:r>
          </w:p>
        </w:tc>
        <w:tc>
          <w:tcPr>
            <w:tcW w:w="902" w:type="pct"/>
            <w:shd w:val="clear" w:color="auto" w:fill="auto"/>
            <w:noWrap/>
            <w:vAlign w:val="center"/>
          </w:tcPr>
          <w:p w14:paraId="07114B81">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293.31</w:t>
            </w:r>
          </w:p>
        </w:tc>
        <w:tc>
          <w:tcPr>
            <w:tcW w:w="952" w:type="pct"/>
            <w:shd w:val="clear" w:color="auto" w:fill="auto"/>
            <w:noWrap/>
            <w:vAlign w:val="center"/>
          </w:tcPr>
          <w:p w14:paraId="3D8A383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340.13</w:t>
            </w:r>
          </w:p>
        </w:tc>
        <w:tc>
          <w:tcPr>
            <w:tcW w:w="902" w:type="pct"/>
            <w:shd w:val="clear" w:color="auto" w:fill="auto"/>
            <w:noWrap/>
            <w:vAlign w:val="center"/>
          </w:tcPr>
          <w:p w14:paraId="7A9B0066">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340.12</w:t>
            </w:r>
          </w:p>
        </w:tc>
      </w:tr>
      <w:tr w14:paraId="338A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581A4F6A">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其他非流动资产</w:t>
            </w:r>
          </w:p>
        </w:tc>
        <w:tc>
          <w:tcPr>
            <w:tcW w:w="1074" w:type="pct"/>
            <w:shd w:val="clear" w:color="auto" w:fill="auto"/>
            <w:noWrap/>
            <w:vAlign w:val="center"/>
          </w:tcPr>
          <w:p w14:paraId="04657D10">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25.54</w:t>
            </w:r>
          </w:p>
        </w:tc>
        <w:tc>
          <w:tcPr>
            <w:tcW w:w="902" w:type="pct"/>
            <w:shd w:val="clear" w:color="auto" w:fill="auto"/>
            <w:noWrap/>
            <w:vAlign w:val="center"/>
          </w:tcPr>
          <w:p w14:paraId="447B8356">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28.50</w:t>
            </w:r>
          </w:p>
        </w:tc>
        <w:tc>
          <w:tcPr>
            <w:tcW w:w="952" w:type="pct"/>
            <w:shd w:val="clear" w:color="auto" w:fill="auto"/>
            <w:noWrap/>
            <w:vAlign w:val="center"/>
          </w:tcPr>
          <w:p w14:paraId="516A60B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790E4571">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12.86</w:t>
            </w:r>
          </w:p>
        </w:tc>
      </w:tr>
      <w:tr w14:paraId="347C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75A13A4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非流动资产合计</w:t>
            </w:r>
          </w:p>
        </w:tc>
        <w:tc>
          <w:tcPr>
            <w:tcW w:w="1074" w:type="pct"/>
            <w:shd w:val="clear" w:color="auto" w:fill="auto"/>
            <w:noWrap/>
            <w:vAlign w:val="center"/>
          </w:tcPr>
          <w:p w14:paraId="4545943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3,635.45</w:t>
            </w:r>
          </w:p>
        </w:tc>
        <w:tc>
          <w:tcPr>
            <w:tcW w:w="902" w:type="pct"/>
            <w:shd w:val="clear" w:color="auto" w:fill="auto"/>
            <w:noWrap/>
            <w:vAlign w:val="center"/>
          </w:tcPr>
          <w:p w14:paraId="195363A3">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4,001.19</w:t>
            </w:r>
          </w:p>
        </w:tc>
        <w:tc>
          <w:tcPr>
            <w:tcW w:w="952" w:type="pct"/>
            <w:shd w:val="clear" w:color="auto" w:fill="auto"/>
            <w:noWrap/>
            <w:vAlign w:val="center"/>
          </w:tcPr>
          <w:p w14:paraId="2F22286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3,925.31</w:t>
            </w:r>
          </w:p>
        </w:tc>
        <w:tc>
          <w:tcPr>
            <w:tcW w:w="902" w:type="pct"/>
            <w:shd w:val="clear" w:color="auto" w:fill="auto"/>
            <w:noWrap/>
            <w:vAlign w:val="center"/>
          </w:tcPr>
          <w:p w14:paraId="4C74B62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3,785.22</w:t>
            </w:r>
          </w:p>
        </w:tc>
      </w:tr>
      <w:tr w14:paraId="29349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16B6D747">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资产总计</w:t>
            </w:r>
          </w:p>
        </w:tc>
        <w:tc>
          <w:tcPr>
            <w:tcW w:w="1074" w:type="pct"/>
            <w:shd w:val="clear" w:color="auto" w:fill="auto"/>
            <w:noWrap/>
            <w:vAlign w:val="center"/>
          </w:tcPr>
          <w:p w14:paraId="7F6D787C">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11,199.09</w:t>
            </w:r>
          </w:p>
        </w:tc>
        <w:tc>
          <w:tcPr>
            <w:tcW w:w="902" w:type="pct"/>
            <w:shd w:val="clear" w:color="auto" w:fill="auto"/>
            <w:noWrap/>
            <w:vAlign w:val="center"/>
          </w:tcPr>
          <w:p w14:paraId="25B42802">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13,672.92</w:t>
            </w:r>
          </w:p>
        </w:tc>
        <w:tc>
          <w:tcPr>
            <w:tcW w:w="952" w:type="pct"/>
            <w:shd w:val="clear" w:color="auto" w:fill="auto"/>
            <w:noWrap/>
            <w:vAlign w:val="center"/>
          </w:tcPr>
          <w:p w14:paraId="0B6F8B0E">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13,282.28</w:t>
            </w:r>
          </w:p>
        </w:tc>
        <w:tc>
          <w:tcPr>
            <w:tcW w:w="902" w:type="pct"/>
            <w:shd w:val="clear" w:color="auto" w:fill="auto"/>
            <w:noWrap/>
            <w:vAlign w:val="center"/>
          </w:tcPr>
          <w:p w14:paraId="51363FA6">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14,056.01</w:t>
            </w:r>
          </w:p>
        </w:tc>
      </w:tr>
      <w:tr w14:paraId="7DF9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1F36C52">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短期借款</w:t>
            </w:r>
          </w:p>
        </w:tc>
        <w:tc>
          <w:tcPr>
            <w:tcW w:w="1074" w:type="pct"/>
            <w:shd w:val="clear" w:color="auto" w:fill="auto"/>
            <w:noWrap/>
            <w:vAlign w:val="center"/>
          </w:tcPr>
          <w:p w14:paraId="528F652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62292B9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1,600.00</w:t>
            </w:r>
          </w:p>
        </w:tc>
        <w:tc>
          <w:tcPr>
            <w:tcW w:w="952" w:type="pct"/>
            <w:shd w:val="clear" w:color="auto" w:fill="auto"/>
            <w:noWrap/>
            <w:vAlign w:val="center"/>
          </w:tcPr>
          <w:p w14:paraId="607A1B31">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1,800.00</w:t>
            </w:r>
          </w:p>
        </w:tc>
        <w:tc>
          <w:tcPr>
            <w:tcW w:w="902" w:type="pct"/>
            <w:shd w:val="clear" w:color="auto" w:fill="auto"/>
            <w:noWrap/>
            <w:vAlign w:val="center"/>
          </w:tcPr>
          <w:p w14:paraId="477210C0">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3,580.00</w:t>
            </w:r>
          </w:p>
        </w:tc>
      </w:tr>
      <w:tr w14:paraId="04A71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44F102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应付账款</w:t>
            </w:r>
          </w:p>
        </w:tc>
        <w:tc>
          <w:tcPr>
            <w:tcW w:w="1074" w:type="pct"/>
            <w:shd w:val="clear" w:color="auto" w:fill="auto"/>
            <w:noWrap/>
            <w:vAlign w:val="center"/>
          </w:tcPr>
          <w:p w14:paraId="482ABA66">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5.75</w:t>
            </w:r>
          </w:p>
        </w:tc>
        <w:tc>
          <w:tcPr>
            <w:tcW w:w="902" w:type="pct"/>
            <w:shd w:val="clear" w:color="auto" w:fill="auto"/>
            <w:noWrap/>
            <w:vAlign w:val="center"/>
          </w:tcPr>
          <w:p w14:paraId="2A3DB0ED">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128.67</w:t>
            </w:r>
          </w:p>
        </w:tc>
        <w:tc>
          <w:tcPr>
            <w:tcW w:w="952" w:type="pct"/>
            <w:shd w:val="clear" w:color="auto" w:fill="auto"/>
            <w:noWrap/>
            <w:vAlign w:val="center"/>
          </w:tcPr>
          <w:p w14:paraId="1BB92DB8">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27.10</w:t>
            </w:r>
          </w:p>
        </w:tc>
        <w:tc>
          <w:tcPr>
            <w:tcW w:w="902" w:type="pct"/>
            <w:shd w:val="clear" w:color="auto" w:fill="auto"/>
            <w:noWrap/>
            <w:vAlign w:val="center"/>
          </w:tcPr>
          <w:p w14:paraId="2A1BB97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-16.65</w:t>
            </w:r>
          </w:p>
        </w:tc>
      </w:tr>
      <w:tr w14:paraId="73BD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18508A1A">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合同负债</w:t>
            </w:r>
          </w:p>
        </w:tc>
        <w:tc>
          <w:tcPr>
            <w:tcW w:w="1074" w:type="pct"/>
            <w:shd w:val="clear" w:color="auto" w:fill="auto"/>
            <w:noWrap/>
            <w:vAlign w:val="center"/>
          </w:tcPr>
          <w:p w14:paraId="64CEBEF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134.96</w:t>
            </w:r>
          </w:p>
        </w:tc>
        <w:tc>
          <w:tcPr>
            <w:tcW w:w="902" w:type="pct"/>
            <w:shd w:val="clear" w:color="auto" w:fill="auto"/>
            <w:noWrap/>
            <w:vAlign w:val="center"/>
          </w:tcPr>
          <w:p w14:paraId="6A80FA6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57.08</w:t>
            </w:r>
          </w:p>
        </w:tc>
        <w:tc>
          <w:tcPr>
            <w:tcW w:w="952" w:type="pct"/>
            <w:shd w:val="clear" w:color="auto" w:fill="auto"/>
            <w:noWrap/>
            <w:vAlign w:val="center"/>
          </w:tcPr>
          <w:p w14:paraId="7113E24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42.44</w:t>
            </w:r>
          </w:p>
        </w:tc>
        <w:tc>
          <w:tcPr>
            <w:tcW w:w="902" w:type="pct"/>
            <w:shd w:val="clear" w:color="auto" w:fill="auto"/>
            <w:noWrap/>
            <w:vAlign w:val="center"/>
          </w:tcPr>
          <w:p w14:paraId="22DC2D2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r>
      <w:tr w14:paraId="65D0D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3FFE6E70">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应付职工薪酬</w:t>
            </w:r>
          </w:p>
        </w:tc>
        <w:tc>
          <w:tcPr>
            <w:tcW w:w="1074" w:type="pct"/>
            <w:shd w:val="clear" w:color="auto" w:fill="auto"/>
            <w:noWrap/>
            <w:vAlign w:val="center"/>
          </w:tcPr>
          <w:p w14:paraId="1EDF91A3">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445.72</w:t>
            </w:r>
          </w:p>
        </w:tc>
        <w:tc>
          <w:tcPr>
            <w:tcW w:w="902" w:type="pct"/>
            <w:shd w:val="clear" w:color="auto" w:fill="auto"/>
            <w:noWrap/>
            <w:vAlign w:val="center"/>
          </w:tcPr>
          <w:p w14:paraId="01E2D09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470.09</w:t>
            </w:r>
          </w:p>
        </w:tc>
        <w:tc>
          <w:tcPr>
            <w:tcW w:w="952" w:type="pct"/>
            <w:shd w:val="clear" w:color="auto" w:fill="auto"/>
            <w:noWrap/>
            <w:vAlign w:val="center"/>
          </w:tcPr>
          <w:p w14:paraId="7569EBED">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79.34</w:t>
            </w:r>
          </w:p>
        </w:tc>
        <w:tc>
          <w:tcPr>
            <w:tcW w:w="902" w:type="pct"/>
            <w:shd w:val="clear" w:color="auto" w:fill="auto"/>
            <w:noWrap/>
            <w:vAlign w:val="center"/>
          </w:tcPr>
          <w:p w14:paraId="7B8CDB95">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89.61</w:t>
            </w:r>
          </w:p>
        </w:tc>
      </w:tr>
      <w:tr w14:paraId="2608F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17D0DB19">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应交税费</w:t>
            </w:r>
          </w:p>
        </w:tc>
        <w:tc>
          <w:tcPr>
            <w:tcW w:w="1074" w:type="pct"/>
            <w:shd w:val="clear" w:color="auto" w:fill="auto"/>
            <w:noWrap/>
            <w:vAlign w:val="center"/>
          </w:tcPr>
          <w:p w14:paraId="427201A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6.56</w:t>
            </w:r>
          </w:p>
        </w:tc>
        <w:tc>
          <w:tcPr>
            <w:tcW w:w="902" w:type="pct"/>
            <w:shd w:val="clear" w:color="auto" w:fill="auto"/>
            <w:noWrap/>
            <w:vAlign w:val="center"/>
          </w:tcPr>
          <w:p w14:paraId="2AB57C7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14.98</w:t>
            </w:r>
          </w:p>
        </w:tc>
        <w:tc>
          <w:tcPr>
            <w:tcW w:w="952" w:type="pct"/>
            <w:shd w:val="clear" w:color="auto" w:fill="auto"/>
            <w:noWrap/>
            <w:vAlign w:val="center"/>
          </w:tcPr>
          <w:p w14:paraId="0F75C30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21.46</w:t>
            </w:r>
          </w:p>
        </w:tc>
        <w:tc>
          <w:tcPr>
            <w:tcW w:w="902" w:type="pct"/>
            <w:shd w:val="clear" w:color="auto" w:fill="auto"/>
            <w:noWrap/>
            <w:vAlign w:val="center"/>
          </w:tcPr>
          <w:p w14:paraId="33C84B9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-242.51</w:t>
            </w:r>
          </w:p>
        </w:tc>
      </w:tr>
      <w:tr w14:paraId="21FC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40A4AD4C">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其他应付款</w:t>
            </w:r>
          </w:p>
        </w:tc>
        <w:tc>
          <w:tcPr>
            <w:tcW w:w="1074" w:type="pct"/>
            <w:shd w:val="clear" w:color="auto" w:fill="auto"/>
            <w:noWrap/>
            <w:vAlign w:val="center"/>
          </w:tcPr>
          <w:p w14:paraId="08991F5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0.69</w:t>
            </w:r>
          </w:p>
        </w:tc>
        <w:tc>
          <w:tcPr>
            <w:tcW w:w="902" w:type="pct"/>
            <w:shd w:val="clear" w:color="auto" w:fill="auto"/>
            <w:noWrap/>
            <w:vAlign w:val="center"/>
          </w:tcPr>
          <w:p w14:paraId="75551C0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10.82</w:t>
            </w:r>
          </w:p>
        </w:tc>
        <w:tc>
          <w:tcPr>
            <w:tcW w:w="952" w:type="pct"/>
            <w:shd w:val="clear" w:color="auto" w:fill="auto"/>
            <w:noWrap/>
            <w:vAlign w:val="center"/>
          </w:tcPr>
          <w:p w14:paraId="5D224D2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0.47</w:t>
            </w:r>
          </w:p>
        </w:tc>
        <w:tc>
          <w:tcPr>
            <w:tcW w:w="902" w:type="pct"/>
            <w:shd w:val="clear" w:color="auto" w:fill="auto"/>
            <w:noWrap/>
            <w:vAlign w:val="center"/>
          </w:tcPr>
          <w:p w14:paraId="07F6CBF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0.47</w:t>
            </w:r>
          </w:p>
        </w:tc>
      </w:tr>
      <w:tr w14:paraId="75E3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5C454B5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一年内到期的非流动负债</w:t>
            </w:r>
          </w:p>
        </w:tc>
        <w:tc>
          <w:tcPr>
            <w:tcW w:w="1074" w:type="pct"/>
            <w:shd w:val="clear" w:color="auto" w:fill="auto"/>
            <w:noWrap/>
            <w:vAlign w:val="center"/>
          </w:tcPr>
          <w:p w14:paraId="6967FBD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17.95</w:t>
            </w:r>
          </w:p>
        </w:tc>
        <w:tc>
          <w:tcPr>
            <w:tcW w:w="902" w:type="pct"/>
            <w:shd w:val="clear" w:color="auto" w:fill="auto"/>
            <w:noWrap/>
            <w:vAlign w:val="center"/>
          </w:tcPr>
          <w:p w14:paraId="5535E3B0">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52" w:type="pct"/>
            <w:shd w:val="clear" w:color="auto" w:fill="auto"/>
            <w:noWrap/>
            <w:vAlign w:val="center"/>
          </w:tcPr>
          <w:p w14:paraId="0F6CBCB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598F9F6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r>
      <w:tr w14:paraId="0D10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21D2F7BB">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其他流动负债</w:t>
            </w:r>
          </w:p>
        </w:tc>
        <w:tc>
          <w:tcPr>
            <w:tcW w:w="1074" w:type="pct"/>
            <w:shd w:val="clear" w:color="auto" w:fill="auto"/>
            <w:noWrap/>
            <w:vAlign w:val="center"/>
          </w:tcPr>
          <w:p w14:paraId="357675E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1.31</w:t>
            </w:r>
          </w:p>
        </w:tc>
        <w:tc>
          <w:tcPr>
            <w:tcW w:w="902" w:type="pct"/>
            <w:shd w:val="clear" w:color="auto" w:fill="auto"/>
            <w:noWrap/>
            <w:vAlign w:val="center"/>
          </w:tcPr>
          <w:p w14:paraId="1C962F3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52" w:type="pct"/>
            <w:shd w:val="clear" w:color="auto" w:fill="auto"/>
            <w:noWrap/>
            <w:vAlign w:val="center"/>
          </w:tcPr>
          <w:p w14:paraId="489EBE21">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0CF0CDB6">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r>
      <w:tr w14:paraId="7813A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49DE1057">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流动负债合计</w:t>
            </w:r>
          </w:p>
        </w:tc>
        <w:tc>
          <w:tcPr>
            <w:tcW w:w="1074" w:type="pct"/>
            <w:shd w:val="clear" w:color="auto" w:fill="auto"/>
            <w:noWrap/>
            <w:vAlign w:val="center"/>
          </w:tcPr>
          <w:p w14:paraId="6725B996">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612.93</w:t>
            </w:r>
          </w:p>
        </w:tc>
        <w:tc>
          <w:tcPr>
            <w:tcW w:w="902" w:type="pct"/>
            <w:shd w:val="clear" w:color="auto" w:fill="auto"/>
            <w:noWrap/>
            <w:vAlign w:val="center"/>
          </w:tcPr>
          <w:p w14:paraId="2D4DA37C">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2,281.64</w:t>
            </w:r>
          </w:p>
        </w:tc>
        <w:tc>
          <w:tcPr>
            <w:tcW w:w="952" w:type="pct"/>
            <w:shd w:val="clear" w:color="auto" w:fill="auto"/>
            <w:noWrap/>
            <w:vAlign w:val="center"/>
          </w:tcPr>
          <w:p w14:paraId="1685866B">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1,970.81</w:t>
            </w:r>
          </w:p>
        </w:tc>
        <w:tc>
          <w:tcPr>
            <w:tcW w:w="902" w:type="pct"/>
            <w:shd w:val="clear" w:color="auto" w:fill="auto"/>
            <w:noWrap/>
            <w:vAlign w:val="center"/>
          </w:tcPr>
          <w:p w14:paraId="1B827D75">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3,410.91</w:t>
            </w:r>
          </w:p>
        </w:tc>
      </w:tr>
      <w:tr w14:paraId="0C947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25483BE0">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租赁负债</w:t>
            </w:r>
          </w:p>
        </w:tc>
        <w:tc>
          <w:tcPr>
            <w:tcW w:w="1074" w:type="pct"/>
            <w:shd w:val="clear" w:color="auto" w:fill="auto"/>
            <w:noWrap/>
            <w:vAlign w:val="center"/>
          </w:tcPr>
          <w:p w14:paraId="5F2DBB0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786D7773">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47.24</w:t>
            </w:r>
          </w:p>
        </w:tc>
        <w:tc>
          <w:tcPr>
            <w:tcW w:w="952" w:type="pct"/>
            <w:shd w:val="clear" w:color="auto" w:fill="auto"/>
            <w:noWrap/>
            <w:vAlign w:val="center"/>
          </w:tcPr>
          <w:p w14:paraId="1A8C6A8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21.08</w:t>
            </w:r>
          </w:p>
        </w:tc>
        <w:tc>
          <w:tcPr>
            <w:tcW w:w="902" w:type="pct"/>
            <w:shd w:val="clear" w:color="auto" w:fill="auto"/>
            <w:noWrap/>
            <w:vAlign w:val="center"/>
          </w:tcPr>
          <w:p w14:paraId="17E0226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r>
      <w:tr w14:paraId="5421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378B0EBC">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递延所得税负债</w:t>
            </w:r>
          </w:p>
        </w:tc>
        <w:tc>
          <w:tcPr>
            <w:tcW w:w="1074" w:type="pct"/>
            <w:shd w:val="clear" w:color="auto" w:fill="auto"/>
            <w:noWrap/>
            <w:vAlign w:val="center"/>
          </w:tcPr>
          <w:p w14:paraId="6CC11790">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41.07</w:t>
            </w:r>
          </w:p>
        </w:tc>
        <w:tc>
          <w:tcPr>
            <w:tcW w:w="902" w:type="pct"/>
            <w:shd w:val="clear" w:color="auto" w:fill="auto"/>
            <w:noWrap/>
            <w:vAlign w:val="center"/>
          </w:tcPr>
          <w:p w14:paraId="46B1E44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55.42</w:t>
            </w:r>
          </w:p>
        </w:tc>
        <w:tc>
          <w:tcPr>
            <w:tcW w:w="952" w:type="pct"/>
            <w:shd w:val="clear" w:color="auto" w:fill="auto"/>
            <w:noWrap/>
            <w:vAlign w:val="center"/>
          </w:tcPr>
          <w:p w14:paraId="318F401A">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32.90</w:t>
            </w:r>
          </w:p>
        </w:tc>
        <w:tc>
          <w:tcPr>
            <w:tcW w:w="902" w:type="pct"/>
            <w:shd w:val="clear" w:color="auto" w:fill="auto"/>
            <w:noWrap/>
            <w:vAlign w:val="center"/>
          </w:tcPr>
          <w:p w14:paraId="5F9AE3C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32.90</w:t>
            </w:r>
          </w:p>
        </w:tc>
      </w:tr>
      <w:tr w14:paraId="4078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22851452">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其他非流动负债</w:t>
            </w:r>
          </w:p>
        </w:tc>
        <w:tc>
          <w:tcPr>
            <w:tcW w:w="1074" w:type="pct"/>
            <w:shd w:val="clear" w:color="auto" w:fill="auto"/>
            <w:noWrap/>
            <w:vAlign w:val="center"/>
          </w:tcPr>
          <w:p w14:paraId="6669459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6FA057DF">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52" w:type="pct"/>
            <w:shd w:val="clear" w:color="auto" w:fill="auto"/>
            <w:noWrap/>
            <w:vAlign w:val="center"/>
          </w:tcPr>
          <w:p w14:paraId="7557FCE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4B8ECDC3">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15.20</w:t>
            </w:r>
          </w:p>
        </w:tc>
      </w:tr>
      <w:tr w14:paraId="4E35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E67C34A">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非流动负债合计</w:t>
            </w:r>
          </w:p>
        </w:tc>
        <w:tc>
          <w:tcPr>
            <w:tcW w:w="1074" w:type="pct"/>
            <w:shd w:val="clear" w:color="auto" w:fill="auto"/>
            <w:noWrap/>
            <w:vAlign w:val="center"/>
          </w:tcPr>
          <w:p w14:paraId="1DBBEAF1">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41.07</w:t>
            </w:r>
          </w:p>
        </w:tc>
        <w:tc>
          <w:tcPr>
            <w:tcW w:w="902" w:type="pct"/>
            <w:shd w:val="clear" w:color="auto" w:fill="auto"/>
            <w:noWrap/>
            <w:vAlign w:val="center"/>
          </w:tcPr>
          <w:p w14:paraId="4D30D92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102.66</w:t>
            </w:r>
          </w:p>
        </w:tc>
        <w:tc>
          <w:tcPr>
            <w:tcW w:w="952" w:type="pct"/>
            <w:shd w:val="clear" w:color="auto" w:fill="auto"/>
            <w:noWrap/>
            <w:vAlign w:val="center"/>
          </w:tcPr>
          <w:p w14:paraId="66083A9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53.97</w:t>
            </w:r>
          </w:p>
        </w:tc>
        <w:tc>
          <w:tcPr>
            <w:tcW w:w="902" w:type="pct"/>
            <w:shd w:val="clear" w:color="auto" w:fill="auto"/>
            <w:noWrap/>
            <w:vAlign w:val="center"/>
          </w:tcPr>
          <w:p w14:paraId="64BD536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48.10</w:t>
            </w:r>
          </w:p>
        </w:tc>
      </w:tr>
      <w:tr w14:paraId="3E36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75FD64AB">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负债合计</w:t>
            </w:r>
          </w:p>
        </w:tc>
        <w:tc>
          <w:tcPr>
            <w:tcW w:w="1074" w:type="pct"/>
            <w:shd w:val="clear" w:color="auto" w:fill="auto"/>
            <w:noWrap/>
            <w:vAlign w:val="center"/>
          </w:tcPr>
          <w:p w14:paraId="150BE4D1">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654.00</w:t>
            </w:r>
          </w:p>
        </w:tc>
        <w:tc>
          <w:tcPr>
            <w:tcW w:w="902" w:type="pct"/>
            <w:shd w:val="clear" w:color="auto" w:fill="auto"/>
            <w:noWrap/>
            <w:vAlign w:val="center"/>
          </w:tcPr>
          <w:p w14:paraId="0455E099">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2,384.30</w:t>
            </w:r>
          </w:p>
        </w:tc>
        <w:tc>
          <w:tcPr>
            <w:tcW w:w="952" w:type="pct"/>
            <w:shd w:val="clear" w:color="auto" w:fill="auto"/>
            <w:noWrap/>
            <w:vAlign w:val="center"/>
          </w:tcPr>
          <w:p w14:paraId="6D9609AC">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2,024.78</w:t>
            </w:r>
          </w:p>
        </w:tc>
        <w:tc>
          <w:tcPr>
            <w:tcW w:w="902" w:type="pct"/>
            <w:shd w:val="clear" w:color="auto" w:fill="auto"/>
            <w:noWrap/>
            <w:vAlign w:val="center"/>
          </w:tcPr>
          <w:p w14:paraId="2FFDFF40">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3,459.01</w:t>
            </w:r>
          </w:p>
        </w:tc>
      </w:tr>
      <w:tr w14:paraId="064D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3996E01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实收资本（或股本）</w:t>
            </w:r>
          </w:p>
        </w:tc>
        <w:tc>
          <w:tcPr>
            <w:tcW w:w="1074" w:type="pct"/>
            <w:shd w:val="clear" w:color="auto" w:fill="auto"/>
            <w:noWrap/>
            <w:vAlign w:val="center"/>
          </w:tcPr>
          <w:p w14:paraId="6C1F5E4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1,809.32</w:t>
            </w:r>
          </w:p>
        </w:tc>
        <w:tc>
          <w:tcPr>
            <w:tcW w:w="902" w:type="pct"/>
            <w:shd w:val="clear" w:color="auto" w:fill="auto"/>
            <w:noWrap/>
            <w:vAlign w:val="center"/>
          </w:tcPr>
          <w:p w14:paraId="0A705257">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1,809.32</w:t>
            </w:r>
          </w:p>
        </w:tc>
        <w:tc>
          <w:tcPr>
            <w:tcW w:w="952" w:type="pct"/>
            <w:shd w:val="clear" w:color="auto" w:fill="auto"/>
            <w:noWrap/>
            <w:vAlign w:val="center"/>
          </w:tcPr>
          <w:p w14:paraId="12137BD8">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1,809.32</w:t>
            </w:r>
          </w:p>
        </w:tc>
        <w:tc>
          <w:tcPr>
            <w:tcW w:w="902" w:type="pct"/>
            <w:shd w:val="clear" w:color="auto" w:fill="auto"/>
            <w:noWrap/>
            <w:vAlign w:val="center"/>
          </w:tcPr>
          <w:p w14:paraId="1082D5B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1,809.32</w:t>
            </w:r>
          </w:p>
        </w:tc>
      </w:tr>
      <w:tr w14:paraId="012A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55AF4898">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资本公积</w:t>
            </w:r>
          </w:p>
        </w:tc>
        <w:tc>
          <w:tcPr>
            <w:tcW w:w="1074" w:type="pct"/>
            <w:shd w:val="clear" w:color="auto" w:fill="auto"/>
            <w:noWrap/>
            <w:vAlign w:val="center"/>
          </w:tcPr>
          <w:p w14:paraId="4080D87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10,179.61</w:t>
            </w:r>
          </w:p>
        </w:tc>
        <w:tc>
          <w:tcPr>
            <w:tcW w:w="902" w:type="pct"/>
            <w:shd w:val="clear" w:color="auto" w:fill="auto"/>
            <w:noWrap/>
            <w:vAlign w:val="center"/>
          </w:tcPr>
          <w:p w14:paraId="29FE3B7B">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10,312.02</w:t>
            </w:r>
          </w:p>
        </w:tc>
        <w:tc>
          <w:tcPr>
            <w:tcW w:w="952" w:type="pct"/>
            <w:shd w:val="clear" w:color="auto" w:fill="auto"/>
            <w:noWrap/>
            <w:vAlign w:val="center"/>
          </w:tcPr>
          <w:p w14:paraId="193CB221">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10,462.67</w:t>
            </w:r>
          </w:p>
        </w:tc>
        <w:tc>
          <w:tcPr>
            <w:tcW w:w="902" w:type="pct"/>
            <w:shd w:val="clear" w:color="auto" w:fill="auto"/>
            <w:noWrap/>
            <w:vAlign w:val="center"/>
          </w:tcPr>
          <w:p w14:paraId="488A6AAA">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10,522.30</w:t>
            </w:r>
          </w:p>
        </w:tc>
      </w:tr>
      <w:tr w14:paraId="2E24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1B8F29E">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盈余公积</w:t>
            </w:r>
          </w:p>
        </w:tc>
        <w:tc>
          <w:tcPr>
            <w:tcW w:w="1074" w:type="pct"/>
            <w:shd w:val="clear" w:color="auto" w:fill="auto"/>
            <w:noWrap/>
            <w:vAlign w:val="center"/>
          </w:tcPr>
          <w:p w14:paraId="0F407A88">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37A97E43">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33.10</w:t>
            </w:r>
          </w:p>
        </w:tc>
        <w:tc>
          <w:tcPr>
            <w:tcW w:w="952" w:type="pct"/>
            <w:shd w:val="clear" w:color="auto" w:fill="auto"/>
            <w:noWrap/>
            <w:vAlign w:val="center"/>
          </w:tcPr>
          <w:p w14:paraId="7C5D956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28.82</w:t>
            </w:r>
          </w:p>
        </w:tc>
        <w:tc>
          <w:tcPr>
            <w:tcW w:w="902" w:type="pct"/>
            <w:shd w:val="clear" w:color="auto" w:fill="auto"/>
            <w:noWrap/>
            <w:vAlign w:val="center"/>
          </w:tcPr>
          <w:p w14:paraId="2D3A3C35">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28.82</w:t>
            </w:r>
          </w:p>
        </w:tc>
      </w:tr>
      <w:tr w14:paraId="0717B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4B4F9634">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未分配利润</w:t>
            </w:r>
          </w:p>
        </w:tc>
        <w:tc>
          <w:tcPr>
            <w:tcW w:w="1074" w:type="pct"/>
            <w:shd w:val="clear" w:color="auto" w:fill="auto"/>
            <w:noWrap/>
            <w:vAlign w:val="center"/>
          </w:tcPr>
          <w:p w14:paraId="474220EE">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-1,443.84</w:t>
            </w:r>
          </w:p>
        </w:tc>
        <w:tc>
          <w:tcPr>
            <w:tcW w:w="902" w:type="pct"/>
            <w:shd w:val="clear" w:color="auto" w:fill="auto"/>
            <w:noWrap/>
            <w:vAlign w:val="center"/>
          </w:tcPr>
          <w:p w14:paraId="4EF634B5">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-942.55</w:t>
            </w:r>
          </w:p>
        </w:tc>
        <w:tc>
          <w:tcPr>
            <w:tcW w:w="952" w:type="pct"/>
            <w:shd w:val="clear" w:color="auto" w:fill="auto"/>
            <w:noWrap/>
            <w:vAlign w:val="center"/>
          </w:tcPr>
          <w:p w14:paraId="5650F35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-1,087.08</w:t>
            </w:r>
          </w:p>
        </w:tc>
        <w:tc>
          <w:tcPr>
            <w:tcW w:w="902" w:type="pct"/>
            <w:shd w:val="clear" w:color="auto" w:fill="auto"/>
            <w:noWrap/>
            <w:vAlign w:val="center"/>
          </w:tcPr>
          <w:p w14:paraId="7A937C6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-1,819.21</w:t>
            </w:r>
          </w:p>
        </w:tc>
      </w:tr>
      <w:tr w14:paraId="4558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exact"/>
        </w:trPr>
        <w:tc>
          <w:tcPr>
            <w:tcW w:w="1168" w:type="pct"/>
            <w:shd w:val="clear" w:color="auto" w:fill="auto"/>
            <w:noWrap/>
            <w:vAlign w:val="center"/>
          </w:tcPr>
          <w:p w14:paraId="339B2A72">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归属于母公司股东权益合计</w:t>
            </w:r>
          </w:p>
        </w:tc>
        <w:tc>
          <w:tcPr>
            <w:tcW w:w="1074" w:type="pct"/>
            <w:shd w:val="clear" w:color="auto" w:fill="auto"/>
            <w:noWrap/>
            <w:vAlign w:val="center"/>
          </w:tcPr>
          <w:p w14:paraId="62B838AB">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10,545.09</w:t>
            </w:r>
          </w:p>
        </w:tc>
        <w:tc>
          <w:tcPr>
            <w:tcW w:w="902" w:type="pct"/>
            <w:shd w:val="clear" w:color="auto" w:fill="auto"/>
            <w:noWrap/>
            <w:vAlign w:val="center"/>
          </w:tcPr>
          <w:p w14:paraId="5062EF7B">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11,211.89</w:t>
            </w:r>
          </w:p>
        </w:tc>
        <w:tc>
          <w:tcPr>
            <w:tcW w:w="952" w:type="pct"/>
            <w:shd w:val="clear" w:color="auto" w:fill="auto"/>
            <w:noWrap/>
            <w:vAlign w:val="center"/>
          </w:tcPr>
          <w:p w14:paraId="7E8A2915">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11,213.73</w:t>
            </w:r>
          </w:p>
        </w:tc>
        <w:tc>
          <w:tcPr>
            <w:tcW w:w="902" w:type="pct"/>
            <w:shd w:val="clear" w:color="auto" w:fill="auto"/>
            <w:noWrap/>
            <w:vAlign w:val="center"/>
          </w:tcPr>
          <w:p w14:paraId="1556FDF2">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10,541.23</w:t>
            </w:r>
          </w:p>
        </w:tc>
      </w:tr>
      <w:tr w14:paraId="728D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00CA09CB">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少数股东权益</w:t>
            </w:r>
          </w:p>
        </w:tc>
        <w:tc>
          <w:tcPr>
            <w:tcW w:w="1074" w:type="pct"/>
            <w:shd w:val="clear" w:color="auto" w:fill="auto"/>
            <w:noWrap/>
            <w:vAlign w:val="center"/>
          </w:tcPr>
          <w:p w14:paraId="61E660C6">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w:t>
            </w:r>
          </w:p>
        </w:tc>
        <w:tc>
          <w:tcPr>
            <w:tcW w:w="902" w:type="pct"/>
            <w:shd w:val="clear" w:color="auto" w:fill="auto"/>
            <w:noWrap/>
            <w:vAlign w:val="center"/>
          </w:tcPr>
          <w:p w14:paraId="5E1B7654">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76.72</w:t>
            </w:r>
          </w:p>
        </w:tc>
        <w:tc>
          <w:tcPr>
            <w:tcW w:w="952" w:type="pct"/>
            <w:shd w:val="clear" w:color="auto" w:fill="auto"/>
            <w:noWrap/>
            <w:vAlign w:val="center"/>
          </w:tcPr>
          <w:p w14:paraId="5E97571F">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43.76</w:t>
            </w:r>
          </w:p>
        </w:tc>
        <w:tc>
          <w:tcPr>
            <w:tcW w:w="902" w:type="pct"/>
            <w:shd w:val="clear" w:color="auto" w:fill="auto"/>
            <w:noWrap/>
            <w:vAlign w:val="center"/>
          </w:tcPr>
          <w:p w14:paraId="6EF61B99">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55.76</w:t>
            </w:r>
          </w:p>
        </w:tc>
      </w:tr>
      <w:tr w14:paraId="678DD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168" w:type="pct"/>
            <w:shd w:val="clear" w:color="auto" w:fill="auto"/>
            <w:noWrap/>
            <w:vAlign w:val="center"/>
          </w:tcPr>
          <w:p w14:paraId="6D90134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所有者权益合计</w:t>
            </w:r>
          </w:p>
        </w:tc>
        <w:tc>
          <w:tcPr>
            <w:tcW w:w="1074" w:type="pct"/>
            <w:shd w:val="clear" w:color="auto" w:fill="auto"/>
            <w:noWrap/>
            <w:vAlign w:val="center"/>
          </w:tcPr>
          <w:p w14:paraId="09595B9C">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cs="Times New Roman"/>
                <w:i w:val="0"/>
                <w:iCs w:val="0"/>
                <w:color w:val="000000"/>
                <w:kern w:val="0"/>
                <w:sz w:val="21"/>
                <w:szCs w:val="21"/>
                <w:u w:val="none"/>
                <w:lang w:val="en-US" w:eastAsia="zh-CN" w:bidi="ar"/>
                <w14:ligatures w14:val="none"/>
              </w:rPr>
              <w:t>1</w:t>
            </w:r>
            <w:r>
              <w:rPr>
                <w:rFonts w:hint="default" w:ascii="Times New Roman" w:hAnsi="Times New Roman" w:eastAsia="宋体" w:cs="Times New Roman"/>
                <w:i w:val="0"/>
                <w:iCs w:val="0"/>
                <w:color w:val="000000"/>
                <w:kern w:val="0"/>
                <w:sz w:val="21"/>
                <w:szCs w:val="21"/>
                <w:u w:val="none"/>
                <w:lang w:val="en-US" w:eastAsia="zh-CN" w:bidi="ar"/>
                <w14:ligatures w14:val="none"/>
              </w:rPr>
              <w:t>0,545.09</w:t>
            </w:r>
          </w:p>
        </w:tc>
        <w:tc>
          <w:tcPr>
            <w:tcW w:w="902" w:type="pct"/>
            <w:shd w:val="clear" w:color="auto" w:fill="auto"/>
            <w:noWrap/>
            <w:vAlign w:val="center"/>
          </w:tcPr>
          <w:p w14:paraId="2F52212D">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11,288.62</w:t>
            </w:r>
          </w:p>
        </w:tc>
        <w:tc>
          <w:tcPr>
            <w:tcW w:w="952" w:type="pct"/>
            <w:shd w:val="clear" w:color="auto" w:fill="auto"/>
            <w:noWrap/>
            <w:vAlign w:val="center"/>
          </w:tcPr>
          <w:p w14:paraId="7F87ACD2">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11,257.49</w:t>
            </w:r>
          </w:p>
        </w:tc>
        <w:tc>
          <w:tcPr>
            <w:tcW w:w="902" w:type="pct"/>
            <w:shd w:val="clear" w:color="auto" w:fill="auto"/>
            <w:noWrap/>
            <w:vAlign w:val="center"/>
          </w:tcPr>
          <w:p w14:paraId="1683C436">
            <w:pPr>
              <w:keepNext w:val="0"/>
              <w:keepLines w:val="0"/>
              <w:widowControl/>
              <w:suppressLineNumbers w:val="0"/>
              <w:ind w:firstLine="420" w:firstLineChars="200"/>
              <w:jc w:val="right"/>
              <w:textAlignment w:val="center"/>
              <w:rPr>
                <w:rFonts w:hint="default" w:ascii="Times New Roman" w:hAnsi="Times New Roman" w:eastAsia="宋体" w:cs="Times New Roman"/>
                <w:color w:val="000000"/>
                <w:sz w:val="21"/>
                <w:szCs w:val="21"/>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10,597.00</w:t>
            </w:r>
          </w:p>
        </w:tc>
      </w:tr>
      <w:tr w14:paraId="0108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exact"/>
        </w:trPr>
        <w:tc>
          <w:tcPr>
            <w:tcW w:w="1168" w:type="pct"/>
            <w:shd w:val="clear" w:color="auto" w:fill="auto"/>
            <w:noWrap/>
            <w:vAlign w:val="center"/>
          </w:tcPr>
          <w:p w14:paraId="3F3A831A">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负债和股东权益总计</w:t>
            </w:r>
          </w:p>
        </w:tc>
        <w:tc>
          <w:tcPr>
            <w:tcW w:w="1074" w:type="pct"/>
            <w:shd w:val="clear" w:color="auto" w:fill="auto"/>
            <w:noWrap/>
            <w:vAlign w:val="center"/>
          </w:tcPr>
          <w:p w14:paraId="42C4523D">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11,199.09</w:t>
            </w:r>
          </w:p>
        </w:tc>
        <w:tc>
          <w:tcPr>
            <w:tcW w:w="902" w:type="pct"/>
            <w:shd w:val="clear" w:color="auto" w:fill="auto"/>
            <w:noWrap/>
            <w:vAlign w:val="center"/>
          </w:tcPr>
          <w:p w14:paraId="0093C72E">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13,672.92</w:t>
            </w:r>
          </w:p>
        </w:tc>
        <w:tc>
          <w:tcPr>
            <w:tcW w:w="952" w:type="pct"/>
            <w:shd w:val="clear" w:color="auto" w:fill="auto"/>
            <w:noWrap/>
            <w:vAlign w:val="center"/>
          </w:tcPr>
          <w:p w14:paraId="404CDB18">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13,282.28</w:t>
            </w:r>
          </w:p>
        </w:tc>
        <w:tc>
          <w:tcPr>
            <w:tcW w:w="902" w:type="pct"/>
            <w:shd w:val="clear" w:color="auto" w:fill="auto"/>
            <w:noWrap/>
            <w:vAlign w:val="center"/>
          </w:tcPr>
          <w:p w14:paraId="5F7E0813">
            <w:pPr>
              <w:keepNext w:val="0"/>
              <w:keepLines w:val="0"/>
              <w:widowControl/>
              <w:suppressLineNumbers w:val="0"/>
              <w:ind w:firstLine="422" w:firstLineChars="200"/>
              <w:jc w:val="right"/>
              <w:textAlignment w:val="center"/>
              <w:rPr>
                <w:rFonts w:hint="default" w:ascii="Times New Roman" w:hAnsi="Times New Roman" w:eastAsia="宋体" w:cs="Times New Roman"/>
                <w:b/>
                <w:bCs/>
                <w:color w:val="000000"/>
                <w:sz w:val="21"/>
                <w:szCs w:val="21"/>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14,056.01</w:t>
            </w:r>
          </w:p>
        </w:tc>
      </w:tr>
    </w:tbl>
    <w:p w14:paraId="64D43EE3">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jc w:val="both"/>
        <w:textAlignment w:val="auto"/>
        <w:outlineLvl w:val="2"/>
        <w:rPr>
          <w:rFonts w:hint="default" w:ascii="Times New Roman" w:hAnsi="Times New Roman" w:eastAsia="宋体" w:cs="Times New Roman"/>
        </w:rPr>
      </w:pPr>
    </w:p>
    <w:p w14:paraId="2EF3A2AB">
      <w:pPr>
        <w:pStyle w:val="68"/>
        <w:keepNext/>
        <w:keepLines/>
        <w:pageBreakBefore w:val="0"/>
        <w:widowControl w:val="0"/>
        <w:numPr>
          <w:ilvl w:val="0"/>
          <w:numId w:val="3"/>
        </w:numPr>
        <w:kinsoku/>
        <w:wordWrap/>
        <w:overflowPunct/>
        <w:topLinePunct w:val="0"/>
        <w:autoSpaceDE/>
        <w:autoSpaceDN/>
        <w:bidi w:val="0"/>
        <w:adjustRightInd w:val="0"/>
        <w:snapToGrid w:val="0"/>
        <w:spacing w:before="0" w:beforeLines="0" w:after="0" w:afterLines="0"/>
        <w:ind w:left="0" w:leftChars="0" w:firstLine="482" w:firstLineChars="200"/>
        <w:textAlignment w:val="auto"/>
        <w:rPr>
          <w:rFonts w:hint="default" w:ascii="Times New Roman" w:hAnsi="Times New Roman" w:eastAsia="宋体" w:cs="Times New Roman"/>
        </w:rPr>
      </w:pPr>
      <w:bookmarkStart w:id="8" w:name="_Toc30153"/>
      <w:r>
        <w:rPr>
          <w:rFonts w:hint="default" w:ascii="Times New Roman" w:hAnsi="Times New Roman" w:eastAsia="宋体" w:cs="Times New Roman"/>
          <w:lang w:val="en-US" w:eastAsia="zh-CN"/>
        </w:rPr>
        <w:t>合并</w:t>
      </w:r>
      <w:r>
        <w:rPr>
          <w:rFonts w:hint="default" w:ascii="Times New Roman" w:hAnsi="Times New Roman" w:eastAsia="宋体" w:cs="Times New Roman"/>
        </w:rPr>
        <w:t>利润表</w:t>
      </w:r>
      <w:bookmarkEnd w:id="8"/>
    </w:p>
    <w:tbl>
      <w:tblPr>
        <w:tblStyle w:val="35"/>
        <w:tblW w:w="8326"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7"/>
        <w:gridCol w:w="1614"/>
        <w:gridCol w:w="1650"/>
        <w:gridCol w:w="1613"/>
        <w:gridCol w:w="1612"/>
      </w:tblGrid>
      <w:tr w14:paraId="2F7E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exact"/>
          <w:tblHeader/>
        </w:trPr>
        <w:tc>
          <w:tcPr>
            <w:tcW w:w="1837" w:type="dxa"/>
            <w:shd w:val="clear" w:color="auto" w:fill="auto"/>
            <w:noWrap/>
            <w:vAlign w:val="center"/>
          </w:tcPr>
          <w:p w14:paraId="24F0F29B">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i/>
                <w:iCs/>
                <w:color w:val="auto"/>
                <w:kern w:val="0"/>
                <w:sz w:val="21"/>
                <w:szCs w:val="21"/>
                <w:u w:val="none"/>
                <w:lang w:val="en-US" w:eastAsia="zh-CN" w:bidi="ar"/>
                <w14:ligatures w14:val="none"/>
              </w:rPr>
              <w:t>货币：人民币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614" w:type="dxa"/>
            <w:shd w:val="clear" w:color="auto" w:fill="auto"/>
            <w:vAlign w:val="center"/>
          </w:tcPr>
          <w:p w14:paraId="4A97FA1A">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650" w:type="dxa"/>
            <w:shd w:val="clear" w:color="auto" w:fill="auto"/>
            <w:vAlign w:val="center"/>
          </w:tcPr>
          <w:p w14:paraId="43629076">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613" w:type="dxa"/>
            <w:shd w:val="clear" w:color="auto" w:fill="auto"/>
            <w:noWrap/>
            <w:vAlign w:val="center"/>
          </w:tcPr>
          <w:p w14:paraId="374CD09D">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c>
          <w:tcPr>
            <w:tcW w:w="1612" w:type="dxa"/>
            <w:shd w:val="clear" w:color="auto" w:fill="auto"/>
            <w:noWrap/>
            <w:vAlign w:val="center"/>
          </w:tcPr>
          <w:p w14:paraId="18EBF765">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2025年6月30日</w:t>
            </w:r>
          </w:p>
        </w:tc>
      </w:tr>
      <w:tr w14:paraId="06F3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28F8093D">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营业收入</w:t>
            </w:r>
          </w:p>
        </w:tc>
        <w:tc>
          <w:tcPr>
            <w:tcW w:w="1614" w:type="dxa"/>
            <w:shd w:val="clear" w:color="auto" w:fill="auto"/>
            <w:noWrap/>
            <w:vAlign w:val="center"/>
          </w:tcPr>
          <w:p w14:paraId="4E87319E">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2,879.78</w:t>
            </w:r>
          </w:p>
        </w:tc>
        <w:tc>
          <w:tcPr>
            <w:tcW w:w="1650" w:type="dxa"/>
            <w:shd w:val="clear" w:color="auto" w:fill="auto"/>
            <w:noWrap/>
            <w:vAlign w:val="center"/>
          </w:tcPr>
          <w:p w14:paraId="338746AD">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3,018.06</w:t>
            </w:r>
          </w:p>
        </w:tc>
        <w:tc>
          <w:tcPr>
            <w:tcW w:w="1613" w:type="dxa"/>
            <w:shd w:val="clear" w:color="auto" w:fill="auto"/>
            <w:noWrap/>
            <w:vAlign w:val="center"/>
          </w:tcPr>
          <w:p w14:paraId="67AF313D">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2,474.60</w:t>
            </w:r>
          </w:p>
        </w:tc>
        <w:tc>
          <w:tcPr>
            <w:tcW w:w="1612" w:type="dxa"/>
            <w:shd w:val="clear" w:color="auto" w:fill="auto"/>
            <w:noWrap/>
            <w:vAlign w:val="center"/>
          </w:tcPr>
          <w:p w14:paraId="4700DB8F">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609.86</w:t>
            </w:r>
          </w:p>
        </w:tc>
      </w:tr>
      <w:tr w14:paraId="3BA0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531C59B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其他业务收入</w:t>
            </w:r>
          </w:p>
        </w:tc>
        <w:tc>
          <w:tcPr>
            <w:tcW w:w="1614" w:type="dxa"/>
            <w:shd w:val="clear" w:color="auto" w:fill="auto"/>
            <w:noWrap/>
            <w:vAlign w:val="center"/>
          </w:tcPr>
          <w:p w14:paraId="01AA6F6A">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0.00</w:t>
            </w:r>
          </w:p>
        </w:tc>
        <w:tc>
          <w:tcPr>
            <w:tcW w:w="1650" w:type="dxa"/>
            <w:shd w:val="clear" w:color="auto" w:fill="auto"/>
            <w:noWrap/>
            <w:vAlign w:val="center"/>
          </w:tcPr>
          <w:p w14:paraId="0280F64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0.00</w:t>
            </w:r>
          </w:p>
        </w:tc>
        <w:tc>
          <w:tcPr>
            <w:tcW w:w="1613" w:type="dxa"/>
            <w:shd w:val="clear" w:color="auto" w:fill="auto"/>
            <w:noWrap/>
            <w:vAlign w:val="center"/>
          </w:tcPr>
          <w:p w14:paraId="2873A655">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0.00</w:t>
            </w:r>
          </w:p>
        </w:tc>
        <w:tc>
          <w:tcPr>
            <w:tcW w:w="1612" w:type="dxa"/>
            <w:shd w:val="clear" w:color="auto" w:fill="auto"/>
            <w:noWrap/>
            <w:vAlign w:val="center"/>
          </w:tcPr>
          <w:p w14:paraId="77C0D46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1.75</w:t>
            </w:r>
          </w:p>
        </w:tc>
      </w:tr>
      <w:tr w14:paraId="6839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1390DC9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营业成本</w:t>
            </w:r>
          </w:p>
        </w:tc>
        <w:tc>
          <w:tcPr>
            <w:tcW w:w="1614" w:type="dxa"/>
            <w:shd w:val="clear" w:color="auto" w:fill="auto"/>
            <w:noWrap/>
            <w:vAlign w:val="center"/>
          </w:tcPr>
          <w:p w14:paraId="376B2E2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948.10</w:t>
            </w:r>
          </w:p>
        </w:tc>
        <w:tc>
          <w:tcPr>
            <w:tcW w:w="1650" w:type="dxa"/>
            <w:shd w:val="clear" w:color="auto" w:fill="auto"/>
            <w:noWrap/>
            <w:vAlign w:val="center"/>
          </w:tcPr>
          <w:p w14:paraId="25D54DFB">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1,039.77</w:t>
            </w:r>
          </w:p>
        </w:tc>
        <w:tc>
          <w:tcPr>
            <w:tcW w:w="1613" w:type="dxa"/>
            <w:shd w:val="clear" w:color="auto" w:fill="auto"/>
            <w:noWrap/>
            <w:vAlign w:val="center"/>
          </w:tcPr>
          <w:p w14:paraId="031D4D2F">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1,091.21</w:t>
            </w:r>
          </w:p>
        </w:tc>
        <w:tc>
          <w:tcPr>
            <w:tcW w:w="1612" w:type="dxa"/>
            <w:shd w:val="clear" w:color="auto" w:fill="auto"/>
            <w:noWrap/>
            <w:vAlign w:val="center"/>
          </w:tcPr>
          <w:p w14:paraId="1626C3FE">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371.24</w:t>
            </w:r>
          </w:p>
        </w:tc>
      </w:tr>
      <w:tr w14:paraId="780E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04998470">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税金及附加</w:t>
            </w:r>
          </w:p>
        </w:tc>
        <w:tc>
          <w:tcPr>
            <w:tcW w:w="1614" w:type="dxa"/>
            <w:shd w:val="clear" w:color="auto" w:fill="auto"/>
            <w:noWrap/>
            <w:vAlign w:val="center"/>
          </w:tcPr>
          <w:p w14:paraId="107A735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18.86</w:t>
            </w:r>
          </w:p>
        </w:tc>
        <w:tc>
          <w:tcPr>
            <w:tcW w:w="1650" w:type="dxa"/>
            <w:shd w:val="clear" w:color="auto" w:fill="auto"/>
            <w:noWrap/>
            <w:vAlign w:val="center"/>
          </w:tcPr>
          <w:p w14:paraId="44A6877F">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22.71</w:t>
            </w:r>
          </w:p>
        </w:tc>
        <w:tc>
          <w:tcPr>
            <w:tcW w:w="1613" w:type="dxa"/>
            <w:shd w:val="clear" w:color="auto" w:fill="auto"/>
            <w:noWrap/>
            <w:vAlign w:val="center"/>
          </w:tcPr>
          <w:p w14:paraId="43A8FF42">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22.49</w:t>
            </w:r>
          </w:p>
        </w:tc>
        <w:tc>
          <w:tcPr>
            <w:tcW w:w="1612" w:type="dxa"/>
            <w:shd w:val="clear" w:color="auto" w:fill="auto"/>
            <w:noWrap/>
            <w:vAlign w:val="center"/>
          </w:tcPr>
          <w:p w14:paraId="455564F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5.49</w:t>
            </w:r>
          </w:p>
        </w:tc>
      </w:tr>
      <w:tr w14:paraId="64AF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50679DF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销售费用</w:t>
            </w:r>
          </w:p>
        </w:tc>
        <w:tc>
          <w:tcPr>
            <w:tcW w:w="1614" w:type="dxa"/>
            <w:shd w:val="clear" w:color="auto" w:fill="auto"/>
            <w:noWrap/>
            <w:vAlign w:val="center"/>
          </w:tcPr>
          <w:p w14:paraId="3223A2D6">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33.07</w:t>
            </w:r>
          </w:p>
        </w:tc>
        <w:tc>
          <w:tcPr>
            <w:tcW w:w="1650" w:type="dxa"/>
            <w:shd w:val="clear" w:color="auto" w:fill="auto"/>
            <w:noWrap/>
            <w:vAlign w:val="center"/>
          </w:tcPr>
          <w:p w14:paraId="1C2AB5A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47.91</w:t>
            </w:r>
          </w:p>
        </w:tc>
        <w:tc>
          <w:tcPr>
            <w:tcW w:w="1613" w:type="dxa"/>
            <w:shd w:val="clear" w:color="auto" w:fill="auto"/>
            <w:noWrap/>
            <w:vAlign w:val="center"/>
          </w:tcPr>
          <w:p w14:paraId="2D867259">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18.94</w:t>
            </w:r>
          </w:p>
        </w:tc>
        <w:tc>
          <w:tcPr>
            <w:tcW w:w="1612" w:type="dxa"/>
            <w:shd w:val="clear" w:color="auto" w:fill="auto"/>
            <w:noWrap/>
            <w:vAlign w:val="center"/>
          </w:tcPr>
          <w:p w14:paraId="19DD952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10.62</w:t>
            </w:r>
          </w:p>
        </w:tc>
      </w:tr>
      <w:tr w14:paraId="5897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460B5EBF">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管理费用</w:t>
            </w:r>
          </w:p>
        </w:tc>
        <w:tc>
          <w:tcPr>
            <w:tcW w:w="1614" w:type="dxa"/>
            <w:shd w:val="clear" w:color="auto" w:fill="auto"/>
            <w:noWrap/>
            <w:vAlign w:val="center"/>
          </w:tcPr>
          <w:p w14:paraId="3D3EA0E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760.88</w:t>
            </w:r>
          </w:p>
        </w:tc>
        <w:tc>
          <w:tcPr>
            <w:tcW w:w="1650" w:type="dxa"/>
            <w:shd w:val="clear" w:color="auto" w:fill="auto"/>
            <w:noWrap/>
            <w:vAlign w:val="center"/>
          </w:tcPr>
          <w:p w14:paraId="26AE82E6">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972.71</w:t>
            </w:r>
          </w:p>
        </w:tc>
        <w:tc>
          <w:tcPr>
            <w:tcW w:w="1613" w:type="dxa"/>
            <w:tcBorders>
              <w:top w:val="single" w:color="000000" w:sz="4" w:space="0"/>
              <w:left w:val="single" w:color="000000" w:sz="4" w:space="0"/>
              <w:bottom w:val="single" w:color="000000" w:sz="4" w:space="0"/>
              <w:right w:val="single" w:color="000000" w:sz="4" w:space="0"/>
              <w:tl2br w:val="nil"/>
            </w:tcBorders>
            <w:shd w:val="clear" w:color="000000" w:fill="FFFFFF"/>
            <w:noWrap/>
            <w:vAlign w:val="center"/>
          </w:tcPr>
          <w:p w14:paraId="0FE07D03">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778.42</w:t>
            </w:r>
          </w:p>
        </w:tc>
        <w:tc>
          <w:tcPr>
            <w:tcW w:w="1612" w:type="dxa"/>
            <w:tcBorders>
              <w:top w:val="single" w:color="000000" w:sz="4" w:space="0"/>
              <w:left w:val="single" w:color="000000" w:sz="4" w:space="0"/>
              <w:bottom w:val="single" w:color="000000" w:sz="4" w:space="0"/>
              <w:right w:val="single" w:color="000000" w:sz="4" w:space="0"/>
              <w:tl2br w:val="nil"/>
            </w:tcBorders>
            <w:shd w:val="clear" w:color="000000" w:fill="FFFFFF"/>
            <w:noWrap/>
            <w:vAlign w:val="center"/>
          </w:tcPr>
          <w:p w14:paraId="32288C32">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339.75</w:t>
            </w:r>
          </w:p>
        </w:tc>
      </w:tr>
      <w:tr w14:paraId="4B50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3979B5A4">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研发费用</w:t>
            </w:r>
          </w:p>
        </w:tc>
        <w:tc>
          <w:tcPr>
            <w:tcW w:w="1614" w:type="dxa"/>
            <w:shd w:val="clear" w:color="auto" w:fill="auto"/>
            <w:noWrap/>
            <w:vAlign w:val="center"/>
          </w:tcPr>
          <w:p w14:paraId="0D3A385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508.96</w:t>
            </w:r>
          </w:p>
        </w:tc>
        <w:tc>
          <w:tcPr>
            <w:tcW w:w="1650" w:type="dxa"/>
            <w:shd w:val="clear" w:color="auto" w:fill="auto"/>
            <w:noWrap/>
            <w:vAlign w:val="center"/>
          </w:tcPr>
          <w:p w14:paraId="0D8EFF7A">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3" w:type="dxa"/>
            <w:tcBorders>
              <w:top w:val="single" w:color="000000" w:sz="4" w:space="0"/>
              <w:left w:val="single" w:color="000000" w:sz="4" w:space="0"/>
              <w:bottom w:val="single" w:color="000000" w:sz="4" w:space="0"/>
              <w:right w:val="single" w:color="000000" w:sz="4" w:space="0"/>
            </w:tcBorders>
            <w:shd w:val="clear" w:color="000000" w:fill="FFFFFF"/>
            <w:noWrap/>
            <w:vAlign w:val="center"/>
          </w:tcPr>
          <w:p w14:paraId="41EB9774">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2" w:type="dxa"/>
            <w:tcBorders>
              <w:top w:val="single" w:color="000000" w:sz="4" w:space="0"/>
              <w:left w:val="single" w:color="000000" w:sz="4" w:space="0"/>
              <w:bottom w:val="single" w:color="000000" w:sz="4" w:space="0"/>
              <w:right w:val="single" w:color="000000" w:sz="4" w:space="0"/>
            </w:tcBorders>
            <w:shd w:val="clear" w:color="000000" w:fill="FFFFFF"/>
            <w:noWrap/>
            <w:vAlign w:val="center"/>
          </w:tcPr>
          <w:p w14:paraId="061E1676">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r>
      <w:tr w14:paraId="4694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62C401B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财务费用</w:t>
            </w:r>
          </w:p>
        </w:tc>
        <w:tc>
          <w:tcPr>
            <w:tcW w:w="1614" w:type="dxa"/>
            <w:shd w:val="clear" w:color="auto" w:fill="auto"/>
            <w:noWrap/>
            <w:vAlign w:val="center"/>
          </w:tcPr>
          <w:p w14:paraId="14829516">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0.19</w:t>
            </w:r>
          </w:p>
        </w:tc>
        <w:tc>
          <w:tcPr>
            <w:tcW w:w="1650" w:type="dxa"/>
            <w:shd w:val="clear" w:color="auto" w:fill="auto"/>
            <w:noWrap/>
            <w:vAlign w:val="center"/>
          </w:tcPr>
          <w:p w14:paraId="709E2B08">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6.27</w:t>
            </w:r>
          </w:p>
        </w:tc>
        <w:tc>
          <w:tcPr>
            <w:tcW w:w="1613" w:type="dxa"/>
            <w:shd w:val="clear" w:color="auto" w:fill="auto"/>
            <w:noWrap/>
            <w:vAlign w:val="center"/>
          </w:tcPr>
          <w:p w14:paraId="7EE5BB0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41.73</w:t>
            </w:r>
          </w:p>
        </w:tc>
        <w:tc>
          <w:tcPr>
            <w:tcW w:w="1612" w:type="dxa"/>
            <w:shd w:val="clear" w:color="auto" w:fill="auto"/>
            <w:noWrap/>
            <w:vAlign w:val="center"/>
          </w:tcPr>
          <w:p w14:paraId="4E44F5C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40.48</w:t>
            </w:r>
          </w:p>
        </w:tc>
      </w:tr>
      <w:tr w14:paraId="0BFA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505D017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其他收益</w:t>
            </w:r>
          </w:p>
        </w:tc>
        <w:tc>
          <w:tcPr>
            <w:tcW w:w="1614" w:type="dxa"/>
            <w:shd w:val="clear" w:color="auto" w:fill="auto"/>
            <w:noWrap/>
            <w:vAlign w:val="center"/>
          </w:tcPr>
          <w:p w14:paraId="1B0DB801">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70.10</w:t>
            </w:r>
          </w:p>
        </w:tc>
        <w:tc>
          <w:tcPr>
            <w:tcW w:w="1650" w:type="dxa"/>
            <w:shd w:val="clear" w:color="auto" w:fill="auto"/>
            <w:noWrap/>
            <w:vAlign w:val="center"/>
          </w:tcPr>
          <w:p w14:paraId="7858B15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3" w:type="dxa"/>
            <w:shd w:val="clear" w:color="auto" w:fill="auto"/>
            <w:noWrap/>
            <w:vAlign w:val="center"/>
          </w:tcPr>
          <w:p w14:paraId="7D9737AE">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2" w:type="dxa"/>
            <w:shd w:val="clear" w:color="auto" w:fill="auto"/>
            <w:noWrap/>
            <w:vAlign w:val="center"/>
          </w:tcPr>
          <w:p w14:paraId="2D400486">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r>
      <w:tr w14:paraId="4AA3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1E8E6668">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投资收益</w:t>
            </w:r>
          </w:p>
        </w:tc>
        <w:tc>
          <w:tcPr>
            <w:tcW w:w="1614" w:type="dxa"/>
            <w:shd w:val="clear" w:color="auto" w:fill="auto"/>
            <w:noWrap/>
            <w:vAlign w:val="center"/>
          </w:tcPr>
          <w:p w14:paraId="57FB62CB">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264.98</w:t>
            </w:r>
          </w:p>
        </w:tc>
        <w:tc>
          <w:tcPr>
            <w:tcW w:w="1650" w:type="dxa"/>
            <w:shd w:val="clear" w:color="auto" w:fill="auto"/>
            <w:noWrap/>
            <w:vAlign w:val="center"/>
          </w:tcPr>
          <w:p w14:paraId="6209FCBB">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32.10</w:t>
            </w:r>
          </w:p>
        </w:tc>
        <w:tc>
          <w:tcPr>
            <w:tcW w:w="1613" w:type="dxa"/>
            <w:shd w:val="clear" w:color="auto" w:fill="auto"/>
            <w:noWrap/>
            <w:vAlign w:val="center"/>
          </w:tcPr>
          <w:p w14:paraId="34317CDB">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257.36</w:t>
            </w:r>
          </w:p>
        </w:tc>
        <w:tc>
          <w:tcPr>
            <w:tcW w:w="1612" w:type="dxa"/>
            <w:shd w:val="clear" w:color="auto" w:fill="auto"/>
            <w:noWrap/>
            <w:vAlign w:val="center"/>
          </w:tcPr>
          <w:p w14:paraId="698FBF1D">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28.85</w:t>
            </w:r>
          </w:p>
        </w:tc>
      </w:tr>
      <w:tr w14:paraId="18A4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038074B4">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信用减值损失</w:t>
            </w:r>
          </w:p>
        </w:tc>
        <w:tc>
          <w:tcPr>
            <w:tcW w:w="1614" w:type="dxa"/>
            <w:shd w:val="clear" w:color="auto" w:fill="auto"/>
            <w:noWrap/>
            <w:vAlign w:val="center"/>
          </w:tcPr>
          <w:p w14:paraId="7209C579">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-18.09</w:t>
            </w:r>
          </w:p>
        </w:tc>
        <w:tc>
          <w:tcPr>
            <w:tcW w:w="1650" w:type="dxa"/>
            <w:shd w:val="clear" w:color="auto" w:fill="auto"/>
            <w:noWrap/>
            <w:vAlign w:val="center"/>
          </w:tcPr>
          <w:p w14:paraId="7BE9B9F9">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3" w:type="dxa"/>
            <w:shd w:val="clear" w:color="auto" w:fill="auto"/>
            <w:noWrap/>
            <w:vAlign w:val="center"/>
          </w:tcPr>
          <w:p w14:paraId="509091CC">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2" w:type="dxa"/>
            <w:shd w:val="clear" w:color="auto" w:fill="auto"/>
            <w:noWrap/>
            <w:vAlign w:val="center"/>
          </w:tcPr>
          <w:p w14:paraId="55362131">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r>
      <w:tr w14:paraId="2E4F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exact"/>
        </w:trPr>
        <w:tc>
          <w:tcPr>
            <w:tcW w:w="1837" w:type="dxa"/>
            <w:shd w:val="clear" w:color="auto" w:fill="auto"/>
            <w:noWrap/>
            <w:vAlign w:val="center"/>
          </w:tcPr>
          <w:p w14:paraId="6C480AA3">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公允价值变动收益</w:t>
            </w:r>
          </w:p>
        </w:tc>
        <w:tc>
          <w:tcPr>
            <w:tcW w:w="1614" w:type="dxa"/>
            <w:shd w:val="clear" w:color="auto" w:fill="auto"/>
            <w:noWrap/>
            <w:vAlign w:val="center"/>
          </w:tcPr>
          <w:p w14:paraId="22CD06A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-135.82</w:t>
            </w:r>
          </w:p>
        </w:tc>
        <w:tc>
          <w:tcPr>
            <w:tcW w:w="1650" w:type="dxa"/>
            <w:shd w:val="clear" w:color="auto" w:fill="auto"/>
            <w:noWrap/>
            <w:vAlign w:val="center"/>
          </w:tcPr>
          <w:p w14:paraId="2E84FCAD">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3" w:type="dxa"/>
            <w:shd w:val="clear" w:color="auto" w:fill="auto"/>
            <w:noWrap/>
            <w:vAlign w:val="center"/>
          </w:tcPr>
          <w:p w14:paraId="3EDE41AE">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c>
          <w:tcPr>
            <w:tcW w:w="1612" w:type="dxa"/>
            <w:shd w:val="clear" w:color="auto" w:fill="auto"/>
            <w:noWrap/>
            <w:vAlign w:val="center"/>
          </w:tcPr>
          <w:p w14:paraId="6F8A78F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p>
        </w:tc>
      </w:tr>
      <w:tr w14:paraId="0271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3B833B03">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营业利润</w:t>
            </w:r>
          </w:p>
        </w:tc>
        <w:tc>
          <w:tcPr>
            <w:tcW w:w="1614" w:type="dxa"/>
            <w:shd w:val="clear" w:color="auto" w:fill="auto"/>
            <w:noWrap/>
            <w:vAlign w:val="center"/>
          </w:tcPr>
          <w:p w14:paraId="347BA7A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790.89</w:t>
            </w:r>
          </w:p>
        </w:tc>
        <w:tc>
          <w:tcPr>
            <w:tcW w:w="1650" w:type="dxa"/>
            <w:shd w:val="clear" w:color="auto" w:fill="auto"/>
            <w:noWrap/>
            <w:vAlign w:val="center"/>
          </w:tcPr>
          <w:p w14:paraId="06DA6E2F">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553.20</w:t>
            </w:r>
          </w:p>
        </w:tc>
        <w:tc>
          <w:tcPr>
            <w:tcW w:w="1613" w:type="dxa"/>
            <w:shd w:val="clear" w:color="auto" w:fill="auto"/>
            <w:noWrap/>
            <w:vAlign w:val="center"/>
          </w:tcPr>
          <w:p w14:paraId="04C1B86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-250.09</w:t>
            </w:r>
          </w:p>
        </w:tc>
        <w:tc>
          <w:tcPr>
            <w:tcW w:w="1612" w:type="dxa"/>
            <w:shd w:val="clear" w:color="auto" w:fill="auto"/>
            <w:noWrap/>
            <w:vAlign w:val="center"/>
          </w:tcPr>
          <w:p w14:paraId="16CAF04D">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-783.06</w:t>
            </w:r>
          </w:p>
        </w:tc>
      </w:tr>
      <w:tr w14:paraId="0342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576EE4B2">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营业外收入</w:t>
            </w:r>
          </w:p>
        </w:tc>
        <w:tc>
          <w:tcPr>
            <w:tcW w:w="1614" w:type="dxa"/>
            <w:shd w:val="clear" w:color="auto" w:fill="auto"/>
            <w:noWrap/>
            <w:vAlign w:val="center"/>
          </w:tcPr>
          <w:p w14:paraId="544858A2">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0.00</w:t>
            </w:r>
          </w:p>
        </w:tc>
        <w:tc>
          <w:tcPr>
            <w:tcW w:w="1650" w:type="dxa"/>
            <w:shd w:val="clear" w:color="auto" w:fill="auto"/>
            <w:noWrap/>
            <w:vAlign w:val="center"/>
          </w:tcPr>
          <w:p w14:paraId="767D12C5">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0.00</w:t>
            </w:r>
          </w:p>
        </w:tc>
        <w:tc>
          <w:tcPr>
            <w:tcW w:w="1613" w:type="dxa"/>
            <w:shd w:val="clear" w:color="auto" w:fill="auto"/>
            <w:noWrap/>
            <w:vAlign w:val="center"/>
          </w:tcPr>
          <w:p w14:paraId="3745FA31">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0.95</w:t>
            </w:r>
          </w:p>
        </w:tc>
        <w:tc>
          <w:tcPr>
            <w:tcW w:w="1612" w:type="dxa"/>
            <w:shd w:val="clear" w:color="auto" w:fill="auto"/>
            <w:noWrap/>
            <w:vAlign w:val="center"/>
          </w:tcPr>
          <w:p w14:paraId="129BEF90">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38.94</w:t>
            </w:r>
          </w:p>
        </w:tc>
      </w:tr>
      <w:tr w14:paraId="7BF73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1AA8A1F2">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营业外支出</w:t>
            </w:r>
          </w:p>
        </w:tc>
        <w:tc>
          <w:tcPr>
            <w:tcW w:w="1614" w:type="dxa"/>
            <w:shd w:val="clear" w:color="auto" w:fill="auto"/>
            <w:noWrap/>
            <w:vAlign w:val="center"/>
          </w:tcPr>
          <w:p w14:paraId="5259777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2.43</w:t>
            </w:r>
          </w:p>
        </w:tc>
        <w:tc>
          <w:tcPr>
            <w:tcW w:w="1650" w:type="dxa"/>
            <w:shd w:val="clear" w:color="auto" w:fill="auto"/>
            <w:noWrap/>
            <w:vAlign w:val="center"/>
          </w:tcPr>
          <w:p w14:paraId="4D48E3B3">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0.34</w:t>
            </w:r>
          </w:p>
        </w:tc>
        <w:tc>
          <w:tcPr>
            <w:tcW w:w="1613" w:type="dxa"/>
            <w:shd w:val="clear" w:color="auto" w:fill="auto"/>
            <w:noWrap/>
            <w:vAlign w:val="center"/>
          </w:tcPr>
          <w:p w14:paraId="00543135">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14.33</w:t>
            </w:r>
          </w:p>
        </w:tc>
        <w:tc>
          <w:tcPr>
            <w:tcW w:w="1612" w:type="dxa"/>
            <w:shd w:val="clear" w:color="auto" w:fill="auto"/>
            <w:noWrap/>
            <w:vAlign w:val="center"/>
          </w:tcPr>
          <w:p w14:paraId="38F0764D">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0.01</w:t>
            </w:r>
          </w:p>
        </w:tc>
      </w:tr>
      <w:tr w14:paraId="38B0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56E1316A">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利润总额</w:t>
            </w:r>
          </w:p>
        </w:tc>
        <w:tc>
          <w:tcPr>
            <w:tcW w:w="1614" w:type="dxa"/>
            <w:shd w:val="clear" w:color="auto" w:fill="auto"/>
            <w:noWrap/>
            <w:vAlign w:val="center"/>
          </w:tcPr>
          <w:p w14:paraId="18318FCB">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788.45</w:t>
            </w:r>
          </w:p>
        </w:tc>
        <w:tc>
          <w:tcPr>
            <w:tcW w:w="1650" w:type="dxa"/>
            <w:shd w:val="clear" w:color="auto" w:fill="auto"/>
            <w:noWrap/>
            <w:vAlign w:val="center"/>
          </w:tcPr>
          <w:p w14:paraId="406621E2">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552.85</w:t>
            </w:r>
          </w:p>
        </w:tc>
        <w:tc>
          <w:tcPr>
            <w:tcW w:w="1613" w:type="dxa"/>
            <w:shd w:val="clear" w:color="auto" w:fill="auto"/>
            <w:noWrap/>
            <w:vAlign w:val="center"/>
          </w:tcPr>
          <w:p w14:paraId="292EAB5A">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-263.47</w:t>
            </w:r>
          </w:p>
        </w:tc>
        <w:tc>
          <w:tcPr>
            <w:tcW w:w="1612" w:type="dxa"/>
            <w:shd w:val="clear" w:color="auto" w:fill="auto"/>
            <w:noWrap/>
            <w:vAlign w:val="center"/>
          </w:tcPr>
          <w:p w14:paraId="7E7063C6">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-744.13</w:t>
            </w:r>
          </w:p>
        </w:tc>
      </w:tr>
      <w:tr w14:paraId="6DD2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69EDF26D">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bidi="ar"/>
                <w14:ligatures w14:val="none"/>
              </w:rPr>
              <w:t>所得税费用</w:t>
            </w:r>
          </w:p>
        </w:tc>
        <w:tc>
          <w:tcPr>
            <w:tcW w:w="1614" w:type="dxa"/>
            <w:shd w:val="clear" w:color="auto" w:fill="auto"/>
            <w:noWrap/>
            <w:vAlign w:val="center"/>
          </w:tcPr>
          <w:p w14:paraId="687A2F1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24.21</w:t>
            </w:r>
          </w:p>
        </w:tc>
        <w:tc>
          <w:tcPr>
            <w:tcW w:w="1650" w:type="dxa"/>
            <w:shd w:val="clear" w:color="auto" w:fill="auto"/>
            <w:noWrap/>
            <w:vAlign w:val="center"/>
          </w:tcPr>
          <w:p w14:paraId="326D69FC">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38.32</w:t>
            </w:r>
          </w:p>
        </w:tc>
        <w:tc>
          <w:tcPr>
            <w:tcW w:w="1613" w:type="dxa"/>
            <w:shd w:val="clear" w:color="auto" w:fill="auto"/>
            <w:noWrap/>
            <w:vAlign w:val="center"/>
          </w:tcPr>
          <w:p w14:paraId="2A87C037">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-69.34</w:t>
            </w:r>
          </w:p>
        </w:tc>
        <w:tc>
          <w:tcPr>
            <w:tcW w:w="1612" w:type="dxa"/>
            <w:shd w:val="clear" w:color="auto" w:fill="auto"/>
            <w:noWrap/>
            <w:vAlign w:val="center"/>
          </w:tcPr>
          <w:p w14:paraId="34E5C563">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000000"/>
                <w:kern w:val="0"/>
                <w:sz w:val="21"/>
                <w:szCs w:val="21"/>
                <w:u w:val="none"/>
                <w:lang w:val="en-US" w:eastAsia="zh-CN" w:bidi="ar"/>
                <w14:ligatures w14:val="none"/>
              </w:rPr>
            </w:pPr>
            <w:r>
              <w:rPr>
                <w:rFonts w:hint="default" w:ascii="Times New Roman" w:hAnsi="Times New Roman" w:eastAsia="宋体" w:cs="Times New Roman"/>
                <w:i w:val="0"/>
                <w:iCs w:val="0"/>
                <w:color w:val="000000"/>
                <w:kern w:val="0"/>
                <w:sz w:val="21"/>
                <w:szCs w:val="21"/>
                <w:u w:val="none"/>
                <w:lang w:val="en-US" w:eastAsia="zh-CN" w:bidi="ar"/>
                <w14:ligatures w14:val="none"/>
              </w:rPr>
              <w:t>0.00</w:t>
            </w:r>
          </w:p>
        </w:tc>
      </w:tr>
      <w:tr w14:paraId="0EF8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exact"/>
        </w:trPr>
        <w:tc>
          <w:tcPr>
            <w:tcW w:w="1837" w:type="dxa"/>
            <w:shd w:val="clear" w:color="auto" w:fill="auto"/>
            <w:noWrap/>
            <w:vAlign w:val="center"/>
          </w:tcPr>
          <w:p w14:paraId="36A549A8">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bidi="ar"/>
                <w14:ligatures w14:val="none"/>
              </w:rPr>
              <w:t>净利润</w:t>
            </w:r>
          </w:p>
        </w:tc>
        <w:tc>
          <w:tcPr>
            <w:tcW w:w="1614" w:type="dxa"/>
            <w:shd w:val="clear" w:color="auto" w:fill="auto"/>
            <w:noWrap/>
            <w:vAlign w:val="center"/>
          </w:tcPr>
          <w:p w14:paraId="7E0770E5">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764.24</w:t>
            </w:r>
          </w:p>
        </w:tc>
        <w:tc>
          <w:tcPr>
            <w:tcW w:w="1650" w:type="dxa"/>
            <w:shd w:val="clear" w:color="auto" w:fill="auto"/>
            <w:noWrap/>
            <w:vAlign w:val="center"/>
          </w:tcPr>
          <w:p w14:paraId="7E82EA3D">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514.53</w:t>
            </w:r>
          </w:p>
        </w:tc>
        <w:tc>
          <w:tcPr>
            <w:tcW w:w="1613" w:type="dxa"/>
            <w:shd w:val="clear" w:color="auto" w:fill="auto"/>
            <w:noWrap/>
            <w:vAlign w:val="center"/>
          </w:tcPr>
          <w:p w14:paraId="7F611952">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-194.13</w:t>
            </w:r>
          </w:p>
        </w:tc>
        <w:tc>
          <w:tcPr>
            <w:tcW w:w="1612" w:type="dxa"/>
            <w:shd w:val="clear" w:color="auto" w:fill="auto"/>
            <w:noWrap/>
            <w:vAlign w:val="center"/>
          </w:tcPr>
          <w:p w14:paraId="4B156609">
            <w:pPr>
              <w:keepNext w:val="0"/>
              <w:keepLines w:val="0"/>
              <w:widowControl/>
              <w:suppressLineNumbers w:val="0"/>
              <w:ind w:firstLine="422" w:firstLineChars="200"/>
              <w:jc w:val="right"/>
              <w:textAlignment w:val="center"/>
              <w:rPr>
                <w:rFonts w:hint="default" w:ascii="Times New Roman" w:hAnsi="Times New Roman" w:eastAsia="宋体" w:cs="Times New Roman"/>
                <w:b/>
                <w:bCs/>
                <w:i w:val="0"/>
                <w:iCs w:val="0"/>
                <w:color w:val="000000"/>
                <w:kern w:val="0"/>
                <w:sz w:val="21"/>
                <w:szCs w:val="21"/>
                <w:u w:val="none"/>
                <w:lang w:val="en-US" w:eastAsia="zh-CN" w:bidi="ar"/>
                <w14:ligatures w14:val="none"/>
              </w:rPr>
            </w:pPr>
            <w:r>
              <w:rPr>
                <w:rFonts w:hint="default" w:ascii="Times New Roman" w:hAnsi="Times New Roman" w:eastAsia="宋体" w:cs="Times New Roman"/>
                <w:b/>
                <w:bCs/>
                <w:i w:val="0"/>
                <w:iCs w:val="0"/>
                <w:color w:val="000000"/>
                <w:kern w:val="0"/>
                <w:sz w:val="21"/>
                <w:szCs w:val="21"/>
                <w:u w:val="none"/>
                <w:lang w:val="en-US" w:eastAsia="zh-CN" w:bidi="ar"/>
                <w14:ligatures w14:val="none"/>
              </w:rPr>
              <w:t>-744.13</w:t>
            </w:r>
          </w:p>
        </w:tc>
      </w:tr>
    </w:tbl>
    <w:p w14:paraId="40744A3E">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jc w:val="both"/>
        <w:textAlignment w:val="auto"/>
        <w:outlineLvl w:val="2"/>
        <w:rPr>
          <w:rFonts w:hint="default" w:ascii="Times New Roman" w:hAnsi="Times New Roman" w:eastAsia="宋体" w:cs="Times New Roman"/>
        </w:rPr>
      </w:pPr>
    </w:p>
    <w:p w14:paraId="7CB3ADD9">
      <w:pPr>
        <w:pStyle w:val="68"/>
        <w:keepNext/>
        <w:keepLines/>
        <w:pageBreakBefore w:val="0"/>
        <w:widowControl w:val="0"/>
        <w:numPr>
          <w:ilvl w:val="0"/>
          <w:numId w:val="3"/>
        </w:numPr>
        <w:kinsoku/>
        <w:wordWrap/>
        <w:overflowPunct/>
        <w:topLinePunct w:val="0"/>
        <w:autoSpaceDE/>
        <w:autoSpaceDN/>
        <w:bidi w:val="0"/>
        <w:adjustRightInd w:val="0"/>
        <w:snapToGrid w:val="0"/>
        <w:spacing w:before="0" w:beforeLines="0" w:after="0" w:afterLines="0"/>
        <w:ind w:left="0" w:leftChars="0" w:firstLine="482" w:firstLineChars="200"/>
        <w:textAlignment w:val="auto"/>
        <w:rPr>
          <w:rFonts w:hint="default" w:ascii="Times New Roman" w:hAnsi="Times New Roman" w:eastAsia="宋体" w:cs="Times New Roman"/>
        </w:rPr>
      </w:pPr>
      <w:bookmarkStart w:id="9" w:name="_Toc23208"/>
      <w:r>
        <w:rPr>
          <w:rFonts w:hint="default" w:ascii="Times New Roman" w:hAnsi="Times New Roman" w:eastAsia="宋体" w:cs="Times New Roman"/>
          <w:lang w:val="en-US" w:eastAsia="zh-CN"/>
        </w:rPr>
        <w:t>合并</w:t>
      </w:r>
      <w:r>
        <w:rPr>
          <w:rFonts w:hint="default" w:ascii="Times New Roman" w:hAnsi="Times New Roman" w:eastAsia="宋体" w:cs="Times New Roman"/>
        </w:rPr>
        <w:t>现金流量表</w:t>
      </w:r>
      <w:bookmarkEnd w:id="9"/>
    </w:p>
    <w:tbl>
      <w:tblPr>
        <w:tblStyle w:val="35"/>
        <w:tblW w:w="5000"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3145"/>
        <w:gridCol w:w="1615"/>
        <w:gridCol w:w="1269"/>
        <w:gridCol w:w="1085"/>
        <w:gridCol w:w="1403"/>
      </w:tblGrid>
      <w:tr w14:paraId="33E1914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blHeader/>
        </w:trPr>
        <w:tc>
          <w:tcPr>
            <w:tcW w:w="1846" w:type="pct"/>
            <w:tcBorders>
              <w:tl2br w:val="nil"/>
              <w:tr2bl w:val="nil"/>
            </w:tcBorders>
            <w:shd w:val="clear" w:color="auto" w:fill="auto"/>
            <w:vAlign w:val="center"/>
          </w:tcPr>
          <w:p w14:paraId="62A069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货币：人民币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948" w:type="pct"/>
            <w:tcBorders>
              <w:tl2br w:val="nil"/>
              <w:tr2bl w:val="nil"/>
            </w:tcBorders>
            <w:shd w:val="clear" w:color="auto" w:fill="auto"/>
            <w:vAlign w:val="center"/>
          </w:tcPr>
          <w:p w14:paraId="353C489A">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744" w:type="pct"/>
            <w:tcBorders>
              <w:tl2br w:val="nil"/>
              <w:tr2bl w:val="nil"/>
            </w:tcBorders>
            <w:shd w:val="clear" w:color="auto" w:fill="auto"/>
            <w:vAlign w:val="center"/>
          </w:tcPr>
          <w:p w14:paraId="117CEEBC">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636" w:type="pct"/>
            <w:tcBorders>
              <w:tl2br w:val="nil"/>
              <w:tr2bl w:val="nil"/>
            </w:tcBorders>
            <w:shd w:val="clear" w:color="auto" w:fill="auto"/>
            <w:vAlign w:val="center"/>
          </w:tcPr>
          <w:p w14:paraId="6B792330">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c>
          <w:tcPr>
            <w:tcW w:w="823" w:type="pct"/>
            <w:tcBorders>
              <w:tl2br w:val="nil"/>
              <w:tr2bl w:val="nil"/>
            </w:tcBorders>
            <w:shd w:val="clear" w:color="auto" w:fill="auto"/>
            <w:vAlign w:val="center"/>
          </w:tcPr>
          <w:p w14:paraId="08EAEA40">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2025年6月30日</w:t>
            </w:r>
          </w:p>
        </w:tc>
      </w:tr>
      <w:tr w14:paraId="3831BD4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5EF2C84F">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销售商品、提供劳务收到的现金</w:t>
            </w:r>
          </w:p>
        </w:tc>
        <w:tc>
          <w:tcPr>
            <w:tcW w:w="948" w:type="pct"/>
            <w:tcBorders>
              <w:tl2br w:val="nil"/>
              <w:tr2bl w:val="nil"/>
            </w:tcBorders>
            <w:shd w:val="clear" w:color="auto" w:fill="auto"/>
            <w:noWrap/>
            <w:vAlign w:val="center"/>
          </w:tcPr>
          <w:p w14:paraId="7817B963">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2,614.78</w:t>
            </w:r>
          </w:p>
        </w:tc>
        <w:tc>
          <w:tcPr>
            <w:tcW w:w="744" w:type="pct"/>
            <w:tcBorders>
              <w:tl2br w:val="nil"/>
              <w:tr2bl w:val="nil"/>
            </w:tcBorders>
            <w:shd w:val="clear" w:color="auto" w:fill="auto"/>
            <w:noWrap/>
            <w:vAlign w:val="center"/>
          </w:tcPr>
          <w:p w14:paraId="7FFCD0B9">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3,944.35</w:t>
            </w:r>
          </w:p>
        </w:tc>
        <w:tc>
          <w:tcPr>
            <w:tcW w:w="636" w:type="pct"/>
            <w:tcBorders>
              <w:tl2br w:val="nil"/>
              <w:tr2bl w:val="nil"/>
            </w:tcBorders>
            <w:shd w:val="clear" w:color="auto" w:fill="auto"/>
            <w:noWrap/>
            <w:vAlign w:val="center"/>
          </w:tcPr>
          <w:p w14:paraId="605E4837">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1,910.93</w:t>
            </w:r>
          </w:p>
        </w:tc>
        <w:tc>
          <w:tcPr>
            <w:tcW w:w="823" w:type="pct"/>
            <w:tcBorders>
              <w:tl2br w:val="nil"/>
              <w:tr2bl w:val="nil"/>
            </w:tcBorders>
            <w:shd w:val="clear" w:color="auto" w:fill="auto"/>
            <w:noWrap/>
            <w:vAlign w:val="center"/>
          </w:tcPr>
          <w:p w14:paraId="1E72680F">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1,580.08</w:t>
            </w:r>
          </w:p>
        </w:tc>
      </w:tr>
      <w:tr w14:paraId="546A464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846" w:type="pct"/>
            <w:tcBorders>
              <w:tl2br w:val="nil"/>
              <w:tr2bl w:val="nil"/>
            </w:tcBorders>
            <w:shd w:val="clear" w:color="auto" w:fill="auto"/>
            <w:noWrap/>
            <w:vAlign w:val="center"/>
          </w:tcPr>
          <w:p w14:paraId="7E31C10E">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收到的税费返还</w:t>
            </w:r>
          </w:p>
        </w:tc>
        <w:tc>
          <w:tcPr>
            <w:tcW w:w="948" w:type="pct"/>
            <w:tcBorders>
              <w:tl2br w:val="nil"/>
              <w:tr2bl w:val="nil"/>
            </w:tcBorders>
            <w:shd w:val="clear" w:color="auto" w:fill="auto"/>
            <w:noWrap/>
            <w:vAlign w:val="center"/>
          </w:tcPr>
          <w:p w14:paraId="7194B5D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744" w:type="pct"/>
            <w:tcBorders>
              <w:tl2br w:val="nil"/>
              <w:tr2bl w:val="nil"/>
            </w:tcBorders>
            <w:shd w:val="clear" w:color="auto" w:fill="auto"/>
            <w:noWrap/>
            <w:vAlign w:val="center"/>
          </w:tcPr>
          <w:p w14:paraId="13E45CD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177.84</w:t>
            </w:r>
          </w:p>
        </w:tc>
        <w:tc>
          <w:tcPr>
            <w:tcW w:w="636" w:type="pct"/>
            <w:tcBorders>
              <w:tl2br w:val="nil"/>
              <w:tr2bl w:val="nil"/>
            </w:tcBorders>
            <w:shd w:val="clear" w:color="auto" w:fill="auto"/>
            <w:noWrap/>
            <w:vAlign w:val="center"/>
          </w:tcPr>
          <w:p w14:paraId="2BB017D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51.06</w:t>
            </w:r>
          </w:p>
        </w:tc>
        <w:tc>
          <w:tcPr>
            <w:tcW w:w="823" w:type="pct"/>
            <w:tcBorders>
              <w:tl2br w:val="nil"/>
              <w:tr2bl w:val="nil"/>
            </w:tcBorders>
            <w:shd w:val="clear" w:color="auto" w:fill="auto"/>
            <w:noWrap/>
            <w:vAlign w:val="center"/>
          </w:tcPr>
          <w:p w14:paraId="167503E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11.23</w:t>
            </w:r>
          </w:p>
        </w:tc>
      </w:tr>
      <w:tr w14:paraId="27FB87F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62CC22F9">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收到其他与经营活动有关的现金</w:t>
            </w:r>
          </w:p>
        </w:tc>
        <w:tc>
          <w:tcPr>
            <w:tcW w:w="948" w:type="pct"/>
            <w:tcBorders>
              <w:tl2br w:val="nil"/>
              <w:tr2bl w:val="nil"/>
            </w:tcBorders>
            <w:shd w:val="clear" w:color="auto" w:fill="auto"/>
            <w:noWrap/>
            <w:vAlign w:val="center"/>
          </w:tcPr>
          <w:p w14:paraId="02C4236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54.24</w:t>
            </w:r>
          </w:p>
        </w:tc>
        <w:tc>
          <w:tcPr>
            <w:tcW w:w="744" w:type="pct"/>
            <w:tcBorders>
              <w:tl2br w:val="nil"/>
              <w:tr2bl w:val="nil"/>
            </w:tcBorders>
            <w:shd w:val="clear" w:color="auto" w:fill="auto"/>
            <w:noWrap/>
            <w:vAlign w:val="center"/>
          </w:tcPr>
          <w:p w14:paraId="61A78833">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184.97</w:t>
            </w:r>
          </w:p>
        </w:tc>
        <w:tc>
          <w:tcPr>
            <w:tcW w:w="636" w:type="pct"/>
            <w:tcBorders>
              <w:tl2br w:val="nil"/>
              <w:tr2bl w:val="nil"/>
            </w:tcBorders>
            <w:shd w:val="clear" w:color="auto" w:fill="auto"/>
            <w:noWrap/>
            <w:vAlign w:val="center"/>
          </w:tcPr>
          <w:p w14:paraId="5611BDCE">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1,859.35</w:t>
            </w:r>
          </w:p>
        </w:tc>
        <w:tc>
          <w:tcPr>
            <w:tcW w:w="823" w:type="pct"/>
            <w:tcBorders>
              <w:tl2br w:val="nil"/>
              <w:tr2bl w:val="nil"/>
            </w:tcBorders>
            <w:shd w:val="clear" w:color="auto" w:fill="auto"/>
            <w:noWrap/>
            <w:vAlign w:val="center"/>
          </w:tcPr>
          <w:p w14:paraId="748035A8">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3,656.72</w:t>
            </w:r>
          </w:p>
        </w:tc>
      </w:tr>
      <w:tr w14:paraId="5ECB7B2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6A581B47">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经营活动现金流入小计</w:t>
            </w:r>
          </w:p>
        </w:tc>
        <w:tc>
          <w:tcPr>
            <w:tcW w:w="948" w:type="pct"/>
            <w:tcBorders>
              <w:tl2br w:val="nil"/>
              <w:tr2bl w:val="nil"/>
            </w:tcBorders>
            <w:shd w:val="clear" w:color="auto" w:fill="auto"/>
            <w:noWrap/>
            <w:vAlign w:val="center"/>
          </w:tcPr>
          <w:p w14:paraId="67F1A91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2,669.02</w:t>
            </w:r>
          </w:p>
        </w:tc>
        <w:tc>
          <w:tcPr>
            <w:tcW w:w="744" w:type="pct"/>
            <w:tcBorders>
              <w:tl2br w:val="nil"/>
              <w:tr2bl w:val="nil"/>
            </w:tcBorders>
            <w:shd w:val="clear" w:color="auto" w:fill="auto"/>
            <w:noWrap/>
            <w:vAlign w:val="center"/>
          </w:tcPr>
          <w:p w14:paraId="7BF38F6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4,307.16</w:t>
            </w:r>
          </w:p>
        </w:tc>
        <w:tc>
          <w:tcPr>
            <w:tcW w:w="636" w:type="pct"/>
            <w:tcBorders>
              <w:tl2br w:val="nil"/>
              <w:tr2bl w:val="nil"/>
            </w:tcBorders>
            <w:shd w:val="clear" w:color="auto" w:fill="auto"/>
            <w:noWrap/>
            <w:vAlign w:val="center"/>
          </w:tcPr>
          <w:p w14:paraId="4E1F651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3,821.34</w:t>
            </w:r>
          </w:p>
        </w:tc>
        <w:tc>
          <w:tcPr>
            <w:tcW w:w="823" w:type="pct"/>
            <w:tcBorders>
              <w:tl2br w:val="nil"/>
              <w:tr2bl w:val="nil"/>
            </w:tcBorders>
            <w:shd w:val="clear" w:color="auto" w:fill="auto"/>
            <w:noWrap/>
            <w:vAlign w:val="center"/>
          </w:tcPr>
          <w:p w14:paraId="716CE84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5,248.02</w:t>
            </w:r>
          </w:p>
        </w:tc>
      </w:tr>
      <w:tr w14:paraId="1DFC5D7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846" w:type="pct"/>
            <w:tcBorders>
              <w:tl2br w:val="nil"/>
              <w:tr2bl w:val="nil"/>
            </w:tcBorders>
            <w:shd w:val="clear" w:color="auto" w:fill="auto"/>
            <w:noWrap/>
            <w:vAlign w:val="center"/>
          </w:tcPr>
          <w:p w14:paraId="6D4E033C">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购买商品、接受劳务支付的现金</w:t>
            </w:r>
          </w:p>
        </w:tc>
        <w:tc>
          <w:tcPr>
            <w:tcW w:w="948" w:type="pct"/>
            <w:tcBorders>
              <w:tl2br w:val="nil"/>
              <w:tr2bl w:val="nil"/>
            </w:tcBorders>
            <w:shd w:val="clear" w:color="auto" w:fill="auto"/>
            <w:noWrap/>
            <w:vAlign w:val="center"/>
          </w:tcPr>
          <w:p w14:paraId="6DE81C2F">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1,869.92</w:t>
            </w:r>
          </w:p>
        </w:tc>
        <w:tc>
          <w:tcPr>
            <w:tcW w:w="744" w:type="pct"/>
            <w:tcBorders>
              <w:tl2br w:val="nil"/>
              <w:tr2bl w:val="nil"/>
            </w:tcBorders>
            <w:shd w:val="clear" w:color="auto" w:fill="auto"/>
            <w:noWrap/>
            <w:vAlign w:val="center"/>
          </w:tcPr>
          <w:p w14:paraId="23E22A08">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3,115.22</w:t>
            </w:r>
          </w:p>
        </w:tc>
        <w:tc>
          <w:tcPr>
            <w:tcW w:w="636" w:type="pct"/>
            <w:tcBorders>
              <w:tl2br w:val="nil"/>
              <w:tr2bl w:val="nil"/>
            </w:tcBorders>
            <w:shd w:val="clear" w:color="auto" w:fill="auto"/>
            <w:noWrap/>
            <w:vAlign w:val="center"/>
          </w:tcPr>
          <w:p w14:paraId="4A4A95E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792.76</w:t>
            </w:r>
          </w:p>
        </w:tc>
        <w:tc>
          <w:tcPr>
            <w:tcW w:w="823" w:type="pct"/>
            <w:tcBorders>
              <w:tl2br w:val="nil"/>
              <w:tr2bl w:val="nil"/>
            </w:tcBorders>
            <w:shd w:val="clear" w:color="auto" w:fill="auto"/>
            <w:noWrap/>
            <w:vAlign w:val="center"/>
          </w:tcPr>
          <w:p w14:paraId="72E3C39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1,120.37</w:t>
            </w:r>
          </w:p>
        </w:tc>
      </w:tr>
      <w:tr w14:paraId="7BB897C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2976C0D4">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支付给职工以及为职工支付的现金</w:t>
            </w:r>
          </w:p>
        </w:tc>
        <w:tc>
          <w:tcPr>
            <w:tcW w:w="948" w:type="pct"/>
            <w:tcBorders>
              <w:tl2br w:val="nil"/>
              <w:tr2bl w:val="nil"/>
            </w:tcBorders>
            <w:shd w:val="clear" w:color="auto" w:fill="auto"/>
            <w:noWrap/>
            <w:vAlign w:val="center"/>
          </w:tcPr>
          <w:p w14:paraId="475725DA">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974.18</w:t>
            </w:r>
          </w:p>
        </w:tc>
        <w:tc>
          <w:tcPr>
            <w:tcW w:w="744" w:type="pct"/>
            <w:tcBorders>
              <w:tl2br w:val="nil"/>
              <w:tr2bl w:val="nil"/>
            </w:tcBorders>
            <w:shd w:val="clear" w:color="auto" w:fill="auto"/>
            <w:noWrap/>
            <w:vAlign w:val="center"/>
          </w:tcPr>
          <w:p w14:paraId="0C329C21">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1,272.72</w:t>
            </w:r>
          </w:p>
        </w:tc>
        <w:tc>
          <w:tcPr>
            <w:tcW w:w="636" w:type="pct"/>
            <w:tcBorders>
              <w:tl2br w:val="nil"/>
              <w:tr2bl w:val="nil"/>
            </w:tcBorders>
            <w:shd w:val="clear" w:color="auto" w:fill="auto"/>
            <w:noWrap/>
            <w:vAlign w:val="center"/>
          </w:tcPr>
          <w:p w14:paraId="5752866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1,312.67</w:t>
            </w:r>
          </w:p>
        </w:tc>
        <w:tc>
          <w:tcPr>
            <w:tcW w:w="823" w:type="pct"/>
            <w:tcBorders>
              <w:tl2br w:val="nil"/>
              <w:tr2bl w:val="nil"/>
            </w:tcBorders>
            <w:shd w:val="clear" w:color="auto" w:fill="auto"/>
            <w:noWrap/>
            <w:vAlign w:val="center"/>
          </w:tcPr>
          <w:p w14:paraId="47FEE072">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613.33</w:t>
            </w:r>
          </w:p>
        </w:tc>
      </w:tr>
      <w:tr w14:paraId="4A69586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57E925FA">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支付的各项税费</w:t>
            </w:r>
          </w:p>
        </w:tc>
        <w:tc>
          <w:tcPr>
            <w:tcW w:w="948" w:type="pct"/>
            <w:tcBorders>
              <w:tl2br w:val="nil"/>
              <w:tr2bl w:val="nil"/>
            </w:tcBorders>
            <w:shd w:val="clear" w:color="auto" w:fill="auto"/>
            <w:noWrap/>
            <w:vAlign w:val="center"/>
          </w:tcPr>
          <w:p w14:paraId="5995A3DC">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119.47</w:t>
            </w:r>
          </w:p>
        </w:tc>
        <w:tc>
          <w:tcPr>
            <w:tcW w:w="744" w:type="pct"/>
            <w:tcBorders>
              <w:tl2br w:val="nil"/>
              <w:tr2bl w:val="nil"/>
            </w:tcBorders>
            <w:shd w:val="clear" w:color="auto" w:fill="auto"/>
            <w:noWrap/>
            <w:vAlign w:val="center"/>
          </w:tcPr>
          <w:p w14:paraId="284D02E9">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37.28</w:t>
            </w:r>
          </w:p>
        </w:tc>
        <w:tc>
          <w:tcPr>
            <w:tcW w:w="636" w:type="pct"/>
            <w:tcBorders>
              <w:tl2br w:val="nil"/>
              <w:tr2bl w:val="nil"/>
            </w:tcBorders>
            <w:shd w:val="clear" w:color="auto" w:fill="auto"/>
            <w:noWrap/>
            <w:vAlign w:val="center"/>
          </w:tcPr>
          <w:p w14:paraId="3FC0DE4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171.83</w:t>
            </w:r>
          </w:p>
        </w:tc>
        <w:tc>
          <w:tcPr>
            <w:tcW w:w="823" w:type="pct"/>
            <w:tcBorders>
              <w:tl2br w:val="nil"/>
              <w:tr2bl w:val="nil"/>
            </w:tcBorders>
            <w:shd w:val="clear" w:color="auto" w:fill="auto"/>
            <w:noWrap/>
            <w:vAlign w:val="center"/>
          </w:tcPr>
          <w:p w14:paraId="1B3638A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46.16</w:t>
            </w:r>
          </w:p>
        </w:tc>
      </w:tr>
      <w:tr w14:paraId="69F623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160FEF07">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支付其他与经营活动有关的现金</w:t>
            </w:r>
          </w:p>
        </w:tc>
        <w:tc>
          <w:tcPr>
            <w:tcW w:w="948" w:type="pct"/>
            <w:tcBorders>
              <w:tl2br w:val="nil"/>
              <w:tr2bl w:val="nil"/>
            </w:tcBorders>
            <w:shd w:val="clear" w:color="auto" w:fill="auto"/>
            <w:noWrap/>
            <w:vAlign w:val="center"/>
          </w:tcPr>
          <w:p w14:paraId="65784F4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733.03</w:t>
            </w:r>
          </w:p>
        </w:tc>
        <w:tc>
          <w:tcPr>
            <w:tcW w:w="744" w:type="pct"/>
            <w:tcBorders>
              <w:tl2br w:val="nil"/>
              <w:tr2bl w:val="nil"/>
            </w:tcBorders>
            <w:shd w:val="clear" w:color="auto" w:fill="auto"/>
            <w:noWrap/>
            <w:vAlign w:val="center"/>
          </w:tcPr>
          <w:p w14:paraId="087161FA">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582.15</w:t>
            </w:r>
          </w:p>
        </w:tc>
        <w:tc>
          <w:tcPr>
            <w:tcW w:w="636" w:type="pct"/>
            <w:tcBorders>
              <w:tl2br w:val="nil"/>
              <w:tr2bl w:val="nil"/>
            </w:tcBorders>
            <w:shd w:val="clear" w:color="auto" w:fill="auto"/>
            <w:noWrap/>
            <w:vAlign w:val="center"/>
          </w:tcPr>
          <w:p w14:paraId="531BD12A">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2,018.68</w:t>
            </w:r>
          </w:p>
        </w:tc>
        <w:tc>
          <w:tcPr>
            <w:tcW w:w="823" w:type="pct"/>
            <w:tcBorders>
              <w:tl2br w:val="nil"/>
              <w:tr2bl w:val="nil"/>
            </w:tcBorders>
            <w:shd w:val="clear" w:color="auto" w:fill="auto"/>
            <w:noWrap/>
            <w:vAlign w:val="center"/>
          </w:tcPr>
          <w:p w14:paraId="14758BC5">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3,698.24</w:t>
            </w:r>
          </w:p>
        </w:tc>
      </w:tr>
      <w:tr w14:paraId="56509CF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6852FABD">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经营活动现金流出小计</w:t>
            </w:r>
          </w:p>
        </w:tc>
        <w:tc>
          <w:tcPr>
            <w:tcW w:w="948" w:type="pct"/>
            <w:tcBorders>
              <w:tl2br w:val="nil"/>
              <w:tr2bl w:val="nil"/>
            </w:tcBorders>
            <w:shd w:val="clear" w:color="auto" w:fill="auto"/>
            <w:noWrap/>
            <w:vAlign w:val="center"/>
          </w:tcPr>
          <w:p w14:paraId="292232D5">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3,696.60</w:t>
            </w:r>
          </w:p>
        </w:tc>
        <w:tc>
          <w:tcPr>
            <w:tcW w:w="744" w:type="pct"/>
            <w:tcBorders>
              <w:tl2br w:val="nil"/>
              <w:tr2bl w:val="nil"/>
            </w:tcBorders>
            <w:shd w:val="clear" w:color="auto" w:fill="auto"/>
            <w:noWrap/>
            <w:vAlign w:val="center"/>
          </w:tcPr>
          <w:p w14:paraId="5A1E53C1">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5,007.37</w:t>
            </w:r>
          </w:p>
        </w:tc>
        <w:tc>
          <w:tcPr>
            <w:tcW w:w="636" w:type="pct"/>
            <w:tcBorders>
              <w:tl2br w:val="nil"/>
              <w:tr2bl w:val="nil"/>
            </w:tcBorders>
            <w:shd w:val="clear" w:color="auto" w:fill="auto"/>
            <w:noWrap/>
            <w:vAlign w:val="center"/>
          </w:tcPr>
          <w:p w14:paraId="6E7D873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4,295.93</w:t>
            </w:r>
          </w:p>
        </w:tc>
        <w:tc>
          <w:tcPr>
            <w:tcW w:w="823" w:type="pct"/>
            <w:tcBorders>
              <w:tl2br w:val="nil"/>
              <w:tr2bl w:val="nil"/>
            </w:tcBorders>
            <w:shd w:val="clear" w:color="auto" w:fill="auto"/>
            <w:noWrap/>
            <w:vAlign w:val="center"/>
          </w:tcPr>
          <w:p w14:paraId="0E2CF225">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5,478.11</w:t>
            </w:r>
          </w:p>
        </w:tc>
      </w:tr>
      <w:tr w14:paraId="05C0B60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57CC39C4">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经营活动产生的现金流量净额</w:t>
            </w:r>
          </w:p>
        </w:tc>
        <w:tc>
          <w:tcPr>
            <w:tcW w:w="948" w:type="pct"/>
            <w:tcBorders>
              <w:tl2br w:val="nil"/>
              <w:tr2bl w:val="nil"/>
            </w:tcBorders>
            <w:shd w:val="clear" w:color="auto" w:fill="auto"/>
            <w:noWrap/>
            <w:vAlign w:val="center"/>
          </w:tcPr>
          <w:p w14:paraId="72AF49BC">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-1,027.58</w:t>
            </w:r>
          </w:p>
        </w:tc>
        <w:tc>
          <w:tcPr>
            <w:tcW w:w="744" w:type="pct"/>
            <w:tcBorders>
              <w:tl2br w:val="nil"/>
              <w:tr2bl w:val="nil"/>
            </w:tcBorders>
            <w:shd w:val="clear" w:color="auto" w:fill="auto"/>
            <w:noWrap/>
            <w:vAlign w:val="center"/>
          </w:tcPr>
          <w:p w14:paraId="7C32A68F">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-700.20</w:t>
            </w:r>
          </w:p>
        </w:tc>
        <w:tc>
          <w:tcPr>
            <w:tcW w:w="636" w:type="pct"/>
            <w:tcBorders>
              <w:tl2br w:val="nil"/>
              <w:tr2bl w:val="nil"/>
            </w:tcBorders>
            <w:shd w:val="clear" w:color="auto" w:fill="auto"/>
            <w:noWrap/>
            <w:vAlign w:val="center"/>
          </w:tcPr>
          <w:p w14:paraId="714F183D">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-474.59</w:t>
            </w:r>
          </w:p>
        </w:tc>
        <w:tc>
          <w:tcPr>
            <w:tcW w:w="823" w:type="pct"/>
            <w:tcBorders>
              <w:tl2br w:val="nil"/>
              <w:tr2bl w:val="nil"/>
            </w:tcBorders>
            <w:shd w:val="clear" w:color="auto" w:fill="auto"/>
            <w:noWrap/>
            <w:vAlign w:val="center"/>
          </w:tcPr>
          <w:p w14:paraId="2A39285F">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-230.09</w:t>
            </w:r>
          </w:p>
        </w:tc>
      </w:tr>
      <w:tr w14:paraId="2FA0F04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252513C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收回投资收到的现金</w:t>
            </w:r>
          </w:p>
        </w:tc>
        <w:tc>
          <w:tcPr>
            <w:tcW w:w="948" w:type="pct"/>
            <w:tcBorders>
              <w:tl2br w:val="nil"/>
              <w:tr2bl w:val="nil"/>
            </w:tcBorders>
            <w:shd w:val="clear" w:color="auto" w:fill="auto"/>
            <w:noWrap/>
            <w:vAlign w:val="center"/>
          </w:tcPr>
          <w:p w14:paraId="321A62B7">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7,867.40</w:t>
            </w:r>
          </w:p>
        </w:tc>
        <w:tc>
          <w:tcPr>
            <w:tcW w:w="744" w:type="pct"/>
            <w:tcBorders>
              <w:tl2br w:val="nil"/>
              <w:tr2bl w:val="nil"/>
            </w:tcBorders>
            <w:shd w:val="clear" w:color="auto" w:fill="auto"/>
            <w:noWrap/>
            <w:vAlign w:val="center"/>
          </w:tcPr>
          <w:p w14:paraId="25AA95C9">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837.00</w:t>
            </w:r>
          </w:p>
        </w:tc>
        <w:tc>
          <w:tcPr>
            <w:tcW w:w="636" w:type="pct"/>
            <w:tcBorders>
              <w:tl2br w:val="nil"/>
              <w:tr2bl w:val="nil"/>
            </w:tcBorders>
            <w:shd w:val="clear" w:color="auto" w:fill="auto"/>
            <w:noWrap/>
            <w:vAlign w:val="center"/>
          </w:tcPr>
          <w:p w14:paraId="6B231D0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15,745.78</w:t>
            </w:r>
          </w:p>
        </w:tc>
        <w:tc>
          <w:tcPr>
            <w:tcW w:w="823" w:type="pct"/>
            <w:tcBorders>
              <w:tl2br w:val="nil"/>
              <w:tr2bl w:val="nil"/>
            </w:tcBorders>
            <w:shd w:val="clear" w:color="auto" w:fill="auto"/>
            <w:noWrap/>
            <w:vAlign w:val="center"/>
          </w:tcPr>
          <w:p w14:paraId="2665685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4,722.85</w:t>
            </w:r>
          </w:p>
        </w:tc>
      </w:tr>
      <w:tr w14:paraId="769874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1AB2833E">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取得投资收益收到的现金</w:t>
            </w:r>
          </w:p>
        </w:tc>
        <w:tc>
          <w:tcPr>
            <w:tcW w:w="948" w:type="pct"/>
            <w:tcBorders>
              <w:tl2br w:val="nil"/>
              <w:tr2bl w:val="nil"/>
            </w:tcBorders>
            <w:shd w:val="clear" w:color="auto" w:fill="auto"/>
            <w:noWrap/>
            <w:vAlign w:val="center"/>
          </w:tcPr>
          <w:p w14:paraId="3D17396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141.82</w:t>
            </w:r>
          </w:p>
        </w:tc>
        <w:tc>
          <w:tcPr>
            <w:tcW w:w="744" w:type="pct"/>
            <w:tcBorders>
              <w:tl2br w:val="nil"/>
              <w:tr2bl w:val="nil"/>
            </w:tcBorders>
            <w:shd w:val="clear" w:color="auto" w:fill="auto"/>
            <w:noWrap/>
            <w:vAlign w:val="center"/>
          </w:tcPr>
          <w:p w14:paraId="26577427">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32.10</w:t>
            </w:r>
          </w:p>
        </w:tc>
        <w:tc>
          <w:tcPr>
            <w:tcW w:w="636" w:type="pct"/>
            <w:tcBorders>
              <w:tl2br w:val="nil"/>
              <w:tr2bl w:val="nil"/>
            </w:tcBorders>
            <w:shd w:val="clear" w:color="auto" w:fill="auto"/>
            <w:noWrap/>
            <w:vAlign w:val="center"/>
          </w:tcPr>
          <w:p w14:paraId="1A7C155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278.75</w:t>
            </w:r>
          </w:p>
        </w:tc>
        <w:tc>
          <w:tcPr>
            <w:tcW w:w="823" w:type="pct"/>
            <w:tcBorders>
              <w:tl2br w:val="nil"/>
              <w:tr2bl w:val="nil"/>
            </w:tcBorders>
            <w:shd w:val="clear" w:color="auto" w:fill="auto"/>
            <w:noWrap/>
            <w:vAlign w:val="center"/>
          </w:tcPr>
          <w:p w14:paraId="508A14B1">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23.40</w:t>
            </w:r>
          </w:p>
        </w:tc>
      </w:tr>
      <w:tr w14:paraId="5FFE688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34B46EA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处置固定资产、无形资产和其他长期资产收回的现金净</w:t>
            </w:r>
          </w:p>
        </w:tc>
        <w:tc>
          <w:tcPr>
            <w:tcW w:w="948" w:type="pct"/>
            <w:tcBorders>
              <w:tl2br w:val="nil"/>
              <w:tr2bl w:val="nil"/>
            </w:tcBorders>
            <w:shd w:val="clear" w:color="auto" w:fill="auto"/>
            <w:noWrap/>
            <w:vAlign w:val="center"/>
          </w:tcPr>
          <w:p w14:paraId="5EDB876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744" w:type="pct"/>
            <w:tcBorders>
              <w:tl2br w:val="nil"/>
              <w:tr2bl w:val="nil"/>
            </w:tcBorders>
            <w:shd w:val="clear" w:color="auto" w:fill="auto"/>
            <w:noWrap/>
            <w:vAlign w:val="center"/>
          </w:tcPr>
          <w:p w14:paraId="52A7DD49">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7.00</w:t>
            </w:r>
          </w:p>
        </w:tc>
        <w:tc>
          <w:tcPr>
            <w:tcW w:w="636" w:type="pct"/>
            <w:tcBorders>
              <w:tl2br w:val="nil"/>
              <w:tr2bl w:val="nil"/>
            </w:tcBorders>
            <w:shd w:val="clear" w:color="auto" w:fill="auto"/>
            <w:noWrap/>
            <w:vAlign w:val="center"/>
          </w:tcPr>
          <w:p w14:paraId="2F8AEC0C">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823" w:type="pct"/>
            <w:tcBorders>
              <w:tl2br w:val="nil"/>
              <w:tr2bl w:val="nil"/>
            </w:tcBorders>
            <w:shd w:val="clear" w:color="auto" w:fill="auto"/>
            <w:noWrap/>
            <w:vAlign w:val="center"/>
          </w:tcPr>
          <w:p w14:paraId="429D0B1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r>
      <w:tr w14:paraId="781CF5C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235D93DA">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投资活动现金流入小计</w:t>
            </w:r>
          </w:p>
        </w:tc>
        <w:tc>
          <w:tcPr>
            <w:tcW w:w="948" w:type="pct"/>
            <w:tcBorders>
              <w:tl2br w:val="nil"/>
              <w:tr2bl w:val="nil"/>
            </w:tcBorders>
            <w:shd w:val="clear" w:color="auto" w:fill="auto"/>
            <w:noWrap/>
            <w:vAlign w:val="center"/>
          </w:tcPr>
          <w:p w14:paraId="5CCC3813">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8,009.22</w:t>
            </w:r>
          </w:p>
        </w:tc>
        <w:tc>
          <w:tcPr>
            <w:tcW w:w="744" w:type="pct"/>
            <w:tcBorders>
              <w:tl2br w:val="nil"/>
              <w:tr2bl w:val="nil"/>
            </w:tcBorders>
            <w:shd w:val="clear" w:color="auto" w:fill="auto"/>
            <w:noWrap/>
            <w:vAlign w:val="center"/>
          </w:tcPr>
          <w:p w14:paraId="1490D68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876.10</w:t>
            </w:r>
          </w:p>
        </w:tc>
        <w:tc>
          <w:tcPr>
            <w:tcW w:w="636" w:type="pct"/>
            <w:tcBorders>
              <w:tl2br w:val="nil"/>
              <w:tr2bl w:val="nil"/>
            </w:tcBorders>
            <w:shd w:val="clear" w:color="auto" w:fill="auto"/>
            <w:noWrap/>
            <w:vAlign w:val="center"/>
          </w:tcPr>
          <w:p w14:paraId="208E0FBF">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16,024.53</w:t>
            </w:r>
          </w:p>
        </w:tc>
        <w:tc>
          <w:tcPr>
            <w:tcW w:w="823" w:type="pct"/>
            <w:tcBorders>
              <w:tl2br w:val="nil"/>
              <w:tr2bl w:val="nil"/>
            </w:tcBorders>
            <w:shd w:val="clear" w:color="auto" w:fill="auto"/>
            <w:noWrap/>
            <w:vAlign w:val="center"/>
          </w:tcPr>
          <w:p w14:paraId="091F8C0A">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4,746.25</w:t>
            </w:r>
          </w:p>
        </w:tc>
      </w:tr>
      <w:tr w14:paraId="1676D90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846" w:type="pct"/>
            <w:tcBorders>
              <w:tl2br w:val="nil"/>
              <w:tr2bl w:val="nil"/>
            </w:tcBorders>
            <w:shd w:val="clear" w:color="auto" w:fill="auto"/>
            <w:noWrap/>
            <w:vAlign w:val="center"/>
          </w:tcPr>
          <w:p w14:paraId="032BDA76">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购建固定资产、无形资产和其他长期资产支付</w:t>
            </w:r>
          </w:p>
        </w:tc>
        <w:tc>
          <w:tcPr>
            <w:tcW w:w="948" w:type="pct"/>
            <w:tcBorders>
              <w:tl2br w:val="nil"/>
              <w:tr2bl w:val="nil"/>
            </w:tcBorders>
            <w:shd w:val="clear" w:color="auto" w:fill="auto"/>
            <w:noWrap/>
            <w:vAlign w:val="center"/>
          </w:tcPr>
          <w:p w14:paraId="74203C1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1,269.50</w:t>
            </w:r>
          </w:p>
        </w:tc>
        <w:tc>
          <w:tcPr>
            <w:tcW w:w="744" w:type="pct"/>
            <w:tcBorders>
              <w:tl2br w:val="nil"/>
              <w:tr2bl w:val="nil"/>
            </w:tcBorders>
            <w:shd w:val="clear" w:color="auto" w:fill="auto"/>
            <w:noWrap/>
            <w:vAlign w:val="center"/>
          </w:tcPr>
          <w:p w14:paraId="2605D435">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778.60</w:t>
            </w:r>
          </w:p>
        </w:tc>
        <w:tc>
          <w:tcPr>
            <w:tcW w:w="636" w:type="pct"/>
            <w:tcBorders>
              <w:tl2br w:val="nil"/>
              <w:tr2bl w:val="nil"/>
            </w:tcBorders>
            <w:shd w:val="clear" w:color="auto" w:fill="auto"/>
            <w:noWrap/>
            <w:vAlign w:val="center"/>
          </w:tcPr>
          <w:p w14:paraId="07BBC8D9">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263.19</w:t>
            </w:r>
          </w:p>
        </w:tc>
        <w:tc>
          <w:tcPr>
            <w:tcW w:w="823" w:type="pct"/>
            <w:tcBorders>
              <w:tl2br w:val="nil"/>
              <w:tr2bl w:val="nil"/>
            </w:tcBorders>
            <w:shd w:val="clear" w:color="auto" w:fill="auto"/>
            <w:noWrap/>
            <w:vAlign w:val="center"/>
          </w:tcPr>
          <w:p w14:paraId="43229C38">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76.09</w:t>
            </w:r>
          </w:p>
        </w:tc>
      </w:tr>
      <w:tr w14:paraId="12E3433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80" w:hRule="atLeast"/>
        </w:trPr>
        <w:tc>
          <w:tcPr>
            <w:tcW w:w="1846" w:type="pct"/>
            <w:tcBorders>
              <w:tl2br w:val="nil"/>
              <w:tr2bl w:val="nil"/>
            </w:tcBorders>
            <w:shd w:val="clear" w:color="auto" w:fill="auto"/>
            <w:noWrap/>
            <w:vAlign w:val="center"/>
          </w:tcPr>
          <w:p w14:paraId="68263BE8">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投资支付的现金</w:t>
            </w:r>
          </w:p>
        </w:tc>
        <w:tc>
          <w:tcPr>
            <w:tcW w:w="948" w:type="pct"/>
            <w:tcBorders>
              <w:tl2br w:val="nil"/>
              <w:tr2bl w:val="nil"/>
            </w:tcBorders>
            <w:shd w:val="clear" w:color="auto" w:fill="auto"/>
            <w:noWrap/>
            <w:vAlign w:val="center"/>
          </w:tcPr>
          <w:p w14:paraId="246BD8C1">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8,300.61</w:t>
            </w:r>
          </w:p>
        </w:tc>
        <w:tc>
          <w:tcPr>
            <w:tcW w:w="744" w:type="pct"/>
            <w:tcBorders>
              <w:tl2br w:val="nil"/>
              <w:tr2bl w:val="nil"/>
            </w:tcBorders>
            <w:shd w:val="clear" w:color="auto" w:fill="auto"/>
            <w:noWrap/>
            <w:vAlign w:val="center"/>
          </w:tcPr>
          <w:p w14:paraId="7559C5B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1,143.39</w:t>
            </w:r>
          </w:p>
        </w:tc>
        <w:tc>
          <w:tcPr>
            <w:tcW w:w="636" w:type="pct"/>
            <w:tcBorders>
              <w:tl2br w:val="nil"/>
              <w:tr2bl w:val="nil"/>
            </w:tcBorders>
            <w:shd w:val="clear" w:color="auto" w:fill="auto"/>
            <w:noWrap/>
            <w:vAlign w:val="center"/>
          </w:tcPr>
          <w:p w14:paraId="52D7266F">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13,679.20</w:t>
            </w:r>
          </w:p>
        </w:tc>
        <w:tc>
          <w:tcPr>
            <w:tcW w:w="823" w:type="pct"/>
            <w:tcBorders>
              <w:tl2br w:val="nil"/>
              <w:tr2bl w:val="nil"/>
            </w:tcBorders>
            <w:shd w:val="clear" w:color="auto" w:fill="auto"/>
            <w:noWrap/>
            <w:vAlign w:val="center"/>
          </w:tcPr>
          <w:p w14:paraId="4597C6CE">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6,662.14</w:t>
            </w:r>
          </w:p>
        </w:tc>
      </w:tr>
      <w:tr w14:paraId="0FED5EE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64D3141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支付其他与投资活动有关的现金</w:t>
            </w:r>
          </w:p>
        </w:tc>
        <w:tc>
          <w:tcPr>
            <w:tcW w:w="948" w:type="pct"/>
            <w:tcBorders>
              <w:tl2br w:val="nil"/>
              <w:tr2bl w:val="nil"/>
            </w:tcBorders>
            <w:shd w:val="clear" w:color="auto" w:fill="auto"/>
            <w:noWrap/>
            <w:vAlign w:val="center"/>
          </w:tcPr>
          <w:p w14:paraId="624D198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744" w:type="pct"/>
            <w:tcBorders>
              <w:tl2br w:val="nil"/>
              <w:tr2bl w:val="nil"/>
            </w:tcBorders>
            <w:shd w:val="clear" w:color="auto" w:fill="auto"/>
            <w:noWrap/>
            <w:vAlign w:val="center"/>
          </w:tcPr>
          <w:p w14:paraId="54AC20D5">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636" w:type="pct"/>
            <w:tcBorders>
              <w:tl2br w:val="nil"/>
              <w:tr2bl w:val="nil"/>
            </w:tcBorders>
            <w:shd w:val="clear" w:color="auto" w:fill="auto"/>
            <w:noWrap/>
            <w:vAlign w:val="center"/>
          </w:tcPr>
          <w:p w14:paraId="635DA0F3">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3.41</w:t>
            </w:r>
          </w:p>
        </w:tc>
        <w:tc>
          <w:tcPr>
            <w:tcW w:w="823" w:type="pct"/>
            <w:tcBorders>
              <w:tl2br w:val="nil"/>
              <w:tr2bl w:val="nil"/>
            </w:tcBorders>
            <w:shd w:val="clear" w:color="auto" w:fill="auto"/>
            <w:noWrap/>
            <w:vAlign w:val="center"/>
          </w:tcPr>
          <w:p w14:paraId="17002DD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1,313.80</w:t>
            </w:r>
          </w:p>
        </w:tc>
      </w:tr>
      <w:tr w14:paraId="70ED65B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3DF78B87">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投资活动现金流出小计</w:t>
            </w:r>
          </w:p>
        </w:tc>
        <w:tc>
          <w:tcPr>
            <w:tcW w:w="948" w:type="pct"/>
            <w:tcBorders>
              <w:tl2br w:val="nil"/>
              <w:tr2bl w:val="nil"/>
            </w:tcBorders>
            <w:shd w:val="clear" w:color="auto" w:fill="auto"/>
            <w:noWrap/>
            <w:vAlign w:val="center"/>
          </w:tcPr>
          <w:p w14:paraId="120D5E9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9,570.11</w:t>
            </w:r>
          </w:p>
        </w:tc>
        <w:tc>
          <w:tcPr>
            <w:tcW w:w="744" w:type="pct"/>
            <w:tcBorders>
              <w:tl2br w:val="nil"/>
              <w:tr2bl w:val="nil"/>
            </w:tcBorders>
            <w:shd w:val="clear" w:color="auto" w:fill="auto"/>
            <w:noWrap/>
            <w:vAlign w:val="center"/>
          </w:tcPr>
          <w:p w14:paraId="7BACF48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1,921.99</w:t>
            </w:r>
          </w:p>
        </w:tc>
        <w:tc>
          <w:tcPr>
            <w:tcW w:w="636" w:type="pct"/>
            <w:tcBorders>
              <w:tl2br w:val="nil"/>
              <w:tr2bl w:val="nil"/>
            </w:tcBorders>
            <w:shd w:val="clear" w:color="auto" w:fill="auto"/>
            <w:noWrap/>
            <w:vAlign w:val="center"/>
          </w:tcPr>
          <w:p w14:paraId="051FECD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13,945.79</w:t>
            </w:r>
          </w:p>
        </w:tc>
        <w:tc>
          <w:tcPr>
            <w:tcW w:w="823" w:type="pct"/>
            <w:tcBorders>
              <w:tl2br w:val="nil"/>
              <w:tr2bl w:val="nil"/>
            </w:tcBorders>
            <w:shd w:val="clear" w:color="auto" w:fill="auto"/>
            <w:noWrap/>
            <w:vAlign w:val="center"/>
          </w:tcPr>
          <w:p w14:paraId="7299FD9F">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bidi="ar"/>
                <w14:ligatures w14:val="none"/>
              </w:rPr>
            </w:pPr>
            <w:r>
              <w:rPr>
                <w:rFonts w:hint="default" w:ascii="Times New Roman" w:hAnsi="Times New Roman" w:eastAsia="宋体" w:cs="Times New Roman"/>
                <w:color w:val="000000"/>
                <w:kern w:val="0"/>
                <w:sz w:val="21"/>
                <w:szCs w:val="21"/>
                <w:lang w:val="en-US" w:eastAsia="zh-CN" w:bidi="ar"/>
                <w14:ligatures w14:val="none"/>
              </w:rPr>
              <w:t>8,052.03</w:t>
            </w:r>
          </w:p>
        </w:tc>
      </w:tr>
      <w:tr w14:paraId="23E4CD4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33AD07EC">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投资活动产生的现金流量净额</w:t>
            </w:r>
          </w:p>
        </w:tc>
        <w:tc>
          <w:tcPr>
            <w:tcW w:w="948" w:type="pct"/>
            <w:tcBorders>
              <w:tl2br w:val="nil"/>
              <w:tr2bl w:val="nil"/>
            </w:tcBorders>
            <w:shd w:val="clear" w:color="auto" w:fill="auto"/>
            <w:noWrap/>
            <w:vAlign w:val="center"/>
          </w:tcPr>
          <w:p w14:paraId="3E91B173">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-1,560.88</w:t>
            </w:r>
          </w:p>
        </w:tc>
        <w:tc>
          <w:tcPr>
            <w:tcW w:w="744" w:type="pct"/>
            <w:tcBorders>
              <w:tl2br w:val="nil"/>
              <w:tr2bl w:val="nil"/>
            </w:tcBorders>
            <w:shd w:val="clear" w:color="auto" w:fill="auto"/>
            <w:noWrap/>
            <w:vAlign w:val="center"/>
          </w:tcPr>
          <w:p w14:paraId="286B9642">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-1,045.89</w:t>
            </w:r>
          </w:p>
        </w:tc>
        <w:tc>
          <w:tcPr>
            <w:tcW w:w="636" w:type="pct"/>
            <w:tcBorders>
              <w:tl2br w:val="nil"/>
              <w:tr2bl w:val="nil"/>
            </w:tcBorders>
            <w:shd w:val="clear" w:color="auto" w:fill="auto"/>
            <w:noWrap/>
            <w:vAlign w:val="center"/>
          </w:tcPr>
          <w:p w14:paraId="5E248127">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2,078.73</w:t>
            </w:r>
          </w:p>
        </w:tc>
        <w:tc>
          <w:tcPr>
            <w:tcW w:w="823" w:type="pct"/>
            <w:tcBorders>
              <w:tl2br w:val="nil"/>
              <w:tr2bl w:val="nil"/>
            </w:tcBorders>
            <w:shd w:val="clear" w:color="auto" w:fill="auto"/>
            <w:noWrap/>
            <w:vAlign w:val="center"/>
          </w:tcPr>
          <w:p w14:paraId="511C6CAC">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-3,305.78</w:t>
            </w:r>
          </w:p>
        </w:tc>
      </w:tr>
      <w:tr w14:paraId="470B261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345D662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吸收投资收到的现金</w:t>
            </w:r>
          </w:p>
        </w:tc>
        <w:tc>
          <w:tcPr>
            <w:tcW w:w="948" w:type="pct"/>
            <w:tcBorders>
              <w:tl2br w:val="nil"/>
              <w:tr2bl w:val="nil"/>
            </w:tcBorders>
            <w:shd w:val="clear" w:color="auto" w:fill="auto"/>
            <w:noWrap/>
            <w:vAlign w:val="center"/>
          </w:tcPr>
          <w:p w14:paraId="07D9B57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177.81</w:t>
            </w:r>
          </w:p>
        </w:tc>
        <w:tc>
          <w:tcPr>
            <w:tcW w:w="744" w:type="pct"/>
            <w:tcBorders>
              <w:tl2br w:val="nil"/>
              <w:tr2bl w:val="nil"/>
            </w:tcBorders>
            <w:shd w:val="clear" w:color="auto" w:fill="auto"/>
            <w:noWrap/>
            <w:vAlign w:val="center"/>
          </w:tcPr>
          <w:p w14:paraId="3419691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100.00</w:t>
            </w:r>
          </w:p>
        </w:tc>
        <w:tc>
          <w:tcPr>
            <w:tcW w:w="636" w:type="pct"/>
            <w:tcBorders>
              <w:tl2br w:val="nil"/>
              <w:tr2bl w:val="nil"/>
            </w:tcBorders>
            <w:shd w:val="clear" w:color="auto" w:fill="auto"/>
            <w:noWrap/>
            <w:vAlign w:val="center"/>
          </w:tcPr>
          <w:p w14:paraId="36BE494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71.40</w:t>
            </w:r>
          </w:p>
        </w:tc>
        <w:tc>
          <w:tcPr>
            <w:tcW w:w="823" w:type="pct"/>
            <w:tcBorders>
              <w:tl2br w:val="nil"/>
              <w:tr2bl w:val="nil"/>
            </w:tcBorders>
            <w:shd w:val="clear" w:color="auto" w:fill="auto"/>
            <w:noWrap/>
            <w:vAlign w:val="center"/>
          </w:tcPr>
          <w:p w14:paraId="226A21D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113.60</w:t>
            </w:r>
          </w:p>
        </w:tc>
      </w:tr>
      <w:tr w14:paraId="34FBA45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2B687E61">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取得借款收到的现金</w:t>
            </w:r>
          </w:p>
        </w:tc>
        <w:tc>
          <w:tcPr>
            <w:tcW w:w="948" w:type="pct"/>
            <w:tcBorders>
              <w:tl2br w:val="nil"/>
              <w:tr2bl w:val="nil"/>
            </w:tcBorders>
            <w:shd w:val="clear" w:color="auto" w:fill="auto"/>
            <w:noWrap/>
            <w:vAlign w:val="center"/>
          </w:tcPr>
          <w:p w14:paraId="4B5AB52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744" w:type="pct"/>
            <w:tcBorders>
              <w:tl2br w:val="nil"/>
              <w:tr2bl w:val="nil"/>
            </w:tcBorders>
            <w:shd w:val="clear" w:color="auto" w:fill="auto"/>
            <w:noWrap/>
            <w:vAlign w:val="center"/>
          </w:tcPr>
          <w:p w14:paraId="20C8CE29">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1,600.00</w:t>
            </w:r>
          </w:p>
        </w:tc>
        <w:tc>
          <w:tcPr>
            <w:tcW w:w="636" w:type="pct"/>
            <w:tcBorders>
              <w:tl2br w:val="nil"/>
              <w:tr2bl w:val="nil"/>
            </w:tcBorders>
            <w:shd w:val="clear" w:color="auto" w:fill="auto"/>
            <w:noWrap/>
            <w:vAlign w:val="center"/>
          </w:tcPr>
          <w:p w14:paraId="6644B0C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1,800.00</w:t>
            </w:r>
          </w:p>
        </w:tc>
        <w:tc>
          <w:tcPr>
            <w:tcW w:w="823" w:type="pct"/>
            <w:tcBorders>
              <w:tl2br w:val="nil"/>
              <w:tr2bl w:val="nil"/>
            </w:tcBorders>
            <w:shd w:val="clear" w:color="auto" w:fill="auto"/>
            <w:noWrap/>
            <w:vAlign w:val="center"/>
          </w:tcPr>
          <w:p w14:paraId="22D5C61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2,580.00</w:t>
            </w:r>
          </w:p>
        </w:tc>
      </w:tr>
      <w:tr w14:paraId="324B6EC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7B7AF13C">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收到其他与筹资活动有关的现金</w:t>
            </w:r>
          </w:p>
        </w:tc>
        <w:tc>
          <w:tcPr>
            <w:tcW w:w="948" w:type="pct"/>
            <w:tcBorders>
              <w:tl2br w:val="nil"/>
              <w:tr2bl w:val="nil"/>
            </w:tcBorders>
            <w:shd w:val="clear" w:color="auto" w:fill="auto"/>
            <w:noWrap/>
            <w:vAlign w:val="center"/>
          </w:tcPr>
          <w:p w14:paraId="1E8B23BA">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3,383.67</w:t>
            </w:r>
          </w:p>
        </w:tc>
        <w:tc>
          <w:tcPr>
            <w:tcW w:w="744" w:type="pct"/>
            <w:tcBorders>
              <w:tl2br w:val="nil"/>
              <w:tr2bl w:val="nil"/>
            </w:tcBorders>
            <w:shd w:val="clear" w:color="auto" w:fill="auto"/>
            <w:noWrap/>
            <w:vAlign w:val="center"/>
          </w:tcPr>
          <w:p w14:paraId="05E449C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636" w:type="pct"/>
            <w:tcBorders>
              <w:tl2br w:val="nil"/>
              <w:tr2bl w:val="nil"/>
            </w:tcBorders>
            <w:shd w:val="clear" w:color="auto" w:fill="auto"/>
            <w:noWrap/>
            <w:vAlign w:val="center"/>
          </w:tcPr>
          <w:p w14:paraId="4199F372">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823" w:type="pct"/>
            <w:tcBorders>
              <w:tl2br w:val="nil"/>
              <w:tr2bl w:val="nil"/>
            </w:tcBorders>
            <w:shd w:val="clear" w:color="auto" w:fill="auto"/>
            <w:noWrap/>
            <w:vAlign w:val="center"/>
          </w:tcPr>
          <w:p w14:paraId="776BE598">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r>
      <w:tr w14:paraId="07B5225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22F6486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筹资活动现金流入小计</w:t>
            </w:r>
          </w:p>
        </w:tc>
        <w:tc>
          <w:tcPr>
            <w:tcW w:w="948" w:type="pct"/>
            <w:tcBorders>
              <w:tl2br w:val="nil"/>
              <w:tr2bl w:val="nil"/>
            </w:tcBorders>
            <w:shd w:val="clear" w:color="auto" w:fill="auto"/>
            <w:noWrap/>
            <w:vAlign w:val="center"/>
          </w:tcPr>
          <w:p w14:paraId="06E4D1C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3,561.48</w:t>
            </w:r>
          </w:p>
        </w:tc>
        <w:tc>
          <w:tcPr>
            <w:tcW w:w="744" w:type="pct"/>
            <w:tcBorders>
              <w:tl2br w:val="nil"/>
              <w:tr2bl w:val="nil"/>
            </w:tcBorders>
            <w:shd w:val="clear" w:color="auto" w:fill="auto"/>
            <w:noWrap/>
            <w:vAlign w:val="center"/>
          </w:tcPr>
          <w:p w14:paraId="1421C12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1,700.00</w:t>
            </w:r>
          </w:p>
        </w:tc>
        <w:tc>
          <w:tcPr>
            <w:tcW w:w="636" w:type="pct"/>
            <w:tcBorders>
              <w:tl2br w:val="nil"/>
              <w:tr2bl w:val="nil"/>
            </w:tcBorders>
            <w:shd w:val="clear" w:color="auto" w:fill="auto"/>
            <w:noWrap/>
            <w:vAlign w:val="center"/>
          </w:tcPr>
          <w:p w14:paraId="69EDFA4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1,871.40</w:t>
            </w:r>
          </w:p>
        </w:tc>
        <w:tc>
          <w:tcPr>
            <w:tcW w:w="823" w:type="pct"/>
            <w:tcBorders>
              <w:tl2br w:val="nil"/>
              <w:tr2bl w:val="nil"/>
            </w:tcBorders>
            <w:shd w:val="clear" w:color="auto" w:fill="auto"/>
            <w:noWrap/>
            <w:vAlign w:val="center"/>
          </w:tcPr>
          <w:p w14:paraId="6807293C">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2,693.60</w:t>
            </w:r>
          </w:p>
        </w:tc>
      </w:tr>
      <w:tr w14:paraId="2D3B304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6177311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偿还债务支付的现金</w:t>
            </w:r>
          </w:p>
        </w:tc>
        <w:tc>
          <w:tcPr>
            <w:tcW w:w="948" w:type="pct"/>
            <w:tcBorders>
              <w:tl2br w:val="nil"/>
              <w:tr2bl w:val="nil"/>
            </w:tcBorders>
            <w:shd w:val="clear" w:color="auto" w:fill="auto"/>
            <w:noWrap/>
            <w:vAlign w:val="center"/>
          </w:tcPr>
          <w:p w14:paraId="6B679CE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1,001.83</w:t>
            </w:r>
          </w:p>
        </w:tc>
        <w:tc>
          <w:tcPr>
            <w:tcW w:w="744" w:type="pct"/>
            <w:tcBorders>
              <w:tl2br w:val="nil"/>
              <w:tr2bl w:val="nil"/>
            </w:tcBorders>
            <w:shd w:val="clear" w:color="auto" w:fill="auto"/>
            <w:noWrap/>
            <w:vAlign w:val="center"/>
          </w:tcPr>
          <w:p w14:paraId="5C093D52">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636" w:type="pct"/>
            <w:tcBorders>
              <w:tl2br w:val="nil"/>
              <w:tr2bl w:val="nil"/>
            </w:tcBorders>
            <w:shd w:val="clear" w:color="auto" w:fill="auto"/>
            <w:noWrap/>
            <w:vAlign w:val="center"/>
          </w:tcPr>
          <w:p w14:paraId="4998A062">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1,600.00</w:t>
            </w:r>
          </w:p>
        </w:tc>
        <w:tc>
          <w:tcPr>
            <w:tcW w:w="823" w:type="pct"/>
            <w:tcBorders>
              <w:tl2br w:val="nil"/>
              <w:tr2bl w:val="nil"/>
            </w:tcBorders>
            <w:shd w:val="clear" w:color="auto" w:fill="auto"/>
            <w:noWrap/>
            <w:vAlign w:val="center"/>
          </w:tcPr>
          <w:p w14:paraId="2C6C5320">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800.00</w:t>
            </w:r>
          </w:p>
        </w:tc>
      </w:tr>
      <w:tr w14:paraId="10457CB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72E14BB7">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分配股利、利润或偿付利息支付的现金</w:t>
            </w:r>
          </w:p>
        </w:tc>
        <w:tc>
          <w:tcPr>
            <w:tcW w:w="948" w:type="pct"/>
            <w:tcBorders>
              <w:tl2br w:val="nil"/>
              <w:tr2bl w:val="nil"/>
            </w:tcBorders>
            <w:shd w:val="clear" w:color="auto" w:fill="auto"/>
            <w:noWrap/>
            <w:vAlign w:val="center"/>
          </w:tcPr>
          <w:p w14:paraId="099E09D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23.31</w:t>
            </w:r>
          </w:p>
        </w:tc>
        <w:tc>
          <w:tcPr>
            <w:tcW w:w="744" w:type="pct"/>
            <w:tcBorders>
              <w:tl2br w:val="nil"/>
              <w:tr2bl w:val="nil"/>
            </w:tcBorders>
            <w:shd w:val="clear" w:color="auto" w:fill="auto"/>
            <w:noWrap/>
            <w:vAlign w:val="center"/>
          </w:tcPr>
          <w:p w14:paraId="3B9979F6">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35.15</w:t>
            </w:r>
          </w:p>
        </w:tc>
        <w:tc>
          <w:tcPr>
            <w:tcW w:w="636" w:type="pct"/>
            <w:tcBorders>
              <w:tl2br w:val="nil"/>
              <w:tr2bl w:val="nil"/>
            </w:tcBorders>
            <w:shd w:val="clear" w:color="auto" w:fill="auto"/>
            <w:noWrap/>
            <w:vAlign w:val="center"/>
          </w:tcPr>
          <w:p w14:paraId="522DA69A">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50.49</w:t>
            </w:r>
          </w:p>
        </w:tc>
        <w:tc>
          <w:tcPr>
            <w:tcW w:w="823" w:type="pct"/>
            <w:tcBorders>
              <w:tl2br w:val="nil"/>
              <w:tr2bl w:val="nil"/>
            </w:tcBorders>
            <w:shd w:val="clear" w:color="auto" w:fill="auto"/>
            <w:noWrap/>
            <w:vAlign w:val="center"/>
          </w:tcPr>
          <w:p w14:paraId="296B200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38.71</w:t>
            </w:r>
          </w:p>
        </w:tc>
      </w:tr>
      <w:tr w14:paraId="1B7779C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5B037683">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筹资活动现金流出小计</w:t>
            </w:r>
          </w:p>
        </w:tc>
        <w:tc>
          <w:tcPr>
            <w:tcW w:w="948" w:type="pct"/>
            <w:tcBorders>
              <w:tl2br w:val="nil"/>
              <w:tr2bl w:val="nil"/>
            </w:tcBorders>
            <w:shd w:val="clear" w:color="auto" w:fill="auto"/>
            <w:noWrap/>
            <w:vAlign w:val="center"/>
          </w:tcPr>
          <w:p w14:paraId="3B64D6AF">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1,025.15</w:t>
            </w:r>
          </w:p>
        </w:tc>
        <w:tc>
          <w:tcPr>
            <w:tcW w:w="744" w:type="pct"/>
            <w:tcBorders>
              <w:tl2br w:val="nil"/>
              <w:tr2bl w:val="nil"/>
            </w:tcBorders>
            <w:shd w:val="clear" w:color="auto" w:fill="auto"/>
            <w:noWrap/>
            <w:vAlign w:val="center"/>
          </w:tcPr>
          <w:p w14:paraId="1585E717">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35.15</w:t>
            </w:r>
          </w:p>
        </w:tc>
        <w:tc>
          <w:tcPr>
            <w:tcW w:w="636" w:type="pct"/>
            <w:tcBorders>
              <w:tl2br w:val="nil"/>
              <w:tr2bl w:val="nil"/>
            </w:tcBorders>
            <w:shd w:val="clear" w:color="auto" w:fill="auto"/>
            <w:noWrap/>
            <w:vAlign w:val="center"/>
          </w:tcPr>
          <w:p w14:paraId="0FB55A17">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1,650.49</w:t>
            </w:r>
          </w:p>
        </w:tc>
        <w:tc>
          <w:tcPr>
            <w:tcW w:w="823" w:type="pct"/>
            <w:tcBorders>
              <w:tl2br w:val="nil"/>
              <w:tr2bl w:val="nil"/>
            </w:tcBorders>
            <w:shd w:val="clear" w:color="auto" w:fill="auto"/>
            <w:noWrap/>
            <w:vAlign w:val="center"/>
          </w:tcPr>
          <w:p w14:paraId="6FE19C48">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838.71</w:t>
            </w:r>
          </w:p>
        </w:tc>
      </w:tr>
      <w:tr w14:paraId="18A7ABC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101E04A6">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筹资活动产生的现金流量净额</w:t>
            </w:r>
          </w:p>
        </w:tc>
        <w:tc>
          <w:tcPr>
            <w:tcW w:w="948" w:type="pct"/>
            <w:tcBorders>
              <w:tl2br w:val="nil"/>
              <w:tr2bl w:val="nil"/>
            </w:tcBorders>
            <w:shd w:val="clear" w:color="auto" w:fill="auto"/>
            <w:noWrap/>
            <w:vAlign w:val="center"/>
          </w:tcPr>
          <w:p w14:paraId="45FF5CFB">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2,536.33</w:t>
            </w:r>
          </w:p>
        </w:tc>
        <w:tc>
          <w:tcPr>
            <w:tcW w:w="744" w:type="pct"/>
            <w:tcBorders>
              <w:tl2br w:val="nil"/>
              <w:tr2bl w:val="nil"/>
            </w:tcBorders>
            <w:shd w:val="clear" w:color="auto" w:fill="auto"/>
            <w:noWrap/>
            <w:vAlign w:val="center"/>
          </w:tcPr>
          <w:p w14:paraId="72B47289">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1,664.85</w:t>
            </w:r>
          </w:p>
        </w:tc>
        <w:tc>
          <w:tcPr>
            <w:tcW w:w="636" w:type="pct"/>
            <w:tcBorders>
              <w:tl2br w:val="nil"/>
              <w:tr2bl w:val="nil"/>
            </w:tcBorders>
            <w:shd w:val="clear" w:color="auto" w:fill="auto"/>
            <w:noWrap/>
            <w:vAlign w:val="center"/>
          </w:tcPr>
          <w:p w14:paraId="03760A7C">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220.91</w:t>
            </w:r>
          </w:p>
        </w:tc>
        <w:tc>
          <w:tcPr>
            <w:tcW w:w="823" w:type="pct"/>
            <w:tcBorders>
              <w:tl2br w:val="nil"/>
              <w:tr2bl w:val="nil"/>
            </w:tcBorders>
            <w:shd w:val="clear" w:color="auto" w:fill="auto"/>
            <w:noWrap/>
            <w:vAlign w:val="center"/>
          </w:tcPr>
          <w:p w14:paraId="7AA66532">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1,854.89</w:t>
            </w:r>
          </w:p>
        </w:tc>
      </w:tr>
      <w:tr w14:paraId="71E781B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4221E955">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汇率变动对现金及现金等价物的影响</w:t>
            </w:r>
          </w:p>
        </w:tc>
        <w:tc>
          <w:tcPr>
            <w:tcW w:w="948" w:type="pct"/>
            <w:tcBorders>
              <w:tl2br w:val="nil"/>
              <w:tr2bl w:val="nil"/>
            </w:tcBorders>
            <w:shd w:val="clear" w:color="auto" w:fill="auto"/>
            <w:noWrap/>
            <w:vAlign w:val="center"/>
          </w:tcPr>
          <w:p w14:paraId="37744B9C">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744" w:type="pct"/>
            <w:tcBorders>
              <w:tl2br w:val="nil"/>
              <w:tr2bl w:val="nil"/>
            </w:tcBorders>
            <w:shd w:val="clear" w:color="auto" w:fill="auto"/>
            <w:noWrap/>
            <w:vAlign w:val="center"/>
          </w:tcPr>
          <w:p w14:paraId="6E0DB77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636" w:type="pct"/>
            <w:tcBorders>
              <w:tl2br w:val="nil"/>
              <w:tr2bl w:val="nil"/>
            </w:tcBorders>
            <w:shd w:val="clear" w:color="auto" w:fill="auto"/>
            <w:noWrap/>
            <w:vAlign w:val="center"/>
          </w:tcPr>
          <w:p w14:paraId="72305A38">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c>
          <w:tcPr>
            <w:tcW w:w="823" w:type="pct"/>
            <w:tcBorders>
              <w:tl2br w:val="nil"/>
              <w:tr2bl w:val="nil"/>
            </w:tcBorders>
            <w:shd w:val="clear" w:color="auto" w:fill="auto"/>
            <w:noWrap/>
            <w:vAlign w:val="center"/>
          </w:tcPr>
          <w:p w14:paraId="170D3452">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0.00</w:t>
            </w:r>
          </w:p>
        </w:tc>
      </w:tr>
      <w:tr w14:paraId="42023AE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3A159DFE">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现金及现金等价物净增加额</w:t>
            </w:r>
          </w:p>
        </w:tc>
        <w:tc>
          <w:tcPr>
            <w:tcW w:w="948" w:type="pct"/>
            <w:tcBorders>
              <w:tl2br w:val="nil"/>
              <w:tr2bl w:val="nil"/>
            </w:tcBorders>
            <w:shd w:val="clear" w:color="auto" w:fill="auto"/>
            <w:noWrap/>
            <w:vAlign w:val="center"/>
          </w:tcPr>
          <w:p w14:paraId="79F0F4A2">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-52.13</w:t>
            </w:r>
          </w:p>
        </w:tc>
        <w:tc>
          <w:tcPr>
            <w:tcW w:w="744" w:type="pct"/>
            <w:tcBorders>
              <w:tl2br w:val="nil"/>
              <w:tr2bl w:val="nil"/>
            </w:tcBorders>
            <w:shd w:val="clear" w:color="auto" w:fill="auto"/>
            <w:noWrap/>
            <w:vAlign w:val="center"/>
          </w:tcPr>
          <w:p w14:paraId="684B3D1A">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-80.78</w:t>
            </w:r>
          </w:p>
        </w:tc>
        <w:tc>
          <w:tcPr>
            <w:tcW w:w="636" w:type="pct"/>
            <w:tcBorders>
              <w:tl2br w:val="nil"/>
              <w:tr2bl w:val="nil"/>
            </w:tcBorders>
            <w:shd w:val="clear" w:color="auto" w:fill="auto"/>
            <w:noWrap/>
            <w:vAlign w:val="center"/>
          </w:tcPr>
          <w:p w14:paraId="5284D452">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1,825.05</w:t>
            </w:r>
          </w:p>
        </w:tc>
        <w:tc>
          <w:tcPr>
            <w:tcW w:w="823" w:type="pct"/>
            <w:tcBorders>
              <w:tl2br w:val="nil"/>
              <w:tr2bl w:val="nil"/>
            </w:tcBorders>
            <w:shd w:val="clear" w:color="auto" w:fill="auto"/>
            <w:noWrap/>
            <w:vAlign w:val="center"/>
          </w:tcPr>
          <w:p w14:paraId="4CECE569">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-1,680.97</w:t>
            </w:r>
          </w:p>
        </w:tc>
      </w:tr>
      <w:tr w14:paraId="4E173DD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352EEC18">
            <w:pPr>
              <w:widowControl/>
              <w:adjustRightInd/>
              <w:snapToGrid/>
              <w:spacing w:line="240" w:lineRule="auto"/>
              <w:ind w:firstLine="0" w:firstLineChars="0"/>
              <w:jc w:val="both"/>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期初现金及现金等价物余额</w:t>
            </w:r>
          </w:p>
        </w:tc>
        <w:tc>
          <w:tcPr>
            <w:tcW w:w="948" w:type="pct"/>
            <w:tcBorders>
              <w:tl2br w:val="nil"/>
              <w:tr2bl w:val="nil"/>
            </w:tcBorders>
            <w:shd w:val="clear" w:color="auto" w:fill="auto"/>
            <w:noWrap/>
            <w:vAlign w:val="center"/>
          </w:tcPr>
          <w:p w14:paraId="3C7BF31C">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260.14</w:t>
            </w:r>
          </w:p>
        </w:tc>
        <w:tc>
          <w:tcPr>
            <w:tcW w:w="744" w:type="pct"/>
            <w:tcBorders>
              <w:tl2br w:val="nil"/>
              <w:tr2bl w:val="nil"/>
            </w:tcBorders>
            <w:shd w:val="clear" w:color="auto" w:fill="auto"/>
            <w:noWrap/>
            <w:vAlign w:val="center"/>
          </w:tcPr>
          <w:p w14:paraId="64981FF4">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208.01</w:t>
            </w:r>
          </w:p>
        </w:tc>
        <w:tc>
          <w:tcPr>
            <w:tcW w:w="636" w:type="pct"/>
            <w:tcBorders>
              <w:tl2br w:val="nil"/>
              <w:tr2bl w:val="nil"/>
            </w:tcBorders>
            <w:shd w:val="clear" w:color="auto" w:fill="auto"/>
            <w:noWrap/>
            <w:vAlign w:val="center"/>
          </w:tcPr>
          <w:p w14:paraId="36CA61BD">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127.23</w:t>
            </w:r>
          </w:p>
        </w:tc>
        <w:tc>
          <w:tcPr>
            <w:tcW w:w="823" w:type="pct"/>
            <w:tcBorders>
              <w:tl2br w:val="nil"/>
              <w:tr2bl w:val="nil"/>
            </w:tcBorders>
            <w:shd w:val="clear" w:color="auto" w:fill="auto"/>
            <w:noWrap/>
            <w:vAlign w:val="center"/>
          </w:tcPr>
          <w:p w14:paraId="154F057B">
            <w:pPr>
              <w:widowControl/>
              <w:adjustRightInd/>
              <w:snapToGrid/>
              <w:spacing w:line="240" w:lineRule="auto"/>
              <w:ind w:firstLine="0" w:firstLineChars="0"/>
              <w:jc w:val="right"/>
              <w:textAlignment w:val="center"/>
              <w:rPr>
                <w:rFonts w:hint="default" w:ascii="Times New Roman" w:hAnsi="Times New Roman" w:eastAsia="宋体" w:cs="Times New Roman"/>
                <w:color w:val="000000"/>
                <w:kern w:val="0"/>
                <w:sz w:val="21"/>
                <w:szCs w:val="21"/>
                <w:lang w:val="en-US" w:eastAsia="zh-CN" w:bidi="ar"/>
                <w14:ligatures w14:val="none"/>
              </w:rPr>
            </w:pPr>
            <w:r>
              <w:rPr>
                <w:rFonts w:hint="default" w:ascii="Times New Roman" w:hAnsi="Times New Roman" w:eastAsia="宋体" w:cs="Times New Roman"/>
                <w:color w:val="000000"/>
                <w:kern w:val="0"/>
                <w:sz w:val="21"/>
                <w:szCs w:val="21"/>
                <w:lang w:val="en-US" w:eastAsia="zh-CN" w:bidi="ar"/>
                <w14:ligatures w14:val="none"/>
              </w:rPr>
              <w:t>1,952.28</w:t>
            </w:r>
          </w:p>
        </w:tc>
      </w:tr>
      <w:tr w14:paraId="1337311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846" w:type="pct"/>
            <w:tcBorders>
              <w:tl2br w:val="nil"/>
              <w:tr2bl w:val="nil"/>
            </w:tcBorders>
            <w:shd w:val="clear" w:color="auto" w:fill="auto"/>
            <w:noWrap/>
            <w:vAlign w:val="center"/>
          </w:tcPr>
          <w:p w14:paraId="400E3AFA">
            <w:pPr>
              <w:widowControl/>
              <w:adjustRightInd/>
              <w:snapToGrid/>
              <w:spacing w:line="240" w:lineRule="auto"/>
              <w:ind w:firstLine="0" w:firstLineChars="0"/>
              <w:jc w:val="both"/>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期末现金及现金等价物余额</w:t>
            </w:r>
          </w:p>
        </w:tc>
        <w:tc>
          <w:tcPr>
            <w:tcW w:w="948" w:type="pct"/>
            <w:tcBorders>
              <w:tl2br w:val="nil"/>
              <w:tr2bl w:val="nil"/>
            </w:tcBorders>
            <w:shd w:val="clear" w:color="auto" w:fill="auto"/>
            <w:noWrap/>
            <w:vAlign w:val="center"/>
          </w:tcPr>
          <w:p w14:paraId="3AE89630">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208.01</w:t>
            </w:r>
          </w:p>
        </w:tc>
        <w:tc>
          <w:tcPr>
            <w:tcW w:w="744" w:type="pct"/>
            <w:tcBorders>
              <w:tl2br w:val="nil"/>
              <w:tr2bl w:val="nil"/>
            </w:tcBorders>
            <w:shd w:val="clear" w:color="auto" w:fill="auto"/>
            <w:noWrap/>
            <w:vAlign w:val="center"/>
          </w:tcPr>
          <w:p w14:paraId="07C13D38">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127.23</w:t>
            </w:r>
          </w:p>
        </w:tc>
        <w:tc>
          <w:tcPr>
            <w:tcW w:w="636" w:type="pct"/>
            <w:tcBorders>
              <w:tl2br w:val="nil"/>
              <w:tr2bl w:val="nil"/>
            </w:tcBorders>
            <w:shd w:val="clear" w:color="auto" w:fill="auto"/>
            <w:noWrap/>
            <w:vAlign w:val="center"/>
          </w:tcPr>
          <w:p w14:paraId="359C8AD9">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1,952.28</w:t>
            </w:r>
          </w:p>
        </w:tc>
        <w:tc>
          <w:tcPr>
            <w:tcW w:w="823" w:type="pct"/>
            <w:tcBorders>
              <w:tl2br w:val="nil"/>
              <w:tr2bl w:val="nil"/>
            </w:tcBorders>
            <w:shd w:val="clear" w:color="auto" w:fill="auto"/>
            <w:noWrap/>
            <w:vAlign w:val="center"/>
          </w:tcPr>
          <w:p w14:paraId="36EC8867">
            <w:pPr>
              <w:widowControl/>
              <w:adjustRightInd/>
              <w:snapToGrid/>
              <w:spacing w:line="240" w:lineRule="auto"/>
              <w:ind w:firstLine="0" w:firstLineChars="0"/>
              <w:jc w:val="right"/>
              <w:textAlignment w:val="center"/>
              <w:rPr>
                <w:rFonts w:hint="default" w:ascii="Times New Roman" w:hAnsi="Times New Roman" w:eastAsia="宋体" w:cs="Times New Roman"/>
                <w:b/>
                <w:bCs/>
                <w:color w:val="000000"/>
                <w:kern w:val="0"/>
                <w:sz w:val="21"/>
                <w:szCs w:val="21"/>
                <w:lang w:val="en-US" w:eastAsia="zh-CN" w:bidi="ar"/>
                <w14:ligatures w14:val="none"/>
              </w:rPr>
            </w:pPr>
            <w:r>
              <w:rPr>
                <w:rFonts w:hint="default" w:ascii="Times New Roman" w:hAnsi="Times New Roman" w:eastAsia="宋体" w:cs="Times New Roman"/>
                <w:b/>
                <w:bCs/>
                <w:color w:val="000000"/>
                <w:kern w:val="0"/>
                <w:sz w:val="21"/>
                <w:szCs w:val="21"/>
                <w:lang w:val="en-US" w:eastAsia="zh-CN" w:bidi="ar"/>
                <w14:ligatures w14:val="none"/>
              </w:rPr>
              <w:t>271.31</w:t>
            </w:r>
          </w:p>
        </w:tc>
      </w:tr>
    </w:tbl>
    <w:p w14:paraId="2766524E">
      <w:pPr>
        <w:pStyle w:val="67"/>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ind w:left="420" w:leftChars="0"/>
        <w:rPr>
          <w:rFonts w:hint="default" w:ascii="Times New Roman" w:hAnsi="Times New Roman" w:eastAsia="宋体" w:cs="Times New Roman"/>
        </w:rPr>
      </w:pPr>
    </w:p>
    <w:p w14:paraId="0440E0E8">
      <w:pPr>
        <w:pStyle w:val="67"/>
        <w:pageBreakBefore w:val="0"/>
        <w:widowControl w:val="0"/>
        <w:numPr>
          <w:ilvl w:val="0"/>
          <w:numId w:val="1"/>
        </w:numPr>
        <w:kinsoku/>
        <w:wordWrap/>
        <w:overflowPunct/>
        <w:topLinePunct w:val="0"/>
        <w:autoSpaceDE/>
        <w:autoSpaceDN/>
        <w:bidi w:val="0"/>
        <w:adjustRightInd w:val="0"/>
        <w:snapToGrid w:val="0"/>
        <w:spacing w:before="0" w:beforeLines="0" w:after="0" w:afterLines="0" w:line="360" w:lineRule="auto"/>
        <w:ind w:left="0" w:leftChars="0" w:firstLine="420" w:firstLineChars="0"/>
        <w:rPr>
          <w:rFonts w:hint="default" w:ascii="Times New Roman" w:hAnsi="Times New Roman" w:eastAsia="宋体" w:cs="Times New Roman"/>
        </w:rPr>
      </w:pPr>
      <w:bookmarkStart w:id="10" w:name="_Toc14581"/>
      <w:r>
        <w:rPr>
          <w:rFonts w:hint="default" w:ascii="Times New Roman" w:hAnsi="Times New Roman" w:eastAsia="宋体" w:cs="Times New Roman"/>
        </w:rPr>
        <w:t>利润表明细情况</w:t>
      </w:r>
      <w:bookmarkEnd w:id="10"/>
    </w:p>
    <w:p w14:paraId="4C67227D">
      <w:pPr>
        <w:pStyle w:val="68"/>
        <w:keepNext/>
        <w:keepLines/>
        <w:pageBreakBefore w:val="0"/>
        <w:widowControl w:val="0"/>
        <w:numPr>
          <w:ilvl w:val="0"/>
          <w:numId w:val="4"/>
        </w:numPr>
        <w:kinsoku/>
        <w:wordWrap/>
        <w:overflowPunct/>
        <w:topLinePunct w:val="0"/>
        <w:autoSpaceDE/>
        <w:autoSpaceDN/>
        <w:bidi w:val="0"/>
        <w:adjustRightInd w:val="0"/>
        <w:snapToGrid w:val="0"/>
        <w:spacing w:before="0" w:beforeLines="0" w:after="0" w:afterLines="0"/>
        <w:ind w:left="0" w:leftChars="0" w:firstLine="482" w:firstLineChars="200"/>
        <w:textAlignment w:val="auto"/>
        <w:rPr>
          <w:rFonts w:hint="default" w:ascii="Times New Roman" w:hAnsi="Times New Roman" w:eastAsia="宋体" w:cs="Times New Roman"/>
        </w:rPr>
      </w:pPr>
      <w:bookmarkStart w:id="11" w:name="_Toc10689"/>
      <w:r>
        <w:rPr>
          <w:rFonts w:hint="default" w:ascii="Times New Roman" w:hAnsi="Times New Roman" w:eastAsia="宋体" w:cs="Times New Roman"/>
        </w:rPr>
        <w:t>销售收入及毛利率情况</w:t>
      </w:r>
      <w:bookmarkEnd w:id="11"/>
    </w:p>
    <w:p w14:paraId="3437425B">
      <w:pPr>
        <w:pStyle w:val="69"/>
        <w:pageBreakBefore w:val="0"/>
        <w:widowControl w:val="0"/>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r>
        <w:rPr>
          <w:rFonts w:hint="default" w:ascii="Times New Roman" w:hAnsi="Times New Roman" w:eastAsia="宋体" w:cs="Times New Roman"/>
        </w:rPr>
        <w:t>1、分产品收入构成情况</w:t>
      </w:r>
    </w:p>
    <w:tbl>
      <w:tblPr>
        <w:tblStyle w:val="35"/>
        <w:tblW w:w="46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4"/>
        <w:gridCol w:w="1058"/>
        <w:gridCol w:w="1060"/>
        <w:gridCol w:w="1058"/>
        <w:gridCol w:w="1060"/>
        <w:gridCol w:w="1058"/>
        <w:gridCol w:w="1060"/>
      </w:tblGrid>
      <w:tr w14:paraId="33C170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8" w:hRule="atLeast"/>
          <w:tblHeader/>
          <w:jc w:val="center"/>
        </w:trPr>
        <w:tc>
          <w:tcPr>
            <w:tcW w:w="956" w:type="pct"/>
            <w:vMerge w:val="restart"/>
            <w:tcBorders>
              <w:tl2br w:val="nil"/>
              <w:tr2bl w:val="nil"/>
            </w:tcBorders>
            <w:shd w:val="clear" w:color="auto" w:fill="auto"/>
            <w:noWrap/>
            <w:vAlign w:val="center"/>
          </w:tcPr>
          <w:p w14:paraId="6673297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iCs/>
                <w:color w:val="000000" w:themeColor="text1"/>
                <w:sz w:val="21"/>
                <w:szCs w:val="21"/>
                <w:u w:val="none"/>
                <w14:textFill>
                  <w14:solidFill>
                    <w14:schemeClr w14:val="tx1"/>
                  </w14:solidFill>
                </w14:textFill>
              </w:rPr>
            </w:pPr>
            <w:r>
              <w:rPr>
                <w:rFonts w:hint="default" w:ascii="Times New Roman" w:hAnsi="Times New Roman" w:eastAsia="宋体" w:cs="Times New Roman"/>
                <w:b/>
                <w:bCs/>
                <w:i/>
                <w:iCs/>
                <w:color w:val="000000" w:themeColor="text1"/>
                <w:kern w:val="0"/>
                <w:sz w:val="21"/>
                <w:szCs w:val="21"/>
                <w:u w:val="none"/>
                <w:lang w:val="en-US" w:eastAsia="zh-CN" w:bidi="ar"/>
                <w14:textFill>
                  <w14:solidFill>
                    <w14:schemeClr w14:val="tx1"/>
                  </w14:solidFill>
                </w14:textFill>
                <w14:ligatures w14:val="none"/>
              </w:rPr>
              <w:t>人民币</w:t>
            </w:r>
            <w:r>
              <w:rPr>
                <w:rFonts w:hint="default" w:ascii="Times New Roman" w:hAnsi="Times New Roman" w:cs="Times New Roman"/>
                <w:b/>
                <w:bCs/>
                <w:i/>
                <w:iCs/>
                <w:color w:val="000000" w:themeColor="text1"/>
                <w:kern w:val="0"/>
                <w:sz w:val="21"/>
                <w:szCs w:val="21"/>
                <w:u w:val="none"/>
                <w:lang w:val="en-US" w:eastAsia="zh-CN" w:bidi="ar"/>
                <w14:textFill>
                  <w14:solidFill>
                    <w14:schemeClr w14:val="tx1"/>
                  </w14:solidFill>
                </w14:textFill>
                <w14:ligatures w14:val="none"/>
              </w:rPr>
              <w:t>万</w:t>
            </w:r>
            <w:r>
              <w:rPr>
                <w:rFonts w:hint="default" w:ascii="Times New Roman" w:hAnsi="Times New Roman" w:eastAsia="宋体" w:cs="Times New Roman"/>
                <w:b/>
                <w:bCs/>
                <w:i/>
                <w:iCs/>
                <w:color w:val="000000" w:themeColor="text1"/>
                <w:kern w:val="0"/>
                <w:sz w:val="21"/>
                <w:szCs w:val="21"/>
                <w:u w:val="none"/>
                <w:lang w:val="en-US" w:eastAsia="zh-CN" w:bidi="ar"/>
                <w14:textFill>
                  <w14:solidFill>
                    <w14:schemeClr w14:val="tx1"/>
                  </w14:solidFill>
                </w14:textFill>
                <w14:ligatures w14:val="none"/>
              </w:rPr>
              <w:t>元</w:t>
            </w:r>
          </w:p>
        </w:tc>
        <w:tc>
          <w:tcPr>
            <w:tcW w:w="1347" w:type="pct"/>
            <w:gridSpan w:val="2"/>
            <w:tcBorders>
              <w:tl2br w:val="nil"/>
              <w:tr2bl w:val="nil"/>
            </w:tcBorders>
            <w:shd w:val="clear" w:color="auto" w:fill="auto"/>
            <w:vAlign w:val="center"/>
          </w:tcPr>
          <w:p w14:paraId="5061FF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pPr>
            <w:r>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t>202</w:t>
            </w: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2</w:t>
            </w:r>
            <w:r>
              <w:rPr>
                <w:rStyle w:val="91"/>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t>年度</w:t>
            </w:r>
          </w:p>
        </w:tc>
        <w:tc>
          <w:tcPr>
            <w:tcW w:w="1347" w:type="pct"/>
            <w:gridSpan w:val="2"/>
            <w:tcBorders>
              <w:tl2br w:val="nil"/>
              <w:tr2bl w:val="nil"/>
            </w:tcBorders>
            <w:shd w:val="clear" w:color="auto" w:fill="auto"/>
            <w:vAlign w:val="center"/>
          </w:tcPr>
          <w:p w14:paraId="2A2CD24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pPr>
            <w:r>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t>202</w:t>
            </w: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3</w:t>
            </w:r>
            <w:r>
              <w:rPr>
                <w:rStyle w:val="91"/>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t>年度</w:t>
            </w:r>
          </w:p>
        </w:tc>
        <w:tc>
          <w:tcPr>
            <w:tcW w:w="1347" w:type="pct"/>
            <w:gridSpan w:val="2"/>
            <w:tcBorders>
              <w:tl2br w:val="nil"/>
              <w:tr2bl w:val="nil"/>
            </w:tcBorders>
            <w:shd w:val="clear" w:color="auto" w:fill="auto"/>
            <w:vAlign w:val="center"/>
          </w:tcPr>
          <w:p w14:paraId="762239A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t>202</w:t>
            </w:r>
            <w:r>
              <w:rPr>
                <w:rFonts w:hint="default" w:ascii="Times New Roman" w:hAnsi="Times New Roman" w:cs="Times New Roman"/>
                <w:b/>
                <w:bCs/>
                <w:i w:val="0"/>
                <w:iCs w:val="0"/>
                <w:color w:val="000000" w:themeColor="text1"/>
                <w:kern w:val="0"/>
                <w:sz w:val="21"/>
                <w:szCs w:val="21"/>
                <w:u w:val="none"/>
                <w:lang w:val="en-US" w:eastAsia="zh-CN" w:bidi="ar"/>
                <w14:textFill>
                  <w14:solidFill>
                    <w14:schemeClr w14:val="tx1"/>
                  </w14:solidFill>
                </w14:textFill>
                <w14:ligatures w14:val="none"/>
              </w:rPr>
              <w:t>4</w:t>
            </w:r>
            <w:r>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t>年度</w:t>
            </w:r>
          </w:p>
        </w:tc>
      </w:tr>
      <w:tr w14:paraId="3D7CBF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9" w:hRule="atLeast"/>
          <w:tblHeader/>
          <w:jc w:val="center"/>
        </w:trPr>
        <w:tc>
          <w:tcPr>
            <w:tcW w:w="956" w:type="pct"/>
            <w:vMerge w:val="continue"/>
            <w:tcBorders>
              <w:tl2br w:val="nil"/>
              <w:tr2bl w:val="nil"/>
            </w:tcBorders>
            <w:shd w:val="clear" w:color="auto" w:fill="auto"/>
            <w:noWrap/>
            <w:vAlign w:val="center"/>
          </w:tcPr>
          <w:p w14:paraId="4AAD236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iCs/>
                <w:color w:val="000000" w:themeColor="text1"/>
                <w:kern w:val="0"/>
                <w:sz w:val="21"/>
                <w:szCs w:val="21"/>
                <w:u w:val="none"/>
                <w:lang w:val="en-US" w:eastAsia="zh-CN" w:bidi="ar"/>
                <w14:textFill>
                  <w14:solidFill>
                    <w14:schemeClr w14:val="tx1"/>
                  </w14:solidFill>
                </w14:textFill>
                <w14:ligatures w14:val="none"/>
              </w:rPr>
            </w:pPr>
          </w:p>
        </w:tc>
        <w:tc>
          <w:tcPr>
            <w:tcW w:w="673" w:type="pct"/>
            <w:tcBorders>
              <w:tl2br w:val="nil"/>
              <w:tr2bl w:val="nil"/>
            </w:tcBorders>
            <w:shd w:val="clear" w:color="auto" w:fill="auto"/>
            <w:vAlign w:val="center"/>
          </w:tcPr>
          <w:p w14:paraId="569A019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pP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金额</w:t>
            </w:r>
          </w:p>
        </w:tc>
        <w:tc>
          <w:tcPr>
            <w:tcW w:w="674" w:type="pct"/>
            <w:tcBorders>
              <w:tl2br w:val="nil"/>
              <w:tr2bl w:val="nil"/>
            </w:tcBorders>
            <w:shd w:val="clear" w:color="auto" w:fill="auto"/>
            <w:vAlign w:val="center"/>
          </w:tcPr>
          <w:p w14:paraId="513BB20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pP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占比</w:t>
            </w:r>
          </w:p>
        </w:tc>
        <w:tc>
          <w:tcPr>
            <w:tcW w:w="673" w:type="pct"/>
            <w:tcBorders>
              <w:tl2br w:val="nil"/>
              <w:tr2bl w:val="nil"/>
            </w:tcBorders>
            <w:shd w:val="clear" w:color="auto" w:fill="auto"/>
            <w:vAlign w:val="center"/>
          </w:tcPr>
          <w:p w14:paraId="0EF5BF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pP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金额</w:t>
            </w:r>
          </w:p>
        </w:tc>
        <w:tc>
          <w:tcPr>
            <w:tcW w:w="674" w:type="pct"/>
            <w:tcBorders>
              <w:tl2br w:val="nil"/>
              <w:tr2bl w:val="nil"/>
            </w:tcBorders>
            <w:shd w:val="clear" w:color="auto" w:fill="auto"/>
            <w:vAlign w:val="center"/>
          </w:tcPr>
          <w:p w14:paraId="6F8B4E7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Style w:val="90"/>
                <w:rFonts w:hint="default" w:ascii="Times New Roman" w:hAnsi="Times New Roman" w:eastAsia="宋体" w:cs="Times New Roman"/>
                <w:b/>
                <w:bCs/>
                <w:color w:val="000000" w:themeColor="text1"/>
                <w:sz w:val="21"/>
                <w:szCs w:val="21"/>
                <w:lang w:val="en-US" w:eastAsia="zh-CN" w:bidi="ar"/>
                <w14:textFill>
                  <w14:solidFill>
                    <w14:schemeClr w14:val="tx1"/>
                  </w14:solidFill>
                </w14:textFill>
              </w:rPr>
            </w:pP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占比</w:t>
            </w:r>
          </w:p>
        </w:tc>
        <w:tc>
          <w:tcPr>
            <w:tcW w:w="673" w:type="pct"/>
            <w:tcBorders>
              <w:tl2br w:val="nil"/>
              <w:tr2bl w:val="nil"/>
            </w:tcBorders>
            <w:shd w:val="clear" w:color="auto" w:fill="auto"/>
            <w:vAlign w:val="center"/>
          </w:tcPr>
          <w:p w14:paraId="46FBDE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pP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金额</w:t>
            </w:r>
          </w:p>
        </w:tc>
        <w:tc>
          <w:tcPr>
            <w:tcW w:w="674" w:type="pct"/>
            <w:tcBorders>
              <w:tl2br w:val="nil"/>
              <w:tr2bl w:val="nil"/>
            </w:tcBorders>
            <w:shd w:val="clear" w:color="auto" w:fill="auto"/>
            <w:vAlign w:val="center"/>
          </w:tcPr>
          <w:p w14:paraId="1BD4D4D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pPr>
            <w:r>
              <w:rPr>
                <w:rStyle w:val="90"/>
                <w:rFonts w:hint="default" w:ascii="Times New Roman" w:hAnsi="Times New Roman" w:cs="Times New Roman"/>
                <w:b/>
                <w:bCs/>
                <w:color w:val="000000" w:themeColor="text1"/>
                <w:sz w:val="21"/>
                <w:szCs w:val="21"/>
                <w:lang w:val="en-US" w:eastAsia="zh-CN" w:bidi="ar"/>
                <w14:textFill>
                  <w14:solidFill>
                    <w14:schemeClr w14:val="tx1"/>
                  </w14:solidFill>
                </w14:textFill>
              </w:rPr>
              <w:t>占比</w:t>
            </w:r>
          </w:p>
        </w:tc>
      </w:tr>
      <w:tr w14:paraId="2BDA9AD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34" w:hRule="atLeast"/>
          <w:jc w:val="center"/>
        </w:trPr>
        <w:tc>
          <w:tcPr>
            <w:tcW w:w="956" w:type="pct"/>
            <w:tcBorders>
              <w:tl2br w:val="nil"/>
              <w:tr2bl w:val="nil"/>
            </w:tcBorders>
            <w:shd w:val="clear" w:color="auto" w:fill="auto"/>
            <w:noWrap/>
            <w:vAlign w:val="center"/>
          </w:tcPr>
          <w:p w14:paraId="3FB94DD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碳14放射性标记服务等</w:t>
            </w:r>
          </w:p>
        </w:tc>
        <w:tc>
          <w:tcPr>
            <w:tcW w:w="673" w:type="pct"/>
            <w:tcBorders>
              <w:tl2br w:val="nil"/>
              <w:tr2bl w:val="nil"/>
            </w:tcBorders>
            <w:shd w:val="clear" w:color="auto" w:fill="auto"/>
            <w:noWrap/>
            <w:vAlign w:val="center"/>
          </w:tcPr>
          <w:p w14:paraId="1C74017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2,879.06 </w:t>
            </w:r>
          </w:p>
        </w:tc>
        <w:tc>
          <w:tcPr>
            <w:tcW w:w="674" w:type="pct"/>
            <w:tcBorders>
              <w:tl2br w:val="nil"/>
              <w:tr2bl w:val="nil"/>
            </w:tcBorders>
            <w:shd w:val="clear" w:color="auto" w:fill="auto"/>
            <w:noWrap/>
            <w:vAlign w:val="center"/>
          </w:tcPr>
          <w:p w14:paraId="26385B5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99.98%</w:t>
            </w:r>
          </w:p>
        </w:tc>
        <w:tc>
          <w:tcPr>
            <w:tcW w:w="673" w:type="pct"/>
            <w:tcBorders>
              <w:tl2br w:val="nil"/>
              <w:tr2bl w:val="nil"/>
            </w:tcBorders>
            <w:shd w:val="clear" w:color="auto" w:fill="auto"/>
            <w:noWrap/>
            <w:vAlign w:val="center"/>
          </w:tcPr>
          <w:p w14:paraId="4E3662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3,015.51 </w:t>
            </w:r>
          </w:p>
        </w:tc>
        <w:tc>
          <w:tcPr>
            <w:tcW w:w="674" w:type="pct"/>
            <w:tcBorders>
              <w:tl2br w:val="nil"/>
              <w:tr2bl w:val="nil"/>
            </w:tcBorders>
            <w:shd w:val="clear" w:color="auto" w:fill="auto"/>
            <w:noWrap/>
            <w:vAlign w:val="center"/>
          </w:tcPr>
          <w:p w14:paraId="3D9DCB0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99.92%</w:t>
            </w:r>
          </w:p>
        </w:tc>
        <w:tc>
          <w:tcPr>
            <w:tcW w:w="673" w:type="pct"/>
            <w:tcBorders>
              <w:tl2br w:val="nil"/>
              <w:tr2bl w:val="nil"/>
            </w:tcBorders>
            <w:shd w:val="clear" w:color="auto" w:fill="auto"/>
            <w:noWrap/>
            <w:vAlign w:val="center"/>
          </w:tcPr>
          <w:p w14:paraId="200CCD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2,472.30 </w:t>
            </w:r>
          </w:p>
        </w:tc>
        <w:tc>
          <w:tcPr>
            <w:tcW w:w="674" w:type="pct"/>
            <w:tcBorders>
              <w:tl2br w:val="nil"/>
              <w:tr2bl w:val="nil"/>
            </w:tcBorders>
            <w:shd w:val="clear" w:color="auto" w:fill="auto"/>
            <w:noWrap/>
            <w:vAlign w:val="center"/>
          </w:tcPr>
          <w:p w14:paraId="1AE348E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99.91%</w:t>
            </w:r>
          </w:p>
        </w:tc>
      </w:tr>
      <w:tr w14:paraId="745C45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9" w:hRule="atLeast"/>
          <w:jc w:val="center"/>
        </w:trPr>
        <w:tc>
          <w:tcPr>
            <w:tcW w:w="956" w:type="pct"/>
            <w:tcBorders>
              <w:tl2br w:val="nil"/>
              <w:tr2bl w:val="nil"/>
            </w:tcBorders>
            <w:shd w:val="clear" w:color="auto" w:fill="auto"/>
            <w:vAlign w:val="center"/>
          </w:tcPr>
          <w:p w14:paraId="7AF3108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样品检测</w:t>
            </w:r>
          </w:p>
        </w:tc>
        <w:tc>
          <w:tcPr>
            <w:tcW w:w="673" w:type="pct"/>
            <w:tcBorders>
              <w:tl2br w:val="nil"/>
              <w:tr2bl w:val="nil"/>
            </w:tcBorders>
            <w:shd w:val="clear" w:color="auto" w:fill="auto"/>
            <w:noWrap/>
            <w:vAlign w:val="center"/>
          </w:tcPr>
          <w:p w14:paraId="4B1458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0.71 </w:t>
            </w:r>
          </w:p>
        </w:tc>
        <w:tc>
          <w:tcPr>
            <w:tcW w:w="674" w:type="pct"/>
            <w:tcBorders>
              <w:tl2br w:val="nil"/>
              <w:tr2bl w:val="nil"/>
            </w:tcBorders>
            <w:shd w:val="clear" w:color="auto" w:fill="auto"/>
            <w:noWrap/>
            <w:vAlign w:val="center"/>
          </w:tcPr>
          <w:p w14:paraId="2744E81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0.02%</w:t>
            </w:r>
          </w:p>
        </w:tc>
        <w:tc>
          <w:tcPr>
            <w:tcW w:w="673" w:type="pct"/>
            <w:tcBorders>
              <w:tl2br w:val="nil"/>
              <w:tr2bl w:val="nil"/>
            </w:tcBorders>
            <w:shd w:val="clear" w:color="auto" w:fill="auto"/>
            <w:noWrap/>
            <w:vAlign w:val="center"/>
          </w:tcPr>
          <w:p w14:paraId="08C4AF7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2.55 </w:t>
            </w:r>
          </w:p>
        </w:tc>
        <w:tc>
          <w:tcPr>
            <w:tcW w:w="674" w:type="pct"/>
            <w:tcBorders>
              <w:tl2br w:val="nil"/>
              <w:tr2bl w:val="nil"/>
            </w:tcBorders>
            <w:shd w:val="clear" w:color="auto" w:fill="auto"/>
            <w:noWrap/>
            <w:vAlign w:val="center"/>
          </w:tcPr>
          <w:p w14:paraId="042524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0.08%</w:t>
            </w:r>
          </w:p>
        </w:tc>
        <w:tc>
          <w:tcPr>
            <w:tcW w:w="673" w:type="pct"/>
            <w:tcBorders>
              <w:tl2br w:val="nil"/>
              <w:tr2bl w:val="nil"/>
            </w:tcBorders>
            <w:shd w:val="clear" w:color="auto" w:fill="auto"/>
            <w:noWrap/>
            <w:vAlign w:val="center"/>
          </w:tcPr>
          <w:p w14:paraId="77B7C6A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2.29 </w:t>
            </w:r>
          </w:p>
        </w:tc>
        <w:tc>
          <w:tcPr>
            <w:tcW w:w="674" w:type="pct"/>
            <w:tcBorders>
              <w:tl2br w:val="nil"/>
              <w:tr2bl w:val="nil"/>
            </w:tcBorders>
            <w:shd w:val="clear" w:color="auto" w:fill="auto"/>
            <w:noWrap/>
            <w:vAlign w:val="center"/>
          </w:tcPr>
          <w:p w14:paraId="3BA44C9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0.09%</w:t>
            </w:r>
          </w:p>
        </w:tc>
      </w:tr>
      <w:tr w14:paraId="0FB3CBF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00" w:hRule="atLeast"/>
          <w:jc w:val="center"/>
        </w:trPr>
        <w:tc>
          <w:tcPr>
            <w:tcW w:w="956" w:type="pct"/>
            <w:tcBorders>
              <w:tl2br w:val="nil"/>
              <w:tr2bl w:val="nil"/>
            </w:tcBorders>
            <w:shd w:val="clear" w:color="auto" w:fill="auto"/>
            <w:vAlign w:val="center"/>
          </w:tcPr>
          <w:p w14:paraId="72659B5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000000" w:themeColor="text1"/>
                <w:sz w:val="21"/>
                <w:szCs w:val="21"/>
                <w:u w:val="none"/>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t>总计</w:t>
            </w:r>
          </w:p>
        </w:tc>
        <w:tc>
          <w:tcPr>
            <w:tcW w:w="673" w:type="pct"/>
            <w:tcBorders>
              <w:tl2br w:val="nil"/>
              <w:tr2bl w:val="nil"/>
            </w:tcBorders>
            <w:shd w:val="clear" w:color="auto" w:fill="auto"/>
            <w:noWrap/>
            <w:vAlign w:val="center"/>
          </w:tcPr>
          <w:p w14:paraId="7006A32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2,879.78 </w:t>
            </w:r>
          </w:p>
        </w:tc>
        <w:tc>
          <w:tcPr>
            <w:tcW w:w="674" w:type="pct"/>
            <w:tcBorders>
              <w:tl2br w:val="nil"/>
              <w:tr2bl w:val="nil"/>
            </w:tcBorders>
            <w:shd w:val="clear" w:color="auto" w:fill="auto"/>
            <w:noWrap/>
            <w:vAlign w:val="center"/>
          </w:tcPr>
          <w:p w14:paraId="0499317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100.00%</w:t>
            </w:r>
          </w:p>
        </w:tc>
        <w:tc>
          <w:tcPr>
            <w:tcW w:w="673" w:type="pct"/>
            <w:tcBorders>
              <w:tl2br w:val="nil"/>
              <w:tr2bl w:val="nil"/>
            </w:tcBorders>
            <w:shd w:val="clear" w:color="auto" w:fill="auto"/>
            <w:noWrap/>
            <w:vAlign w:val="center"/>
          </w:tcPr>
          <w:p w14:paraId="17A4E5D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3,018.06 </w:t>
            </w:r>
          </w:p>
        </w:tc>
        <w:tc>
          <w:tcPr>
            <w:tcW w:w="674" w:type="pct"/>
            <w:tcBorders>
              <w:tl2br w:val="nil"/>
              <w:tr2bl w:val="nil"/>
            </w:tcBorders>
            <w:shd w:val="clear" w:color="auto" w:fill="auto"/>
            <w:noWrap/>
            <w:vAlign w:val="center"/>
          </w:tcPr>
          <w:p w14:paraId="1D5389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100.00%</w:t>
            </w:r>
          </w:p>
        </w:tc>
        <w:tc>
          <w:tcPr>
            <w:tcW w:w="673" w:type="pct"/>
            <w:tcBorders>
              <w:tl2br w:val="nil"/>
              <w:tr2bl w:val="nil"/>
            </w:tcBorders>
            <w:shd w:val="clear" w:color="auto" w:fill="auto"/>
            <w:noWrap/>
            <w:vAlign w:val="center"/>
          </w:tcPr>
          <w:p w14:paraId="16D0AB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 xml:space="preserve"> 2,474.60 </w:t>
            </w:r>
          </w:p>
        </w:tc>
        <w:tc>
          <w:tcPr>
            <w:tcW w:w="674" w:type="pct"/>
            <w:tcBorders>
              <w:tl2br w:val="nil"/>
              <w:tr2bl w:val="nil"/>
            </w:tcBorders>
            <w:shd w:val="clear" w:color="auto" w:fill="auto"/>
            <w:noWrap/>
            <w:vAlign w:val="center"/>
          </w:tcPr>
          <w:p w14:paraId="20EE2DC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b w:val="0"/>
                <w:bCs w:val="0"/>
                <w:i w:val="0"/>
                <w:iCs w:val="0"/>
                <w:color w:val="000000" w:themeColor="text1"/>
                <w:kern w:val="0"/>
                <w:sz w:val="21"/>
                <w:szCs w:val="21"/>
                <w:u w:val="none"/>
                <w:lang w:val="en-US" w:eastAsia="zh-CN" w:bidi="ar"/>
                <w14:textFill>
                  <w14:solidFill>
                    <w14:schemeClr w14:val="tx1"/>
                  </w14:solidFill>
                </w14:textFill>
                <w14:ligatures w14:val="none"/>
              </w:rPr>
              <w:t>100.00%</w:t>
            </w:r>
          </w:p>
        </w:tc>
      </w:tr>
    </w:tbl>
    <w:p w14:paraId="397DFC09">
      <w:pPr>
        <w:pStyle w:val="69"/>
        <w:pageBreakBefore w:val="0"/>
        <w:widowControl w:val="0"/>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r>
        <w:rPr>
          <w:rFonts w:hint="default" w:ascii="Times New Roman" w:hAnsi="Times New Roman" w:cs="Times New Roman"/>
          <w:lang w:val="en-US" w:eastAsia="zh-CN"/>
        </w:rPr>
        <w:t>2、</w:t>
      </w:r>
      <w:r>
        <w:rPr>
          <w:rFonts w:hint="default" w:ascii="Times New Roman" w:hAnsi="Times New Roman" w:eastAsia="宋体" w:cs="Times New Roman"/>
        </w:rPr>
        <w:t>分产品毛利率构成情况</w:t>
      </w:r>
    </w:p>
    <w:p w14:paraId="2CA12376">
      <w:pPr>
        <w:pStyle w:val="33"/>
        <w:pageBreakBefore w:val="0"/>
        <w:widowControl w:val="0"/>
        <w:kinsoku/>
        <w:wordWrap/>
        <w:overflowPunct/>
        <w:topLinePunct w:val="0"/>
        <w:autoSpaceDE/>
        <w:autoSpaceDN/>
        <w:bidi w:val="0"/>
        <w:adjustRightInd w:val="0"/>
        <w:snapToGrid w:val="0"/>
        <w:spacing w:before="0" w:beforeLines="0" w:after="0" w:afterLines="0"/>
        <w:ind w:firstLine="480"/>
        <w:textAlignment w:val="auto"/>
        <w:rPr>
          <w:rFonts w:hint="default" w:ascii="Times New Roman" w:hAnsi="Times New Roman" w:cs="Times New Roman"/>
        </w:rPr>
      </w:pPr>
      <w:r>
        <w:rPr>
          <w:rFonts w:hint="default" w:ascii="Times New Roman" w:hAnsi="Times New Roman" w:cs="Times New Roman"/>
        </w:rPr>
        <w:t>标的公司各类产品毛利率情况如下：</w:t>
      </w:r>
    </w:p>
    <w:tbl>
      <w:tblPr>
        <w:tblStyle w:val="35"/>
        <w:tblW w:w="4003" w:type="pct"/>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autofit"/>
        <w:tblCellMar>
          <w:top w:w="0" w:type="dxa"/>
          <w:left w:w="108" w:type="dxa"/>
          <w:bottom w:w="0" w:type="dxa"/>
          <w:right w:w="108" w:type="dxa"/>
        </w:tblCellMar>
      </w:tblPr>
      <w:tblGrid>
        <w:gridCol w:w="2421"/>
        <w:gridCol w:w="1485"/>
        <w:gridCol w:w="1485"/>
        <w:gridCol w:w="1485"/>
      </w:tblGrid>
      <w:tr w14:paraId="2E5D3EE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580" w:hRule="atLeast"/>
          <w:jc w:val="center"/>
        </w:trPr>
        <w:tc>
          <w:tcPr>
            <w:tcW w:w="1775" w:type="pct"/>
            <w:tcBorders>
              <w:tl2br w:val="nil"/>
              <w:tr2bl w:val="nil"/>
            </w:tcBorders>
            <w:shd w:val="clear" w:color="auto" w:fill="auto"/>
            <w:noWrap/>
            <w:vAlign w:val="center"/>
          </w:tcPr>
          <w:p w14:paraId="7374A66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val="0"/>
                <w:iCs w:val="0"/>
                <w:color w:val="auto"/>
                <w:sz w:val="21"/>
                <w:szCs w:val="21"/>
                <w:u w:val="none"/>
              </w:rPr>
            </w:pPr>
          </w:p>
        </w:tc>
        <w:tc>
          <w:tcPr>
            <w:tcW w:w="1074" w:type="pct"/>
            <w:tcBorders>
              <w:tl2br w:val="nil"/>
              <w:tr2bl w:val="nil"/>
            </w:tcBorders>
            <w:shd w:val="clear" w:color="auto" w:fill="auto"/>
            <w:vAlign w:val="center"/>
          </w:tcPr>
          <w:p w14:paraId="6F51A6EB">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074" w:type="pct"/>
            <w:tcBorders>
              <w:tl2br w:val="nil"/>
              <w:tr2bl w:val="nil"/>
            </w:tcBorders>
            <w:shd w:val="clear" w:color="auto" w:fill="auto"/>
            <w:vAlign w:val="center"/>
          </w:tcPr>
          <w:p w14:paraId="4E91ACC5">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074" w:type="pct"/>
            <w:tcBorders>
              <w:tl2br w:val="nil"/>
              <w:tr2bl w:val="nil"/>
            </w:tcBorders>
            <w:shd w:val="clear" w:color="auto" w:fill="auto"/>
            <w:vAlign w:val="center"/>
          </w:tcPr>
          <w:p w14:paraId="4C9645BD">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487F661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775" w:type="pct"/>
            <w:tcBorders>
              <w:tl2br w:val="nil"/>
              <w:tr2bl w:val="nil"/>
            </w:tcBorders>
            <w:shd w:val="clear" w:color="auto" w:fill="auto"/>
            <w:noWrap/>
            <w:vAlign w:val="center"/>
          </w:tcPr>
          <w:p w14:paraId="7CBB87A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碳14放射性标记服务等</w:t>
            </w:r>
          </w:p>
        </w:tc>
        <w:tc>
          <w:tcPr>
            <w:tcW w:w="1074" w:type="pct"/>
            <w:tcBorders>
              <w:tl2br w:val="nil"/>
              <w:tr2bl w:val="nil"/>
            </w:tcBorders>
            <w:shd w:val="clear" w:color="auto" w:fill="auto"/>
            <w:noWrap/>
            <w:vAlign w:val="center"/>
          </w:tcPr>
          <w:p w14:paraId="4E583FF8">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67.07%</w:t>
            </w:r>
          </w:p>
        </w:tc>
        <w:tc>
          <w:tcPr>
            <w:tcW w:w="1074" w:type="pct"/>
            <w:tcBorders>
              <w:tl2br w:val="nil"/>
              <w:tr2bl w:val="nil"/>
            </w:tcBorders>
            <w:shd w:val="clear" w:color="auto" w:fill="auto"/>
            <w:noWrap/>
            <w:vAlign w:val="center"/>
          </w:tcPr>
          <w:p w14:paraId="66E72E67">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65.52%</w:t>
            </w:r>
          </w:p>
        </w:tc>
        <w:tc>
          <w:tcPr>
            <w:tcW w:w="1074" w:type="pct"/>
            <w:tcBorders>
              <w:tl2br w:val="nil"/>
              <w:tr2bl w:val="nil"/>
            </w:tcBorders>
            <w:shd w:val="clear" w:color="auto" w:fill="auto"/>
            <w:noWrap/>
            <w:vAlign w:val="center"/>
          </w:tcPr>
          <w:p w14:paraId="796182D1">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55.86%</w:t>
            </w:r>
          </w:p>
        </w:tc>
      </w:tr>
      <w:tr w14:paraId="4904700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775" w:type="pct"/>
            <w:tcBorders>
              <w:tl2br w:val="nil"/>
              <w:tr2bl w:val="nil"/>
            </w:tcBorders>
            <w:shd w:val="clear" w:color="auto" w:fill="auto"/>
            <w:vAlign w:val="center"/>
          </w:tcPr>
          <w:p w14:paraId="0BD56AE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样品检测</w:t>
            </w:r>
          </w:p>
        </w:tc>
        <w:tc>
          <w:tcPr>
            <w:tcW w:w="1074" w:type="pct"/>
            <w:tcBorders>
              <w:tl2br w:val="nil"/>
              <w:tr2bl w:val="nil"/>
            </w:tcBorders>
            <w:shd w:val="clear" w:color="auto" w:fill="auto"/>
            <w:noWrap/>
            <w:vAlign w:val="center"/>
          </w:tcPr>
          <w:p w14:paraId="5984E230">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100.00%</w:t>
            </w:r>
          </w:p>
        </w:tc>
        <w:tc>
          <w:tcPr>
            <w:tcW w:w="1074" w:type="pct"/>
            <w:tcBorders>
              <w:tl2br w:val="nil"/>
              <w:tr2bl w:val="nil"/>
            </w:tcBorders>
            <w:shd w:val="clear" w:color="auto" w:fill="auto"/>
            <w:noWrap/>
            <w:vAlign w:val="center"/>
          </w:tcPr>
          <w:p w14:paraId="54C91AE2">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100.00%</w:t>
            </w:r>
          </w:p>
        </w:tc>
        <w:tc>
          <w:tcPr>
            <w:tcW w:w="1074" w:type="pct"/>
            <w:tcBorders>
              <w:tl2br w:val="nil"/>
              <w:tr2bl w:val="nil"/>
            </w:tcBorders>
            <w:shd w:val="clear" w:color="auto" w:fill="auto"/>
            <w:noWrap/>
            <w:vAlign w:val="center"/>
          </w:tcPr>
          <w:p w14:paraId="5D626ADA">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100.00%</w:t>
            </w:r>
          </w:p>
        </w:tc>
      </w:tr>
      <w:tr w14:paraId="118D361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775" w:type="pct"/>
            <w:tcBorders>
              <w:tl2br w:val="nil"/>
              <w:tr2bl w:val="nil"/>
            </w:tcBorders>
            <w:shd w:val="clear" w:color="auto" w:fill="auto"/>
            <w:vAlign w:val="center"/>
          </w:tcPr>
          <w:p w14:paraId="54695F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b/>
                <w:bCs/>
                <w:i w:val="0"/>
                <w:iCs w:val="0"/>
                <w:color w:val="000000" w:themeColor="text1"/>
                <w:kern w:val="0"/>
                <w:sz w:val="21"/>
                <w:szCs w:val="21"/>
                <w:u w:val="none"/>
                <w:lang w:val="en-US" w:eastAsia="zh-CN" w:bidi="ar"/>
                <w14:textFill>
                  <w14:solidFill>
                    <w14:schemeClr w14:val="tx1"/>
                  </w14:solidFill>
                </w14:textFill>
                <w14:ligatures w14:val="none"/>
              </w:rPr>
              <w:t>总计</w:t>
            </w:r>
          </w:p>
        </w:tc>
        <w:tc>
          <w:tcPr>
            <w:tcW w:w="1074" w:type="pct"/>
            <w:tcBorders>
              <w:tl2br w:val="nil"/>
              <w:tr2bl w:val="nil"/>
            </w:tcBorders>
            <w:shd w:val="clear" w:color="auto" w:fill="auto"/>
            <w:noWrap/>
            <w:vAlign w:val="center"/>
          </w:tcPr>
          <w:p w14:paraId="0A386D22">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67.08%</w:t>
            </w:r>
          </w:p>
        </w:tc>
        <w:tc>
          <w:tcPr>
            <w:tcW w:w="1074" w:type="pct"/>
            <w:tcBorders>
              <w:tl2br w:val="nil"/>
              <w:tr2bl w:val="nil"/>
            </w:tcBorders>
            <w:shd w:val="clear" w:color="auto" w:fill="auto"/>
            <w:noWrap/>
            <w:vAlign w:val="center"/>
          </w:tcPr>
          <w:p w14:paraId="17E33B15">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65.55%</w:t>
            </w:r>
          </w:p>
        </w:tc>
        <w:tc>
          <w:tcPr>
            <w:tcW w:w="1074" w:type="pct"/>
            <w:tcBorders>
              <w:tl2br w:val="nil"/>
              <w:tr2bl w:val="nil"/>
            </w:tcBorders>
            <w:shd w:val="clear" w:color="auto" w:fill="auto"/>
            <w:noWrap/>
            <w:vAlign w:val="center"/>
          </w:tcPr>
          <w:p w14:paraId="260F3C89">
            <w:pPr>
              <w:keepNext w:val="0"/>
              <w:keepLines w:val="0"/>
              <w:widowControl/>
              <w:suppressLineNumbers w:val="0"/>
              <w:ind w:firstLine="440" w:firstLineChars="200"/>
              <w:jc w:val="righ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000000"/>
                <w:kern w:val="0"/>
                <w:sz w:val="22"/>
                <w:szCs w:val="22"/>
                <w:u w:val="none"/>
                <w:lang w:val="en-US" w:eastAsia="zh-CN" w:bidi="ar"/>
                <w14:ligatures w14:val="none"/>
              </w:rPr>
              <w:t>55.90%</w:t>
            </w:r>
          </w:p>
        </w:tc>
      </w:tr>
    </w:tbl>
    <w:p w14:paraId="6B1EE42C">
      <w:pPr>
        <w:pStyle w:val="69"/>
        <w:pageBreakBefore w:val="0"/>
        <w:widowControl w:val="0"/>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3、产品收入变动及毛利率变动分析</w:t>
      </w:r>
    </w:p>
    <w:p w14:paraId="4BAF29B8">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最近3年，公司营收呈现先增加后下滑的趋势，主要原因是自2023年下半年以来，国内创新药行业景气度下降，C14标记服务业务项目单价降低。导致整体营收下降。</w:t>
      </w:r>
    </w:p>
    <w:p w14:paraId="62F16EAF">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受此影响，公司的毛利率也从2022年的67%下降至2024年的55%。</w:t>
      </w:r>
    </w:p>
    <w:p w14:paraId="06E3D316">
      <w:pPr>
        <w:pStyle w:val="69"/>
        <w:pageBreakBefore w:val="0"/>
        <w:widowControl w:val="0"/>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4、主要客户销售情况</w:t>
      </w:r>
    </w:p>
    <w:p w14:paraId="0F2149D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rPr>
      </w:pPr>
      <w:r>
        <w:rPr>
          <w:rFonts w:hint="default" w:ascii="Times New Roman" w:hAnsi="Times New Roman" w:cs="Times New Roman"/>
        </w:rPr>
        <w:t>标的公司主要客户情况如下：</w:t>
      </w:r>
    </w:p>
    <w:tbl>
      <w:tblPr>
        <w:tblStyle w:val="3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63"/>
        <w:gridCol w:w="2062"/>
        <w:gridCol w:w="951"/>
        <w:gridCol w:w="951"/>
        <w:gridCol w:w="951"/>
        <w:gridCol w:w="1039"/>
      </w:tblGrid>
      <w:tr w14:paraId="26E9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3A624C7">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客户</w:t>
            </w:r>
          </w:p>
        </w:tc>
        <w:tc>
          <w:tcPr>
            <w:tcW w:w="0" w:type="auto"/>
            <w:tcBorders>
              <w:top w:val="single" w:color="000000" w:sz="8" w:space="0"/>
              <w:left w:val="nil"/>
              <w:bottom w:val="single" w:color="000000" w:sz="8" w:space="0"/>
              <w:right w:val="single" w:color="000000" w:sz="8" w:space="0"/>
            </w:tcBorders>
            <w:shd w:val="clear" w:color="auto" w:fill="auto"/>
            <w:vAlign w:val="center"/>
          </w:tcPr>
          <w:p w14:paraId="6EAFEF57">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销售品名</w:t>
            </w:r>
          </w:p>
        </w:tc>
        <w:tc>
          <w:tcPr>
            <w:tcW w:w="0" w:type="auto"/>
            <w:tcBorders>
              <w:top w:val="single" w:color="000000" w:sz="8" w:space="0"/>
              <w:left w:val="nil"/>
              <w:bottom w:val="single" w:color="000000" w:sz="8" w:space="0"/>
              <w:right w:val="single" w:color="000000" w:sz="8" w:space="0"/>
            </w:tcBorders>
            <w:shd w:val="clear" w:color="auto" w:fill="auto"/>
            <w:vAlign w:val="center"/>
          </w:tcPr>
          <w:p w14:paraId="177A78CE">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2022年</w:t>
            </w:r>
          </w:p>
        </w:tc>
        <w:tc>
          <w:tcPr>
            <w:tcW w:w="0" w:type="auto"/>
            <w:tcBorders>
              <w:top w:val="single" w:color="000000" w:sz="8" w:space="0"/>
              <w:left w:val="nil"/>
              <w:bottom w:val="single" w:color="000000" w:sz="8" w:space="0"/>
              <w:right w:val="single" w:color="000000" w:sz="8" w:space="0"/>
            </w:tcBorders>
            <w:shd w:val="clear" w:color="auto" w:fill="auto"/>
            <w:vAlign w:val="center"/>
          </w:tcPr>
          <w:p w14:paraId="4D07BDA9">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2023年</w:t>
            </w:r>
          </w:p>
        </w:tc>
        <w:tc>
          <w:tcPr>
            <w:tcW w:w="0" w:type="auto"/>
            <w:tcBorders>
              <w:top w:val="single" w:color="000000" w:sz="8" w:space="0"/>
              <w:left w:val="nil"/>
              <w:bottom w:val="single" w:color="000000" w:sz="8" w:space="0"/>
              <w:right w:val="single" w:color="000000" w:sz="8" w:space="0"/>
            </w:tcBorders>
            <w:shd w:val="clear" w:color="auto" w:fill="auto"/>
            <w:vAlign w:val="center"/>
          </w:tcPr>
          <w:p w14:paraId="6FE92498">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2024年</w:t>
            </w:r>
          </w:p>
        </w:tc>
        <w:tc>
          <w:tcPr>
            <w:tcW w:w="0" w:type="auto"/>
            <w:tcBorders>
              <w:top w:val="single" w:color="000000" w:sz="8" w:space="0"/>
              <w:left w:val="nil"/>
              <w:bottom w:val="single" w:color="000000" w:sz="8" w:space="0"/>
              <w:right w:val="single" w:color="000000" w:sz="8" w:space="0"/>
            </w:tcBorders>
            <w:shd w:val="clear" w:color="auto" w:fill="auto"/>
            <w:vAlign w:val="center"/>
          </w:tcPr>
          <w:p w14:paraId="5722B39A">
            <w:pPr>
              <w:widowControl/>
              <w:adjustRightInd/>
              <w:snapToGrid/>
              <w:spacing w:line="240" w:lineRule="auto"/>
              <w:ind w:firstLine="0" w:firstLineChars="0"/>
              <w:jc w:val="center"/>
              <w:textAlignment w:val="center"/>
              <w:rPr>
                <w:rFonts w:hint="default" w:ascii="Times New Roman" w:hAnsi="Times New Roman" w:eastAsia="宋体" w:cs="Times New Roman"/>
                <w:b/>
                <w:bCs/>
                <w:color w:val="000000"/>
                <w:spacing w:val="-6"/>
                <w:kern w:val="0"/>
                <w:sz w:val="21"/>
                <w:szCs w:val="21"/>
                <w:lang w:val="en-US" w:eastAsia="zh-CN" w:bidi="ar"/>
                <w14:ligatures w14:val="none"/>
              </w:rPr>
            </w:pPr>
            <w:r>
              <w:rPr>
                <w:rFonts w:hint="default" w:ascii="Times New Roman" w:hAnsi="Times New Roman" w:eastAsia="宋体" w:cs="Times New Roman"/>
                <w:b/>
                <w:bCs/>
                <w:color w:val="000000"/>
                <w:spacing w:val="-6"/>
                <w:kern w:val="0"/>
                <w:sz w:val="21"/>
                <w:szCs w:val="21"/>
                <w:lang w:val="en-US" w:eastAsia="zh-CN" w:bidi="ar"/>
                <w14:ligatures w14:val="none"/>
              </w:rPr>
              <w:t>2025年1-6月</w:t>
            </w:r>
          </w:p>
        </w:tc>
      </w:tr>
      <w:tr w14:paraId="58511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51AE292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苏州西山中科药物研究开发有限公司</w:t>
            </w:r>
          </w:p>
        </w:tc>
        <w:tc>
          <w:tcPr>
            <w:tcW w:w="0" w:type="auto"/>
            <w:tcBorders>
              <w:top w:val="nil"/>
              <w:left w:val="nil"/>
              <w:bottom w:val="single" w:color="000000" w:sz="8" w:space="0"/>
              <w:right w:val="single" w:color="000000" w:sz="8" w:space="0"/>
            </w:tcBorders>
            <w:shd w:val="clear" w:color="auto" w:fill="auto"/>
            <w:vAlign w:val="bottom"/>
          </w:tcPr>
          <w:p w14:paraId="5788D69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5C5447F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339.15</w:t>
            </w:r>
          </w:p>
        </w:tc>
        <w:tc>
          <w:tcPr>
            <w:tcW w:w="0" w:type="auto"/>
            <w:tcBorders>
              <w:top w:val="nil"/>
              <w:left w:val="nil"/>
              <w:bottom w:val="single" w:color="000000" w:sz="8" w:space="0"/>
              <w:right w:val="single" w:color="000000" w:sz="8" w:space="0"/>
            </w:tcBorders>
            <w:shd w:val="clear" w:color="auto" w:fill="auto"/>
            <w:vAlign w:val="center"/>
          </w:tcPr>
          <w:p w14:paraId="23838E1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557.55</w:t>
            </w:r>
          </w:p>
        </w:tc>
        <w:tc>
          <w:tcPr>
            <w:tcW w:w="0" w:type="auto"/>
            <w:tcBorders>
              <w:top w:val="nil"/>
              <w:left w:val="nil"/>
              <w:bottom w:val="single" w:color="000000" w:sz="8" w:space="0"/>
              <w:right w:val="single" w:color="000000" w:sz="8" w:space="0"/>
            </w:tcBorders>
            <w:shd w:val="clear" w:color="auto" w:fill="auto"/>
            <w:vAlign w:val="center"/>
          </w:tcPr>
          <w:p w14:paraId="369E04B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328D9C1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052A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18BA0C2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沈阳沈化院测试技术有限公司</w:t>
            </w:r>
          </w:p>
        </w:tc>
        <w:tc>
          <w:tcPr>
            <w:tcW w:w="0" w:type="auto"/>
            <w:tcBorders>
              <w:top w:val="nil"/>
              <w:left w:val="nil"/>
              <w:bottom w:val="single" w:color="000000" w:sz="8" w:space="0"/>
              <w:right w:val="single" w:color="000000" w:sz="8" w:space="0"/>
            </w:tcBorders>
            <w:shd w:val="clear" w:color="auto" w:fill="auto"/>
            <w:vAlign w:val="bottom"/>
          </w:tcPr>
          <w:p w14:paraId="17D30DF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44183AF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278.11</w:t>
            </w:r>
          </w:p>
        </w:tc>
        <w:tc>
          <w:tcPr>
            <w:tcW w:w="0" w:type="auto"/>
            <w:tcBorders>
              <w:top w:val="nil"/>
              <w:left w:val="nil"/>
              <w:bottom w:val="single" w:color="000000" w:sz="8" w:space="0"/>
              <w:right w:val="single" w:color="000000" w:sz="8" w:space="0"/>
            </w:tcBorders>
            <w:shd w:val="clear" w:color="auto" w:fill="auto"/>
            <w:vAlign w:val="center"/>
          </w:tcPr>
          <w:p w14:paraId="3430A21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191.51</w:t>
            </w:r>
          </w:p>
        </w:tc>
        <w:tc>
          <w:tcPr>
            <w:tcW w:w="0" w:type="auto"/>
            <w:tcBorders>
              <w:top w:val="nil"/>
              <w:left w:val="nil"/>
              <w:bottom w:val="single" w:color="000000" w:sz="8" w:space="0"/>
              <w:right w:val="single" w:color="000000" w:sz="8" w:space="0"/>
            </w:tcBorders>
            <w:shd w:val="clear" w:color="auto" w:fill="auto"/>
            <w:vAlign w:val="center"/>
          </w:tcPr>
          <w:p w14:paraId="1D17283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1AB332B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3C136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5C452A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同宜医药（苏州）有限公司</w:t>
            </w:r>
          </w:p>
        </w:tc>
        <w:tc>
          <w:tcPr>
            <w:tcW w:w="0" w:type="auto"/>
            <w:tcBorders>
              <w:top w:val="nil"/>
              <w:left w:val="nil"/>
              <w:bottom w:val="single" w:color="000000" w:sz="8" w:space="0"/>
              <w:right w:val="single" w:color="000000" w:sz="8" w:space="0"/>
            </w:tcBorders>
            <w:shd w:val="clear" w:color="auto" w:fill="auto"/>
            <w:vAlign w:val="bottom"/>
          </w:tcPr>
          <w:p w14:paraId="41B1995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655F85C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160.94</w:t>
            </w:r>
          </w:p>
        </w:tc>
        <w:tc>
          <w:tcPr>
            <w:tcW w:w="0" w:type="auto"/>
            <w:tcBorders>
              <w:top w:val="nil"/>
              <w:left w:val="nil"/>
              <w:bottom w:val="single" w:color="000000" w:sz="8" w:space="0"/>
              <w:right w:val="single" w:color="000000" w:sz="8" w:space="0"/>
            </w:tcBorders>
            <w:shd w:val="clear" w:color="auto" w:fill="auto"/>
            <w:vAlign w:val="center"/>
          </w:tcPr>
          <w:p w14:paraId="4B75E04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4439740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22CA86D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3DC9C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18E5824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上海药物代谢研究中心</w:t>
            </w:r>
          </w:p>
        </w:tc>
        <w:tc>
          <w:tcPr>
            <w:tcW w:w="0" w:type="auto"/>
            <w:tcBorders>
              <w:top w:val="nil"/>
              <w:left w:val="nil"/>
              <w:bottom w:val="single" w:color="000000" w:sz="8" w:space="0"/>
              <w:right w:val="single" w:color="000000" w:sz="8" w:space="0"/>
            </w:tcBorders>
            <w:shd w:val="clear" w:color="auto" w:fill="auto"/>
            <w:vAlign w:val="bottom"/>
          </w:tcPr>
          <w:p w14:paraId="5058328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3188A5E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155.47</w:t>
            </w:r>
          </w:p>
        </w:tc>
        <w:tc>
          <w:tcPr>
            <w:tcW w:w="0" w:type="auto"/>
            <w:tcBorders>
              <w:top w:val="nil"/>
              <w:left w:val="nil"/>
              <w:bottom w:val="single" w:color="000000" w:sz="8" w:space="0"/>
              <w:right w:val="single" w:color="000000" w:sz="8" w:space="0"/>
            </w:tcBorders>
            <w:shd w:val="clear" w:color="auto" w:fill="auto"/>
            <w:vAlign w:val="center"/>
          </w:tcPr>
          <w:p w14:paraId="10E6C0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139.01</w:t>
            </w:r>
          </w:p>
        </w:tc>
        <w:tc>
          <w:tcPr>
            <w:tcW w:w="0" w:type="auto"/>
            <w:tcBorders>
              <w:top w:val="nil"/>
              <w:left w:val="nil"/>
              <w:bottom w:val="single" w:color="000000" w:sz="8" w:space="0"/>
              <w:right w:val="single" w:color="000000" w:sz="8" w:space="0"/>
            </w:tcBorders>
            <w:shd w:val="clear" w:color="auto" w:fill="auto"/>
            <w:vAlign w:val="center"/>
          </w:tcPr>
          <w:p w14:paraId="0E447E7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90.09</w:t>
            </w:r>
          </w:p>
        </w:tc>
        <w:tc>
          <w:tcPr>
            <w:tcW w:w="0" w:type="auto"/>
            <w:tcBorders>
              <w:top w:val="nil"/>
              <w:left w:val="nil"/>
              <w:bottom w:val="single" w:color="000000" w:sz="8" w:space="0"/>
              <w:right w:val="single" w:color="000000" w:sz="8" w:space="0"/>
            </w:tcBorders>
            <w:shd w:val="clear" w:color="auto" w:fill="auto"/>
            <w:vAlign w:val="bottom"/>
          </w:tcPr>
          <w:p w14:paraId="77AF996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19AE2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59FDBD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江苏万略医药科技有限公司</w:t>
            </w:r>
          </w:p>
        </w:tc>
        <w:tc>
          <w:tcPr>
            <w:tcW w:w="0" w:type="auto"/>
            <w:tcBorders>
              <w:top w:val="nil"/>
              <w:left w:val="nil"/>
              <w:bottom w:val="single" w:color="000000" w:sz="8" w:space="0"/>
              <w:right w:val="single" w:color="000000" w:sz="8" w:space="0"/>
            </w:tcBorders>
            <w:shd w:val="clear" w:color="auto" w:fill="auto"/>
            <w:vAlign w:val="bottom"/>
          </w:tcPr>
          <w:p w14:paraId="426952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248B9F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119.25</w:t>
            </w:r>
          </w:p>
        </w:tc>
        <w:tc>
          <w:tcPr>
            <w:tcW w:w="0" w:type="auto"/>
            <w:tcBorders>
              <w:top w:val="nil"/>
              <w:left w:val="nil"/>
              <w:bottom w:val="single" w:color="000000" w:sz="8" w:space="0"/>
              <w:right w:val="single" w:color="000000" w:sz="8" w:space="0"/>
            </w:tcBorders>
            <w:shd w:val="clear" w:color="auto" w:fill="auto"/>
            <w:vAlign w:val="center"/>
          </w:tcPr>
          <w:p w14:paraId="449D6F2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p>
        </w:tc>
        <w:tc>
          <w:tcPr>
            <w:tcW w:w="0" w:type="auto"/>
            <w:tcBorders>
              <w:top w:val="nil"/>
              <w:left w:val="nil"/>
              <w:bottom w:val="single" w:color="000000" w:sz="8" w:space="0"/>
              <w:right w:val="single" w:color="000000" w:sz="8" w:space="0"/>
            </w:tcBorders>
            <w:shd w:val="clear" w:color="auto" w:fill="auto"/>
            <w:vAlign w:val="center"/>
          </w:tcPr>
          <w:p w14:paraId="6FB27F5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264.51</w:t>
            </w:r>
          </w:p>
        </w:tc>
        <w:tc>
          <w:tcPr>
            <w:tcW w:w="0" w:type="auto"/>
            <w:tcBorders>
              <w:top w:val="nil"/>
              <w:left w:val="nil"/>
              <w:bottom w:val="single" w:color="000000" w:sz="8" w:space="0"/>
              <w:right w:val="single" w:color="000000" w:sz="8" w:space="0"/>
            </w:tcBorders>
            <w:shd w:val="clear" w:color="auto" w:fill="auto"/>
            <w:vAlign w:val="bottom"/>
          </w:tcPr>
          <w:p w14:paraId="0F58063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23532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5861478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复旦大学</w:t>
            </w:r>
          </w:p>
        </w:tc>
        <w:tc>
          <w:tcPr>
            <w:tcW w:w="0" w:type="auto"/>
            <w:tcBorders>
              <w:top w:val="nil"/>
              <w:left w:val="nil"/>
              <w:bottom w:val="single" w:color="000000" w:sz="8" w:space="0"/>
              <w:right w:val="single" w:color="000000" w:sz="8" w:space="0"/>
            </w:tcBorders>
            <w:shd w:val="clear" w:color="auto" w:fill="auto"/>
            <w:vAlign w:val="bottom"/>
          </w:tcPr>
          <w:p w14:paraId="448534E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原材料销售、碳14标记</w:t>
            </w:r>
          </w:p>
        </w:tc>
        <w:tc>
          <w:tcPr>
            <w:tcW w:w="0" w:type="auto"/>
            <w:tcBorders>
              <w:top w:val="nil"/>
              <w:left w:val="nil"/>
              <w:bottom w:val="single" w:color="000000" w:sz="8" w:space="0"/>
              <w:right w:val="single" w:color="000000" w:sz="8" w:space="0"/>
            </w:tcBorders>
            <w:shd w:val="clear" w:color="auto" w:fill="auto"/>
            <w:vAlign w:val="center"/>
          </w:tcPr>
          <w:p w14:paraId="6F7562F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107.29</w:t>
            </w:r>
          </w:p>
        </w:tc>
        <w:tc>
          <w:tcPr>
            <w:tcW w:w="0" w:type="auto"/>
            <w:tcBorders>
              <w:top w:val="nil"/>
              <w:left w:val="nil"/>
              <w:bottom w:val="single" w:color="000000" w:sz="8" w:space="0"/>
              <w:right w:val="single" w:color="000000" w:sz="8" w:space="0"/>
            </w:tcBorders>
            <w:shd w:val="clear" w:color="auto" w:fill="auto"/>
            <w:vAlign w:val="center"/>
          </w:tcPr>
          <w:p w14:paraId="43EC978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58A142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741F8DD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30B63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6FEF436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中美华世通生物医药科技（武汉）股份有限公司</w:t>
            </w:r>
          </w:p>
        </w:tc>
        <w:tc>
          <w:tcPr>
            <w:tcW w:w="0" w:type="auto"/>
            <w:tcBorders>
              <w:top w:val="nil"/>
              <w:left w:val="nil"/>
              <w:bottom w:val="single" w:color="000000" w:sz="8" w:space="0"/>
              <w:right w:val="single" w:color="000000" w:sz="8" w:space="0"/>
            </w:tcBorders>
            <w:shd w:val="clear" w:color="auto" w:fill="auto"/>
            <w:vAlign w:val="bottom"/>
          </w:tcPr>
          <w:p w14:paraId="1FB05D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2CB2D7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96.23</w:t>
            </w:r>
          </w:p>
        </w:tc>
        <w:tc>
          <w:tcPr>
            <w:tcW w:w="0" w:type="auto"/>
            <w:tcBorders>
              <w:top w:val="nil"/>
              <w:left w:val="nil"/>
              <w:bottom w:val="single" w:color="000000" w:sz="8" w:space="0"/>
              <w:right w:val="single" w:color="000000" w:sz="8" w:space="0"/>
            </w:tcBorders>
            <w:shd w:val="clear" w:color="auto" w:fill="auto"/>
            <w:vAlign w:val="center"/>
          </w:tcPr>
          <w:p w14:paraId="23DCCE4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1A53E2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2F05796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30.19</w:t>
            </w:r>
          </w:p>
        </w:tc>
      </w:tr>
      <w:tr w14:paraId="2334C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3A33208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上海君拓生物医药科技有限公司</w:t>
            </w:r>
          </w:p>
        </w:tc>
        <w:tc>
          <w:tcPr>
            <w:tcW w:w="0" w:type="auto"/>
            <w:tcBorders>
              <w:top w:val="nil"/>
              <w:left w:val="nil"/>
              <w:bottom w:val="single" w:color="000000" w:sz="8" w:space="0"/>
              <w:right w:val="single" w:color="000000" w:sz="8" w:space="0"/>
            </w:tcBorders>
            <w:shd w:val="clear" w:color="auto" w:fill="auto"/>
            <w:vAlign w:val="bottom"/>
          </w:tcPr>
          <w:p w14:paraId="4F81E82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59E80E2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79.81</w:t>
            </w:r>
          </w:p>
        </w:tc>
        <w:tc>
          <w:tcPr>
            <w:tcW w:w="0" w:type="auto"/>
            <w:tcBorders>
              <w:top w:val="nil"/>
              <w:left w:val="nil"/>
              <w:bottom w:val="single" w:color="000000" w:sz="8" w:space="0"/>
              <w:right w:val="single" w:color="000000" w:sz="8" w:space="0"/>
            </w:tcBorders>
            <w:shd w:val="clear" w:color="auto" w:fill="auto"/>
            <w:vAlign w:val="center"/>
          </w:tcPr>
          <w:p w14:paraId="23D38EB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68A475B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3EC49BB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149B3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4FD3B7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烟台创和生物科技有限公司</w:t>
            </w:r>
          </w:p>
        </w:tc>
        <w:tc>
          <w:tcPr>
            <w:tcW w:w="0" w:type="auto"/>
            <w:tcBorders>
              <w:top w:val="nil"/>
              <w:left w:val="nil"/>
              <w:bottom w:val="single" w:color="000000" w:sz="8" w:space="0"/>
              <w:right w:val="single" w:color="000000" w:sz="8" w:space="0"/>
            </w:tcBorders>
            <w:shd w:val="clear" w:color="auto" w:fill="auto"/>
            <w:vAlign w:val="bottom"/>
          </w:tcPr>
          <w:p w14:paraId="31C0E58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734CC93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78.93</w:t>
            </w:r>
          </w:p>
        </w:tc>
        <w:tc>
          <w:tcPr>
            <w:tcW w:w="0" w:type="auto"/>
            <w:tcBorders>
              <w:top w:val="nil"/>
              <w:left w:val="nil"/>
              <w:bottom w:val="single" w:color="000000" w:sz="8" w:space="0"/>
              <w:right w:val="single" w:color="000000" w:sz="8" w:space="0"/>
            </w:tcBorders>
            <w:shd w:val="clear" w:color="auto" w:fill="auto"/>
            <w:vAlign w:val="center"/>
          </w:tcPr>
          <w:p w14:paraId="16A75BF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17BDA38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4B4B9F2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5BC7B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30C6FDC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苏利（宁夏）新材料科技有限公司</w:t>
            </w:r>
          </w:p>
        </w:tc>
        <w:tc>
          <w:tcPr>
            <w:tcW w:w="0" w:type="auto"/>
            <w:tcBorders>
              <w:top w:val="nil"/>
              <w:left w:val="nil"/>
              <w:bottom w:val="single" w:color="000000" w:sz="8" w:space="0"/>
              <w:right w:val="single" w:color="000000" w:sz="8" w:space="0"/>
            </w:tcBorders>
            <w:shd w:val="clear" w:color="auto" w:fill="auto"/>
            <w:vAlign w:val="bottom"/>
          </w:tcPr>
          <w:p w14:paraId="0E8559A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7EAE007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333D157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178.3</w:t>
            </w:r>
          </w:p>
        </w:tc>
        <w:tc>
          <w:tcPr>
            <w:tcW w:w="0" w:type="auto"/>
            <w:tcBorders>
              <w:top w:val="nil"/>
              <w:left w:val="nil"/>
              <w:bottom w:val="single" w:color="000000" w:sz="8" w:space="0"/>
              <w:right w:val="single" w:color="000000" w:sz="8" w:space="0"/>
            </w:tcBorders>
            <w:shd w:val="clear" w:color="auto" w:fill="auto"/>
            <w:vAlign w:val="center"/>
          </w:tcPr>
          <w:p w14:paraId="3BDC45A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3441D37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3FC14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6046A31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上海翰森生物医药科技有限公司</w:t>
            </w:r>
          </w:p>
        </w:tc>
        <w:tc>
          <w:tcPr>
            <w:tcW w:w="0" w:type="auto"/>
            <w:tcBorders>
              <w:top w:val="nil"/>
              <w:left w:val="nil"/>
              <w:bottom w:val="single" w:color="000000" w:sz="8" w:space="0"/>
              <w:right w:val="single" w:color="000000" w:sz="8" w:space="0"/>
            </w:tcBorders>
            <w:shd w:val="clear" w:color="auto" w:fill="auto"/>
            <w:vAlign w:val="bottom"/>
          </w:tcPr>
          <w:p w14:paraId="04A7FE5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257039B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416E423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154.38</w:t>
            </w:r>
          </w:p>
        </w:tc>
        <w:tc>
          <w:tcPr>
            <w:tcW w:w="0" w:type="auto"/>
            <w:tcBorders>
              <w:top w:val="nil"/>
              <w:left w:val="nil"/>
              <w:bottom w:val="single" w:color="000000" w:sz="8" w:space="0"/>
              <w:right w:val="single" w:color="000000" w:sz="8" w:space="0"/>
            </w:tcBorders>
            <w:shd w:val="clear" w:color="auto" w:fill="auto"/>
            <w:vAlign w:val="center"/>
          </w:tcPr>
          <w:p w14:paraId="4A2C120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283.56</w:t>
            </w:r>
          </w:p>
        </w:tc>
        <w:tc>
          <w:tcPr>
            <w:tcW w:w="0" w:type="auto"/>
            <w:tcBorders>
              <w:top w:val="nil"/>
              <w:left w:val="nil"/>
              <w:bottom w:val="single" w:color="000000" w:sz="8" w:space="0"/>
              <w:right w:val="single" w:color="000000" w:sz="8" w:space="0"/>
            </w:tcBorders>
            <w:shd w:val="clear" w:color="auto" w:fill="auto"/>
            <w:vAlign w:val="center"/>
          </w:tcPr>
          <w:p w14:paraId="68141BA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47.08</w:t>
            </w:r>
          </w:p>
        </w:tc>
      </w:tr>
      <w:tr w14:paraId="3B5A9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2F136DE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青岛恒宁生物科技有限公司</w:t>
            </w:r>
          </w:p>
        </w:tc>
        <w:tc>
          <w:tcPr>
            <w:tcW w:w="0" w:type="auto"/>
            <w:tcBorders>
              <w:top w:val="nil"/>
              <w:left w:val="nil"/>
              <w:bottom w:val="single" w:color="000000" w:sz="8" w:space="0"/>
              <w:right w:val="single" w:color="000000" w:sz="8" w:space="0"/>
            </w:tcBorders>
            <w:shd w:val="clear" w:color="auto" w:fill="auto"/>
            <w:vAlign w:val="bottom"/>
          </w:tcPr>
          <w:p w14:paraId="4381ABD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4D8E622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7F0EB73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126.32</w:t>
            </w:r>
          </w:p>
        </w:tc>
        <w:tc>
          <w:tcPr>
            <w:tcW w:w="0" w:type="auto"/>
            <w:tcBorders>
              <w:top w:val="nil"/>
              <w:left w:val="nil"/>
              <w:bottom w:val="single" w:color="000000" w:sz="8" w:space="0"/>
              <w:right w:val="single" w:color="000000" w:sz="8" w:space="0"/>
            </w:tcBorders>
            <w:shd w:val="clear" w:color="auto" w:fill="auto"/>
            <w:vAlign w:val="bottom"/>
          </w:tcPr>
          <w:p w14:paraId="152C17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117.92</w:t>
            </w:r>
          </w:p>
        </w:tc>
        <w:tc>
          <w:tcPr>
            <w:tcW w:w="0" w:type="auto"/>
            <w:tcBorders>
              <w:top w:val="nil"/>
              <w:left w:val="nil"/>
              <w:bottom w:val="single" w:color="000000" w:sz="8" w:space="0"/>
              <w:right w:val="single" w:color="000000" w:sz="8" w:space="0"/>
            </w:tcBorders>
            <w:shd w:val="clear" w:color="auto" w:fill="auto"/>
            <w:vAlign w:val="bottom"/>
          </w:tcPr>
          <w:p w14:paraId="0F40E3D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27B35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09C131C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德昇济医药（无锡）有限公司</w:t>
            </w:r>
          </w:p>
        </w:tc>
        <w:tc>
          <w:tcPr>
            <w:tcW w:w="0" w:type="auto"/>
            <w:tcBorders>
              <w:top w:val="nil"/>
              <w:left w:val="nil"/>
              <w:bottom w:val="single" w:color="000000" w:sz="8" w:space="0"/>
              <w:right w:val="single" w:color="000000" w:sz="8" w:space="0"/>
            </w:tcBorders>
            <w:shd w:val="clear" w:color="auto" w:fill="auto"/>
            <w:vAlign w:val="bottom"/>
          </w:tcPr>
          <w:p w14:paraId="45AA0D4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3DC93E4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0FC85DF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109.43</w:t>
            </w:r>
          </w:p>
        </w:tc>
        <w:tc>
          <w:tcPr>
            <w:tcW w:w="0" w:type="auto"/>
            <w:tcBorders>
              <w:top w:val="nil"/>
              <w:left w:val="nil"/>
              <w:bottom w:val="single" w:color="000000" w:sz="8" w:space="0"/>
              <w:right w:val="single" w:color="000000" w:sz="8" w:space="0"/>
            </w:tcBorders>
            <w:shd w:val="clear" w:color="auto" w:fill="auto"/>
            <w:vAlign w:val="bottom"/>
          </w:tcPr>
          <w:p w14:paraId="23E0693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4A033B7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48591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0BAA2DE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深圳信立泰药业股份有限公司</w:t>
            </w:r>
          </w:p>
        </w:tc>
        <w:tc>
          <w:tcPr>
            <w:tcW w:w="0" w:type="auto"/>
            <w:tcBorders>
              <w:top w:val="nil"/>
              <w:left w:val="nil"/>
              <w:bottom w:val="single" w:color="000000" w:sz="8" w:space="0"/>
              <w:right w:val="single" w:color="000000" w:sz="8" w:space="0"/>
            </w:tcBorders>
            <w:shd w:val="clear" w:color="auto" w:fill="auto"/>
            <w:vAlign w:val="bottom"/>
          </w:tcPr>
          <w:p w14:paraId="041C9EF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01D2D8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2EC7A7B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103.77</w:t>
            </w:r>
          </w:p>
        </w:tc>
        <w:tc>
          <w:tcPr>
            <w:tcW w:w="0" w:type="auto"/>
            <w:tcBorders>
              <w:top w:val="nil"/>
              <w:left w:val="nil"/>
              <w:bottom w:val="single" w:color="000000" w:sz="8" w:space="0"/>
              <w:right w:val="single" w:color="000000" w:sz="8" w:space="0"/>
            </w:tcBorders>
            <w:shd w:val="clear" w:color="auto" w:fill="auto"/>
            <w:vAlign w:val="bottom"/>
          </w:tcPr>
          <w:p w14:paraId="3CEC198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407C92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09909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225AE1F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杭州泰格医药科技股份有限公司</w:t>
            </w:r>
          </w:p>
        </w:tc>
        <w:tc>
          <w:tcPr>
            <w:tcW w:w="0" w:type="auto"/>
            <w:tcBorders>
              <w:top w:val="nil"/>
              <w:left w:val="nil"/>
              <w:bottom w:val="single" w:color="000000" w:sz="8" w:space="0"/>
              <w:right w:val="single" w:color="000000" w:sz="8" w:space="0"/>
            </w:tcBorders>
            <w:shd w:val="clear" w:color="auto" w:fill="auto"/>
            <w:vAlign w:val="bottom"/>
          </w:tcPr>
          <w:p w14:paraId="5EB1FBF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1EE91A9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5FC45D6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64.77</w:t>
            </w:r>
          </w:p>
        </w:tc>
        <w:tc>
          <w:tcPr>
            <w:tcW w:w="0" w:type="auto"/>
            <w:tcBorders>
              <w:top w:val="nil"/>
              <w:left w:val="nil"/>
              <w:bottom w:val="single" w:color="000000" w:sz="8" w:space="0"/>
              <w:right w:val="single" w:color="000000" w:sz="8" w:space="0"/>
            </w:tcBorders>
            <w:shd w:val="clear" w:color="auto" w:fill="auto"/>
            <w:vAlign w:val="bottom"/>
          </w:tcPr>
          <w:p w14:paraId="3A9F8ED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bottom"/>
          </w:tcPr>
          <w:p w14:paraId="23E145D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256705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2ED98AD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浙江普利药业有限公司</w:t>
            </w:r>
          </w:p>
        </w:tc>
        <w:tc>
          <w:tcPr>
            <w:tcW w:w="0" w:type="auto"/>
            <w:tcBorders>
              <w:top w:val="nil"/>
              <w:left w:val="nil"/>
              <w:bottom w:val="single" w:color="000000" w:sz="8" w:space="0"/>
              <w:right w:val="single" w:color="000000" w:sz="8" w:space="0"/>
            </w:tcBorders>
            <w:shd w:val="clear" w:color="auto" w:fill="auto"/>
            <w:vAlign w:val="bottom"/>
          </w:tcPr>
          <w:p w14:paraId="0A60531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48B158F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D7A0CF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55.38</w:t>
            </w:r>
          </w:p>
        </w:tc>
        <w:tc>
          <w:tcPr>
            <w:tcW w:w="0" w:type="auto"/>
            <w:tcBorders>
              <w:top w:val="nil"/>
              <w:left w:val="nil"/>
              <w:bottom w:val="single" w:color="000000" w:sz="8" w:space="0"/>
              <w:right w:val="single" w:color="000000" w:sz="8" w:space="0"/>
            </w:tcBorders>
            <w:shd w:val="clear" w:color="auto" w:fill="auto"/>
            <w:vAlign w:val="center"/>
          </w:tcPr>
          <w:p w14:paraId="42D093A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3319084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12F5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2B95BD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江苏恒瑞医药股份有限公司</w:t>
            </w:r>
          </w:p>
        </w:tc>
        <w:tc>
          <w:tcPr>
            <w:tcW w:w="0" w:type="auto"/>
            <w:tcBorders>
              <w:top w:val="nil"/>
              <w:left w:val="nil"/>
              <w:bottom w:val="single" w:color="000000" w:sz="8" w:space="0"/>
              <w:right w:val="single" w:color="000000" w:sz="8" w:space="0"/>
            </w:tcBorders>
            <w:shd w:val="clear" w:color="auto" w:fill="auto"/>
            <w:vAlign w:val="bottom"/>
          </w:tcPr>
          <w:p w14:paraId="24E4BD5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49C2335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p>
        </w:tc>
        <w:tc>
          <w:tcPr>
            <w:tcW w:w="0" w:type="auto"/>
            <w:tcBorders>
              <w:top w:val="nil"/>
              <w:left w:val="nil"/>
              <w:bottom w:val="single" w:color="000000" w:sz="8" w:space="0"/>
              <w:right w:val="single" w:color="000000" w:sz="8" w:space="0"/>
            </w:tcBorders>
            <w:shd w:val="clear" w:color="auto" w:fill="auto"/>
            <w:vAlign w:val="center"/>
          </w:tcPr>
          <w:p w14:paraId="75DF49C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5144107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257.26</w:t>
            </w:r>
          </w:p>
        </w:tc>
        <w:tc>
          <w:tcPr>
            <w:tcW w:w="0" w:type="auto"/>
            <w:tcBorders>
              <w:top w:val="nil"/>
              <w:left w:val="nil"/>
              <w:bottom w:val="single" w:color="000000" w:sz="8" w:space="0"/>
              <w:right w:val="single" w:color="000000" w:sz="8" w:space="0"/>
            </w:tcBorders>
            <w:shd w:val="clear" w:color="auto" w:fill="auto"/>
            <w:vAlign w:val="center"/>
          </w:tcPr>
          <w:p w14:paraId="3298E63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47.64</w:t>
            </w:r>
          </w:p>
        </w:tc>
      </w:tr>
      <w:tr w14:paraId="3414A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6DD7E64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华中农业大学</w:t>
            </w:r>
          </w:p>
        </w:tc>
        <w:tc>
          <w:tcPr>
            <w:tcW w:w="0" w:type="auto"/>
            <w:tcBorders>
              <w:top w:val="nil"/>
              <w:left w:val="nil"/>
              <w:bottom w:val="single" w:color="000000" w:sz="8" w:space="0"/>
              <w:right w:val="single" w:color="000000" w:sz="8" w:space="0"/>
            </w:tcBorders>
            <w:shd w:val="clear" w:color="auto" w:fill="auto"/>
            <w:vAlign w:val="bottom"/>
          </w:tcPr>
          <w:p w14:paraId="02340A1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0E03576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01895D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16CA6B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181.13</w:t>
            </w:r>
          </w:p>
        </w:tc>
        <w:tc>
          <w:tcPr>
            <w:tcW w:w="0" w:type="auto"/>
            <w:tcBorders>
              <w:top w:val="nil"/>
              <w:left w:val="nil"/>
              <w:bottom w:val="single" w:color="000000" w:sz="8" w:space="0"/>
              <w:right w:val="single" w:color="000000" w:sz="8" w:space="0"/>
            </w:tcBorders>
            <w:shd w:val="clear" w:color="auto" w:fill="auto"/>
            <w:vAlign w:val="center"/>
          </w:tcPr>
          <w:p w14:paraId="28735E5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22.45</w:t>
            </w:r>
          </w:p>
        </w:tc>
      </w:tr>
      <w:tr w14:paraId="36792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36D0C1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陕西麦科奥特科技有限公司</w:t>
            </w:r>
          </w:p>
        </w:tc>
        <w:tc>
          <w:tcPr>
            <w:tcW w:w="0" w:type="auto"/>
            <w:tcBorders>
              <w:top w:val="nil"/>
              <w:left w:val="nil"/>
              <w:bottom w:val="single" w:color="000000" w:sz="8" w:space="0"/>
              <w:right w:val="single" w:color="000000" w:sz="8" w:space="0"/>
            </w:tcBorders>
            <w:shd w:val="clear" w:color="auto" w:fill="auto"/>
            <w:vAlign w:val="bottom"/>
          </w:tcPr>
          <w:p w14:paraId="08CC376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5E10D8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242036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p>
        </w:tc>
        <w:tc>
          <w:tcPr>
            <w:tcW w:w="0" w:type="auto"/>
            <w:tcBorders>
              <w:top w:val="nil"/>
              <w:left w:val="nil"/>
              <w:bottom w:val="single" w:color="000000" w:sz="8" w:space="0"/>
              <w:right w:val="single" w:color="000000" w:sz="8" w:space="0"/>
            </w:tcBorders>
            <w:shd w:val="clear" w:color="auto" w:fill="auto"/>
            <w:vAlign w:val="center"/>
          </w:tcPr>
          <w:p w14:paraId="4955E93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122.64</w:t>
            </w:r>
          </w:p>
        </w:tc>
        <w:tc>
          <w:tcPr>
            <w:tcW w:w="0" w:type="auto"/>
            <w:tcBorders>
              <w:top w:val="nil"/>
              <w:left w:val="nil"/>
              <w:bottom w:val="single" w:color="000000" w:sz="8" w:space="0"/>
              <w:right w:val="single" w:color="000000" w:sz="8" w:space="0"/>
            </w:tcBorders>
            <w:shd w:val="clear" w:color="auto" w:fill="auto"/>
            <w:vAlign w:val="center"/>
          </w:tcPr>
          <w:p w14:paraId="49D260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21766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78E5469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武汉朗来科技发展有限公司</w:t>
            </w:r>
          </w:p>
        </w:tc>
        <w:tc>
          <w:tcPr>
            <w:tcW w:w="0" w:type="auto"/>
            <w:tcBorders>
              <w:top w:val="nil"/>
              <w:left w:val="nil"/>
              <w:bottom w:val="single" w:color="000000" w:sz="8" w:space="0"/>
              <w:right w:val="single" w:color="000000" w:sz="8" w:space="0"/>
            </w:tcBorders>
            <w:shd w:val="clear" w:color="auto" w:fill="auto"/>
            <w:vAlign w:val="bottom"/>
          </w:tcPr>
          <w:p w14:paraId="4A68164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5F651C7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45882FB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p>
        </w:tc>
        <w:tc>
          <w:tcPr>
            <w:tcW w:w="0" w:type="auto"/>
            <w:tcBorders>
              <w:top w:val="nil"/>
              <w:left w:val="nil"/>
              <w:bottom w:val="single" w:color="000000" w:sz="8" w:space="0"/>
              <w:right w:val="single" w:color="000000" w:sz="8" w:space="0"/>
            </w:tcBorders>
            <w:shd w:val="clear" w:color="auto" w:fill="auto"/>
            <w:vAlign w:val="center"/>
          </w:tcPr>
          <w:p w14:paraId="66E373F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111.13</w:t>
            </w:r>
          </w:p>
        </w:tc>
        <w:tc>
          <w:tcPr>
            <w:tcW w:w="0" w:type="auto"/>
            <w:tcBorders>
              <w:top w:val="nil"/>
              <w:left w:val="nil"/>
              <w:bottom w:val="single" w:color="000000" w:sz="8" w:space="0"/>
              <w:right w:val="single" w:color="000000" w:sz="8" w:space="0"/>
            </w:tcBorders>
            <w:shd w:val="clear" w:color="auto" w:fill="auto"/>
            <w:vAlign w:val="center"/>
          </w:tcPr>
          <w:p w14:paraId="5376FFB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4C682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39BE4F8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齐鲁制药有限公司</w:t>
            </w:r>
          </w:p>
        </w:tc>
        <w:tc>
          <w:tcPr>
            <w:tcW w:w="0" w:type="auto"/>
            <w:tcBorders>
              <w:top w:val="nil"/>
              <w:left w:val="nil"/>
              <w:bottom w:val="single" w:color="000000" w:sz="8" w:space="0"/>
              <w:right w:val="single" w:color="000000" w:sz="8" w:space="0"/>
            </w:tcBorders>
            <w:shd w:val="clear" w:color="auto" w:fill="auto"/>
            <w:vAlign w:val="bottom"/>
          </w:tcPr>
          <w:p w14:paraId="418354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6C23187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4BD8D72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16BB33E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88.4</w:t>
            </w:r>
          </w:p>
        </w:tc>
        <w:tc>
          <w:tcPr>
            <w:tcW w:w="0" w:type="auto"/>
            <w:tcBorders>
              <w:top w:val="nil"/>
              <w:left w:val="nil"/>
              <w:bottom w:val="single" w:color="000000" w:sz="8" w:space="0"/>
              <w:right w:val="single" w:color="000000" w:sz="8" w:space="0"/>
            </w:tcBorders>
            <w:shd w:val="clear" w:color="auto" w:fill="auto"/>
            <w:vAlign w:val="center"/>
          </w:tcPr>
          <w:p w14:paraId="49574ED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43.11</w:t>
            </w:r>
          </w:p>
        </w:tc>
      </w:tr>
      <w:tr w14:paraId="4B37D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07A9FB0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苏州百递博远生物科技有限公司</w:t>
            </w:r>
          </w:p>
        </w:tc>
        <w:tc>
          <w:tcPr>
            <w:tcW w:w="0" w:type="auto"/>
            <w:tcBorders>
              <w:top w:val="nil"/>
              <w:left w:val="nil"/>
              <w:bottom w:val="single" w:color="000000" w:sz="8" w:space="0"/>
              <w:right w:val="single" w:color="000000" w:sz="8" w:space="0"/>
            </w:tcBorders>
            <w:shd w:val="clear" w:color="auto" w:fill="auto"/>
            <w:vAlign w:val="bottom"/>
          </w:tcPr>
          <w:p w14:paraId="3FAA72A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19C3BF5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0AEABC6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29DFC1C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61.32</w:t>
            </w:r>
          </w:p>
        </w:tc>
        <w:tc>
          <w:tcPr>
            <w:tcW w:w="0" w:type="auto"/>
            <w:tcBorders>
              <w:top w:val="nil"/>
              <w:left w:val="nil"/>
              <w:bottom w:val="single" w:color="000000" w:sz="8" w:space="0"/>
              <w:right w:val="single" w:color="000000" w:sz="8" w:space="0"/>
            </w:tcBorders>
            <w:shd w:val="clear" w:color="auto" w:fill="auto"/>
            <w:vAlign w:val="center"/>
          </w:tcPr>
          <w:p w14:paraId="5971316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r>
      <w:tr w14:paraId="64E83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1661C9D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Eurofins BioPharme</w:t>
            </w:r>
          </w:p>
        </w:tc>
        <w:tc>
          <w:tcPr>
            <w:tcW w:w="0" w:type="auto"/>
            <w:tcBorders>
              <w:top w:val="nil"/>
              <w:left w:val="nil"/>
              <w:bottom w:val="single" w:color="000000" w:sz="8" w:space="0"/>
              <w:right w:val="single" w:color="000000" w:sz="8" w:space="0"/>
            </w:tcBorders>
            <w:shd w:val="clear" w:color="auto" w:fill="auto"/>
            <w:vAlign w:val="bottom"/>
          </w:tcPr>
          <w:p w14:paraId="0730B07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原材料销售(碳酸钡C-14、氰化钾C-14）</w:t>
            </w:r>
          </w:p>
        </w:tc>
        <w:tc>
          <w:tcPr>
            <w:tcW w:w="0" w:type="auto"/>
            <w:tcBorders>
              <w:top w:val="nil"/>
              <w:left w:val="nil"/>
              <w:bottom w:val="single" w:color="000000" w:sz="8" w:space="0"/>
              <w:right w:val="single" w:color="000000" w:sz="8" w:space="0"/>
            </w:tcBorders>
            <w:shd w:val="clear" w:color="auto" w:fill="auto"/>
            <w:vAlign w:val="center"/>
          </w:tcPr>
          <w:p w14:paraId="7ECE523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06662AC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A42C01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   </w:t>
            </w:r>
          </w:p>
        </w:tc>
        <w:tc>
          <w:tcPr>
            <w:tcW w:w="0" w:type="auto"/>
            <w:tcBorders>
              <w:top w:val="nil"/>
              <w:left w:val="nil"/>
              <w:bottom w:val="single" w:color="000000" w:sz="8" w:space="0"/>
              <w:right w:val="single" w:color="000000" w:sz="8" w:space="0"/>
            </w:tcBorders>
            <w:shd w:val="clear" w:color="auto" w:fill="auto"/>
            <w:vAlign w:val="center"/>
          </w:tcPr>
          <w:p w14:paraId="1CC25ED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127.2</w:t>
            </w:r>
          </w:p>
        </w:tc>
      </w:tr>
      <w:tr w14:paraId="6A5D4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08ACE11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四川科伦博泰生物医药股份有限公司</w:t>
            </w:r>
          </w:p>
        </w:tc>
        <w:tc>
          <w:tcPr>
            <w:tcW w:w="0" w:type="auto"/>
            <w:tcBorders>
              <w:top w:val="nil"/>
              <w:left w:val="nil"/>
              <w:bottom w:val="single" w:color="000000" w:sz="8" w:space="0"/>
              <w:right w:val="single" w:color="000000" w:sz="8" w:space="0"/>
            </w:tcBorders>
            <w:shd w:val="clear" w:color="auto" w:fill="auto"/>
            <w:vAlign w:val="bottom"/>
          </w:tcPr>
          <w:p w14:paraId="6C630F7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3H标记</w:t>
            </w:r>
          </w:p>
        </w:tc>
        <w:tc>
          <w:tcPr>
            <w:tcW w:w="0" w:type="auto"/>
            <w:tcBorders>
              <w:top w:val="nil"/>
              <w:left w:val="nil"/>
              <w:bottom w:val="single" w:color="000000" w:sz="8" w:space="0"/>
              <w:right w:val="single" w:color="000000" w:sz="8" w:space="0"/>
            </w:tcBorders>
            <w:shd w:val="clear" w:color="auto" w:fill="auto"/>
            <w:vAlign w:val="center"/>
          </w:tcPr>
          <w:p w14:paraId="4642F1C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7564963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5231B9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1C7C1D9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41.32</w:t>
            </w:r>
          </w:p>
        </w:tc>
      </w:tr>
      <w:tr w14:paraId="46F4D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3F884A8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利尔化学股份有限公司</w:t>
            </w:r>
          </w:p>
        </w:tc>
        <w:tc>
          <w:tcPr>
            <w:tcW w:w="0" w:type="auto"/>
            <w:tcBorders>
              <w:top w:val="nil"/>
              <w:left w:val="nil"/>
              <w:bottom w:val="single" w:color="000000" w:sz="8" w:space="0"/>
              <w:right w:val="single" w:color="000000" w:sz="8" w:space="0"/>
            </w:tcBorders>
            <w:shd w:val="clear" w:color="auto" w:fill="auto"/>
            <w:vAlign w:val="bottom"/>
          </w:tcPr>
          <w:p w14:paraId="16F0B07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3145316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1A7B81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27874F8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76D7C1A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28.02</w:t>
            </w:r>
          </w:p>
        </w:tc>
      </w:tr>
      <w:tr w14:paraId="160D4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14C3CF6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北京普祺医药科技股份有限公司</w:t>
            </w:r>
          </w:p>
        </w:tc>
        <w:tc>
          <w:tcPr>
            <w:tcW w:w="0" w:type="auto"/>
            <w:tcBorders>
              <w:top w:val="nil"/>
              <w:left w:val="nil"/>
              <w:bottom w:val="single" w:color="000000" w:sz="8" w:space="0"/>
              <w:right w:val="single" w:color="000000" w:sz="8" w:space="0"/>
            </w:tcBorders>
            <w:shd w:val="clear" w:color="auto" w:fill="auto"/>
            <w:vAlign w:val="bottom"/>
          </w:tcPr>
          <w:p w14:paraId="60526DB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碳14标记</w:t>
            </w:r>
          </w:p>
        </w:tc>
        <w:tc>
          <w:tcPr>
            <w:tcW w:w="0" w:type="auto"/>
            <w:tcBorders>
              <w:top w:val="nil"/>
              <w:left w:val="nil"/>
              <w:bottom w:val="single" w:color="000000" w:sz="8" w:space="0"/>
              <w:right w:val="single" w:color="000000" w:sz="8" w:space="0"/>
            </w:tcBorders>
            <w:shd w:val="clear" w:color="auto" w:fill="auto"/>
            <w:vAlign w:val="center"/>
          </w:tcPr>
          <w:p w14:paraId="7E18BE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864C1F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0D21A4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72F4864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25.47</w:t>
            </w:r>
          </w:p>
        </w:tc>
      </w:tr>
      <w:tr w14:paraId="02062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bottom"/>
          </w:tcPr>
          <w:p w14:paraId="1CB1F2C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BLYCHEM  LTDUNIT</w:t>
            </w:r>
          </w:p>
        </w:tc>
        <w:tc>
          <w:tcPr>
            <w:tcW w:w="0" w:type="auto"/>
            <w:tcBorders>
              <w:top w:val="nil"/>
              <w:left w:val="nil"/>
              <w:bottom w:val="single" w:color="000000" w:sz="8" w:space="0"/>
              <w:right w:val="single" w:color="000000" w:sz="8" w:space="0"/>
            </w:tcBorders>
            <w:shd w:val="clear" w:color="auto" w:fill="auto"/>
            <w:vAlign w:val="bottom"/>
          </w:tcPr>
          <w:p w14:paraId="212450F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原材料销售(碳酸钡C-14）</w:t>
            </w:r>
          </w:p>
        </w:tc>
        <w:tc>
          <w:tcPr>
            <w:tcW w:w="0" w:type="auto"/>
            <w:tcBorders>
              <w:top w:val="nil"/>
              <w:left w:val="nil"/>
              <w:bottom w:val="single" w:color="000000" w:sz="8" w:space="0"/>
              <w:right w:val="single" w:color="000000" w:sz="8" w:space="0"/>
            </w:tcBorders>
            <w:shd w:val="clear" w:color="auto" w:fill="auto"/>
            <w:vAlign w:val="center"/>
          </w:tcPr>
          <w:p w14:paraId="5BCBD49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1065716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62F55E1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 xml:space="preserve"> -</w:t>
            </w:r>
          </w:p>
        </w:tc>
        <w:tc>
          <w:tcPr>
            <w:tcW w:w="0" w:type="auto"/>
            <w:tcBorders>
              <w:top w:val="nil"/>
              <w:left w:val="nil"/>
              <w:bottom w:val="single" w:color="000000" w:sz="8" w:space="0"/>
              <w:right w:val="single" w:color="000000" w:sz="8" w:space="0"/>
            </w:tcBorders>
            <w:shd w:val="clear" w:color="auto" w:fill="auto"/>
            <w:vAlign w:val="center"/>
          </w:tcPr>
          <w:p w14:paraId="22C58FC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25.32</w:t>
            </w:r>
          </w:p>
        </w:tc>
      </w:tr>
      <w:tr w14:paraId="697C5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14:paraId="68E9771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合计</w:t>
            </w:r>
          </w:p>
        </w:tc>
        <w:tc>
          <w:tcPr>
            <w:tcW w:w="0" w:type="auto"/>
            <w:tcBorders>
              <w:top w:val="nil"/>
              <w:left w:val="nil"/>
              <w:bottom w:val="single" w:color="000000" w:sz="8" w:space="0"/>
              <w:right w:val="single" w:color="000000" w:sz="8" w:space="0"/>
            </w:tcBorders>
            <w:shd w:val="clear" w:color="auto" w:fill="auto"/>
            <w:vAlign w:val="bottom"/>
          </w:tcPr>
          <w:p w14:paraId="13BCCA2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p>
        </w:tc>
        <w:tc>
          <w:tcPr>
            <w:tcW w:w="0" w:type="auto"/>
            <w:tcBorders>
              <w:top w:val="nil"/>
              <w:left w:val="nil"/>
              <w:bottom w:val="single" w:color="000000" w:sz="8" w:space="0"/>
              <w:right w:val="single" w:color="000000" w:sz="8" w:space="0"/>
            </w:tcBorders>
            <w:shd w:val="clear" w:color="auto" w:fill="auto"/>
            <w:vAlign w:val="center"/>
          </w:tcPr>
          <w:p w14:paraId="53795E1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1,415.18</w:t>
            </w:r>
          </w:p>
        </w:tc>
        <w:tc>
          <w:tcPr>
            <w:tcW w:w="0" w:type="auto"/>
            <w:tcBorders>
              <w:top w:val="nil"/>
              <w:left w:val="nil"/>
              <w:bottom w:val="single" w:color="000000" w:sz="8" w:space="0"/>
              <w:right w:val="single" w:color="000000" w:sz="8" w:space="0"/>
            </w:tcBorders>
            <w:shd w:val="clear" w:color="auto" w:fill="auto"/>
            <w:vAlign w:val="center"/>
          </w:tcPr>
          <w:p w14:paraId="139E2BD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1,680.42</w:t>
            </w:r>
          </w:p>
        </w:tc>
        <w:tc>
          <w:tcPr>
            <w:tcW w:w="0" w:type="auto"/>
            <w:tcBorders>
              <w:top w:val="nil"/>
              <w:left w:val="nil"/>
              <w:bottom w:val="single" w:color="000000" w:sz="8" w:space="0"/>
              <w:right w:val="single" w:color="000000" w:sz="8" w:space="0"/>
            </w:tcBorders>
            <w:shd w:val="clear" w:color="auto" w:fill="auto"/>
            <w:vAlign w:val="center"/>
          </w:tcPr>
          <w:p w14:paraId="226C5CD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1,577.96</w:t>
            </w:r>
          </w:p>
        </w:tc>
        <w:tc>
          <w:tcPr>
            <w:tcW w:w="0" w:type="auto"/>
            <w:tcBorders>
              <w:top w:val="nil"/>
              <w:left w:val="nil"/>
              <w:bottom w:val="single" w:color="000000" w:sz="8" w:space="0"/>
              <w:right w:val="single" w:color="000000" w:sz="8" w:space="0"/>
            </w:tcBorders>
            <w:shd w:val="clear" w:color="auto" w:fill="auto"/>
            <w:vAlign w:val="center"/>
          </w:tcPr>
          <w:p w14:paraId="6CA8A6A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437.8</w:t>
            </w:r>
          </w:p>
        </w:tc>
      </w:tr>
      <w:tr w14:paraId="6E47E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 w:hRule="atLeast"/>
        </w:trPr>
        <w:tc>
          <w:tcPr>
            <w:tcW w:w="0" w:type="auto"/>
            <w:tcBorders>
              <w:top w:val="nil"/>
              <w:left w:val="single" w:color="000000" w:sz="8" w:space="0"/>
              <w:bottom w:val="single" w:color="000000" w:sz="8" w:space="0"/>
              <w:right w:val="single" w:color="000000" w:sz="8" w:space="0"/>
            </w:tcBorders>
            <w:shd w:val="clear" w:color="auto" w:fill="auto"/>
            <w:vAlign w:val="center"/>
          </w:tcPr>
          <w:p w14:paraId="14ED24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收入</w:t>
            </w:r>
          </w:p>
        </w:tc>
        <w:tc>
          <w:tcPr>
            <w:tcW w:w="0" w:type="auto"/>
            <w:tcBorders>
              <w:top w:val="nil"/>
              <w:left w:val="nil"/>
              <w:bottom w:val="single" w:color="000000" w:sz="8" w:space="0"/>
              <w:right w:val="single" w:color="000000" w:sz="8" w:space="0"/>
            </w:tcBorders>
            <w:shd w:val="clear" w:color="auto" w:fill="auto"/>
            <w:vAlign w:val="center"/>
          </w:tcPr>
          <w:p w14:paraId="0013657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p>
        </w:tc>
        <w:tc>
          <w:tcPr>
            <w:tcW w:w="0" w:type="auto"/>
            <w:tcBorders>
              <w:top w:val="nil"/>
              <w:left w:val="nil"/>
              <w:bottom w:val="single" w:color="000000" w:sz="8" w:space="0"/>
              <w:right w:val="single" w:color="000000" w:sz="8" w:space="0"/>
            </w:tcBorders>
            <w:shd w:val="clear" w:color="auto" w:fill="auto"/>
            <w:vAlign w:val="center"/>
          </w:tcPr>
          <w:p w14:paraId="3AA242E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2,879.78</w:t>
            </w:r>
          </w:p>
        </w:tc>
        <w:tc>
          <w:tcPr>
            <w:tcW w:w="0" w:type="auto"/>
            <w:tcBorders>
              <w:top w:val="nil"/>
              <w:left w:val="nil"/>
              <w:bottom w:val="single" w:color="000000" w:sz="8" w:space="0"/>
              <w:right w:val="single" w:color="000000" w:sz="8" w:space="0"/>
            </w:tcBorders>
            <w:shd w:val="clear" w:color="auto" w:fill="auto"/>
            <w:vAlign w:val="center"/>
          </w:tcPr>
          <w:p w14:paraId="2B7E1E6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3,018.06</w:t>
            </w:r>
          </w:p>
        </w:tc>
        <w:tc>
          <w:tcPr>
            <w:tcW w:w="0" w:type="auto"/>
            <w:tcBorders>
              <w:top w:val="nil"/>
              <w:left w:val="nil"/>
              <w:bottom w:val="single" w:color="000000" w:sz="8" w:space="0"/>
              <w:right w:val="single" w:color="000000" w:sz="8" w:space="0"/>
            </w:tcBorders>
            <w:shd w:val="clear" w:color="auto" w:fill="auto"/>
            <w:vAlign w:val="center"/>
          </w:tcPr>
          <w:p w14:paraId="629CA68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2,474.60</w:t>
            </w:r>
          </w:p>
        </w:tc>
        <w:tc>
          <w:tcPr>
            <w:tcW w:w="0" w:type="auto"/>
            <w:tcBorders>
              <w:top w:val="nil"/>
              <w:left w:val="nil"/>
              <w:bottom w:val="single" w:color="000000" w:sz="8" w:space="0"/>
              <w:right w:val="single" w:color="000000" w:sz="8" w:space="0"/>
            </w:tcBorders>
            <w:shd w:val="clear" w:color="auto" w:fill="auto"/>
            <w:vAlign w:val="center"/>
          </w:tcPr>
          <w:p w14:paraId="7FC12F8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both"/>
              <w:textAlignment w:val="cente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pPr>
            <w:r>
              <w:rPr>
                <w:rFonts w:hint="default" w:ascii="Times New Roman" w:hAnsi="Times New Roman" w:eastAsia="宋体" w:cs="Times New Roman"/>
                <w:i w:val="0"/>
                <w:iCs w:val="0"/>
                <w:color w:val="000000" w:themeColor="text1"/>
                <w:kern w:val="0"/>
                <w:sz w:val="21"/>
                <w:szCs w:val="21"/>
                <w:u w:val="none"/>
                <w:lang w:val="en-US" w:eastAsia="zh-CN" w:bidi="ar"/>
                <w14:textFill>
                  <w14:solidFill>
                    <w14:schemeClr w14:val="tx1"/>
                  </w14:solidFill>
                </w14:textFill>
                <w14:ligatures w14:val="none"/>
              </w:rPr>
              <w:t>609.86</w:t>
            </w:r>
          </w:p>
        </w:tc>
      </w:tr>
    </w:tbl>
    <w:p w14:paraId="29519FFC">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rPr>
      </w:pPr>
    </w:p>
    <w:p w14:paraId="4A408BE0">
      <w:pPr>
        <w:numPr>
          <w:ilvl w:val="0"/>
          <w:numId w:val="0"/>
        </w:numPr>
        <w:spacing w:line="360" w:lineRule="auto"/>
        <w:ind w:firstLine="480" w:firstLineChars="200"/>
        <w:outlineLvl w:val="9"/>
        <w:rPr>
          <w:rFonts w:hint="default" w:ascii="Times New Roman" w:hAnsi="Times New Roman" w:cs="Times New Roman"/>
          <w:lang w:val="en-US" w:eastAsia="zh-CN"/>
        </w:rPr>
      </w:pPr>
      <w:r>
        <w:rPr>
          <w:rFonts w:hint="default" w:ascii="Times New Roman" w:hAnsi="Times New Roman" w:cs="Times New Roman"/>
          <w:lang w:val="en-US" w:eastAsia="zh-CN"/>
        </w:rPr>
        <w:t>贝塔医药的核心业务均围绕同位素标记服务展开，无锡贝塔2025年增加了出口原料销售，客户主要集中于生物医药行业（如江苏恒瑞、上海翰森等知名药企）、农药领域（如苏州西山中科）、科研机构（如华中农业大学、复旦大学）。</w:t>
      </w:r>
      <w:r>
        <w:rPr>
          <w:rFonts w:hint="default" w:ascii="Times New Roman" w:hAnsi="Times New Roman" w:cs="Times New Roman"/>
          <w:lang w:val="en-US" w:eastAsia="zh-CN"/>
        </w:rPr>
        <w:tab/>
      </w:r>
      <w:r>
        <w:rPr>
          <w:rFonts w:hint="default" w:ascii="Times New Roman" w:hAnsi="Times New Roman" w:cs="Times New Roman"/>
          <w:lang w:val="en-US" w:eastAsia="zh-CN"/>
        </w:rPr>
        <w:t>公司采用 “项目制” 模式，以单个创新药研发项目为单位提供标记服务，收费按项目复杂度（如标记难度、样品数量）定价，单次服务费用通常在几十万至几百万不等。该模式下，收入增长依赖新项目获取，而客户因研发周期结束或更换服务商，复购率低。如2023年核心客户苏州西山中科，其业务以农药C14标记为主，国内农药行业研发投入滞后，且农药研发项目周期短，项目结束后无后续标记需求。</w:t>
      </w:r>
    </w:p>
    <w:p w14:paraId="17C5B68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rPr>
      </w:pPr>
    </w:p>
    <w:p w14:paraId="1CCCC442">
      <w:pPr>
        <w:pStyle w:val="68"/>
        <w:pageBreakBefore w:val="0"/>
        <w:widowControl w:val="0"/>
        <w:numPr>
          <w:ilvl w:val="0"/>
          <w:numId w:val="5"/>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2" w:name="_Toc23796"/>
      <w:r>
        <w:rPr>
          <w:rFonts w:hint="default" w:ascii="Times New Roman" w:hAnsi="Times New Roman" w:eastAsia="宋体" w:cs="Times New Roman"/>
          <w:lang w:val="en-US" w:eastAsia="zh-CN"/>
        </w:rPr>
        <w:t>运营</w:t>
      </w:r>
      <w:r>
        <w:rPr>
          <w:rFonts w:hint="default" w:ascii="Times New Roman" w:hAnsi="Times New Roman" w:eastAsia="宋体" w:cs="Times New Roman"/>
        </w:rPr>
        <w:t>费用</w:t>
      </w:r>
      <w:bookmarkEnd w:id="12"/>
    </w:p>
    <w:tbl>
      <w:tblPr>
        <w:tblStyle w:val="35"/>
        <w:tblW w:w="4128" w:type="pct"/>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autofit"/>
        <w:tblCellMar>
          <w:top w:w="0" w:type="dxa"/>
          <w:left w:w="108" w:type="dxa"/>
          <w:bottom w:w="0" w:type="dxa"/>
          <w:right w:w="108" w:type="dxa"/>
        </w:tblCellMar>
      </w:tblPr>
      <w:tblGrid>
        <w:gridCol w:w="1954"/>
        <w:gridCol w:w="2120"/>
        <w:gridCol w:w="1479"/>
        <w:gridCol w:w="1479"/>
      </w:tblGrid>
      <w:tr w14:paraId="7C436DE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578" w:hRule="atLeast"/>
          <w:tblHeader/>
          <w:jc w:val="center"/>
        </w:trPr>
        <w:tc>
          <w:tcPr>
            <w:tcW w:w="1389" w:type="pct"/>
            <w:tcBorders>
              <w:tl2br w:val="nil"/>
              <w:tr2bl w:val="nil"/>
            </w:tcBorders>
            <w:shd w:val="clear" w:color="auto" w:fill="auto"/>
            <w:noWrap/>
            <w:vAlign w:val="center"/>
          </w:tcPr>
          <w:p w14:paraId="62EC374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bottom"/>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货币：人民币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507" w:type="pct"/>
            <w:tcBorders>
              <w:tl2br w:val="nil"/>
              <w:tr2bl w:val="nil"/>
            </w:tcBorders>
            <w:shd w:val="clear" w:color="auto" w:fill="auto"/>
            <w:vAlign w:val="center"/>
          </w:tcPr>
          <w:p w14:paraId="0FD87611">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051" w:type="pct"/>
            <w:tcBorders>
              <w:tl2br w:val="nil"/>
              <w:tr2bl w:val="nil"/>
            </w:tcBorders>
            <w:shd w:val="clear" w:color="auto" w:fill="auto"/>
            <w:vAlign w:val="center"/>
          </w:tcPr>
          <w:p w14:paraId="75536D71">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051" w:type="pct"/>
            <w:tcBorders>
              <w:tl2br w:val="nil"/>
              <w:tr2bl w:val="nil"/>
            </w:tcBorders>
            <w:shd w:val="clear" w:color="auto" w:fill="auto"/>
            <w:vAlign w:val="center"/>
          </w:tcPr>
          <w:p w14:paraId="4111CEED">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39510B3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top"/>
          </w:tcPr>
          <w:p w14:paraId="1929AC2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销售费用</w:t>
            </w:r>
          </w:p>
        </w:tc>
        <w:tc>
          <w:tcPr>
            <w:tcW w:w="1507" w:type="pct"/>
            <w:tcBorders>
              <w:tl2br w:val="nil"/>
              <w:tr2bl w:val="nil"/>
            </w:tcBorders>
            <w:shd w:val="clear" w:color="auto" w:fill="auto"/>
            <w:noWrap/>
            <w:vAlign w:val="top"/>
          </w:tcPr>
          <w:p w14:paraId="2F0D62EB">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right"/>
              <w:rPr>
                <w:rFonts w:hint="default" w:ascii="Times New Roman" w:hAnsi="Times New Roman" w:eastAsia="宋体" w:cs="Times New Roman"/>
                <w:b/>
                <w:bCs/>
                <w:i w:val="0"/>
                <w:iCs w:val="0"/>
                <w:color w:val="auto"/>
                <w:sz w:val="21"/>
                <w:szCs w:val="21"/>
                <w:u w:val="none"/>
              </w:rPr>
            </w:pPr>
          </w:p>
        </w:tc>
        <w:tc>
          <w:tcPr>
            <w:tcW w:w="1051" w:type="pct"/>
            <w:tcBorders>
              <w:tl2br w:val="nil"/>
              <w:tr2bl w:val="nil"/>
            </w:tcBorders>
            <w:shd w:val="clear" w:color="auto" w:fill="auto"/>
            <w:noWrap/>
            <w:vAlign w:val="top"/>
          </w:tcPr>
          <w:p w14:paraId="5103183F">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right"/>
              <w:rPr>
                <w:rFonts w:hint="default" w:ascii="Times New Roman" w:hAnsi="Times New Roman" w:eastAsia="宋体" w:cs="Times New Roman"/>
                <w:b/>
                <w:bCs/>
                <w:i w:val="0"/>
                <w:iCs w:val="0"/>
                <w:color w:val="auto"/>
                <w:sz w:val="21"/>
                <w:szCs w:val="21"/>
                <w:u w:val="none"/>
              </w:rPr>
            </w:pPr>
          </w:p>
        </w:tc>
        <w:tc>
          <w:tcPr>
            <w:tcW w:w="1051" w:type="pct"/>
            <w:tcBorders>
              <w:tl2br w:val="nil"/>
              <w:tr2bl w:val="nil"/>
            </w:tcBorders>
            <w:shd w:val="clear" w:color="auto" w:fill="auto"/>
            <w:noWrap/>
            <w:vAlign w:val="top"/>
          </w:tcPr>
          <w:p w14:paraId="1FA78B31">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right"/>
              <w:rPr>
                <w:rFonts w:hint="default" w:ascii="Times New Roman" w:hAnsi="Times New Roman" w:eastAsia="宋体" w:cs="Times New Roman"/>
                <w:b/>
                <w:bCs/>
                <w:i w:val="0"/>
                <w:iCs w:val="0"/>
                <w:color w:val="auto"/>
                <w:sz w:val="21"/>
                <w:szCs w:val="21"/>
                <w:u w:val="none"/>
              </w:rPr>
            </w:pPr>
          </w:p>
        </w:tc>
      </w:tr>
      <w:tr w14:paraId="089B756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0548EC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奖金</w:t>
            </w:r>
          </w:p>
        </w:tc>
        <w:tc>
          <w:tcPr>
            <w:tcW w:w="1507" w:type="pct"/>
            <w:tcBorders>
              <w:tl2br w:val="nil"/>
              <w:tr2bl w:val="nil"/>
            </w:tcBorders>
            <w:shd w:val="clear" w:color="auto" w:fill="auto"/>
            <w:noWrap/>
            <w:vAlign w:val="center"/>
          </w:tcPr>
          <w:p w14:paraId="232A694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12.00</w:t>
            </w:r>
          </w:p>
        </w:tc>
        <w:tc>
          <w:tcPr>
            <w:tcW w:w="1051" w:type="pct"/>
            <w:tcBorders>
              <w:tl2br w:val="nil"/>
              <w:tr2bl w:val="nil"/>
            </w:tcBorders>
            <w:shd w:val="clear" w:color="auto" w:fill="auto"/>
            <w:noWrap/>
            <w:vAlign w:val="center"/>
          </w:tcPr>
          <w:p w14:paraId="5C76D34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12.00</w:t>
            </w:r>
          </w:p>
        </w:tc>
        <w:tc>
          <w:tcPr>
            <w:tcW w:w="1051" w:type="pct"/>
            <w:tcBorders>
              <w:tl2br w:val="nil"/>
              <w:tr2bl w:val="nil"/>
            </w:tcBorders>
            <w:shd w:val="clear" w:color="auto" w:fill="auto"/>
            <w:noWrap/>
            <w:vAlign w:val="center"/>
          </w:tcPr>
          <w:p w14:paraId="444732B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5236656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A0B046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应发工资</w:t>
            </w:r>
          </w:p>
        </w:tc>
        <w:tc>
          <w:tcPr>
            <w:tcW w:w="1507" w:type="pct"/>
            <w:tcBorders>
              <w:tl2br w:val="nil"/>
              <w:tr2bl w:val="nil"/>
            </w:tcBorders>
            <w:shd w:val="clear" w:color="auto" w:fill="auto"/>
            <w:noWrap/>
            <w:vAlign w:val="center"/>
          </w:tcPr>
          <w:p w14:paraId="431F9EC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9.51</w:t>
            </w:r>
          </w:p>
        </w:tc>
        <w:tc>
          <w:tcPr>
            <w:tcW w:w="1051" w:type="pct"/>
            <w:tcBorders>
              <w:tl2br w:val="nil"/>
              <w:tr2bl w:val="nil"/>
            </w:tcBorders>
            <w:shd w:val="clear" w:color="auto" w:fill="auto"/>
            <w:noWrap/>
            <w:vAlign w:val="center"/>
          </w:tcPr>
          <w:p w14:paraId="0226199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14.51</w:t>
            </w:r>
          </w:p>
        </w:tc>
        <w:tc>
          <w:tcPr>
            <w:tcW w:w="1051" w:type="pct"/>
            <w:tcBorders>
              <w:tl2br w:val="nil"/>
              <w:tr2bl w:val="nil"/>
            </w:tcBorders>
            <w:shd w:val="clear" w:color="auto" w:fill="auto"/>
            <w:noWrap/>
            <w:vAlign w:val="center"/>
          </w:tcPr>
          <w:p w14:paraId="6202163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13.45</w:t>
            </w:r>
          </w:p>
        </w:tc>
      </w:tr>
      <w:tr w14:paraId="49192E2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7314AA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广告宣传费</w:t>
            </w:r>
          </w:p>
        </w:tc>
        <w:tc>
          <w:tcPr>
            <w:tcW w:w="1507" w:type="pct"/>
            <w:tcBorders>
              <w:tl2br w:val="nil"/>
              <w:tr2bl w:val="nil"/>
            </w:tcBorders>
            <w:shd w:val="clear" w:color="auto" w:fill="auto"/>
            <w:noWrap/>
            <w:vAlign w:val="center"/>
          </w:tcPr>
          <w:p w14:paraId="63694A4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8.05</w:t>
            </w:r>
          </w:p>
        </w:tc>
        <w:tc>
          <w:tcPr>
            <w:tcW w:w="1051" w:type="pct"/>
            <w:tcBorders>
              <w:tl2br w:val="nil"/>
              <w:tr2bl w:val="nil"/>
            </w:tcBorders>
            <w:shd w:val="clear" w:color="auto" w:fill="auto"/>
            <w:noWrap/>
            <w:vAlign w:val="center"/>
          </w:tcPr>
          <w:p w14:paraId="25947C6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13.73</w:t>
            </w:r>
          </w:p>
        </w:tc>
        <w:tc>
          <w:tcPr>
            <w:tcW w:w="1051" w:type="pct"/>
            <w:tcBorders>
              <w:tl2br w:val="nil"/>
              <w:tr2bl w:val="nil"/>
            </w:tcBorders>
            <w:shd w:val="clear" w:color="auto" w:fill="auto"/>
            <w:noWrap/>
            <w:vAlign w:val="center"/>
          </w:tcPr>
          <w:p w14:paraId="5F79ABC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0.13</w:t>
            </w:r>
          </w:p>
        </w:tc>
      </w:tr>
      <w:tr w14:paraId="08CE764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7A76D4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网络服务费</w:t>
            </w:r>
          </w:p>
        </w:tc>
        <w:tc>
          <w:tcPr>
            <w:tcW w:w="1507" w:type="pct"/>
            <w:tcBorders>
              <w:tl2br w:val="nil"/>
              <w:tr2bl w:val="nil"/>
            </w:tcBorders>
            <w:shd w:val="clear" w:color="auto" w:fill="auto"/>
            <w:noWrap/>
            <w:vAlign w:val="center"/>
          </w:tcPr>
          <w:p w14:paraId="51E68D3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1.58</w:t>
            </w:r>
          </w:p>
        </w:tc>
        <w:tc>
          <w:tcPr>
            <w:tcW w:w="1051" w:type="pct"/>
            <w:tcBorders>
              <w:tl2br w:val="nil"/>
              <w:tr2bl w:val="nil"/>
            </w:tcBorders>
            <w:shd w:val="clear" w:color="auto" w:fill="auto"/>
            <w:noWrap/>
            <w:vAlign w:val="center"/>
          </w:tcPr>
          <w:p w14:paraId="7D4B7DD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4312AD7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772C9EF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701E79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差旅费</w:t>
            </w:r>
          </w:p>
        </w:tc>
        <w:tc>
          <w:tcPr>
            <w:tcW w:w="1507" w:type="pct"/>
            <w:tcBorders>
              <w:tl2br w:val="nil"/>
              <w:tr2bl w:val="nil"/>
            </w:tcBorders>
            <w:shd w:val="clear" w:color="auto" w:fill="auto"/>
            <w:noWrap/>
            <w:vAlign w:val="center"/>
          </w:tcPr>
          <w:p w14:paraId="3A7A978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0.05</w:t>
            </w:r>
          </w:p>
        </w:tc>
        <w:tc>
          <w:tcPr>
            <w:tcW w:w="1051" w:type="pct"/>
            <w:tcBorders>
              <w:tl2br w:val="nil"/>
              <w:tr2bl w:val="nil"/>
            </w:tcBorders>
            <w:shd w:val="clear" w:color="auto" w:fill="auto"/>
            <w:noWrap/>
            <w:vAlign w:val="center"/>
          </w:tcPr>
          <w:p w14:paraId="261009C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0.52</w:t>
            </w:r>
          </w:p>
        </w:tc>
        <w:tc>
          <w:tcPr>
            <w:tcW w:w="1051" w:type="pct"/>
            <w:tcBorders>
              <w:tl2br w:val="nil"/>
              <w:tr2bl w:val="nil"/>
            </w:tcBorders>
            <w:shd w:val="clear" w:color="auto" w:fill="auto"/>
            <w:noWrap/>
            <w:vAlign w:val="center"/>
          </w:tcPr>
          <w:p w14:paraId="39B3E13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0.41</w:t>
            </w:r>
          </w:p>
        </w:tc>
      </w:tr>
      <w:tr w14:paraId="2136D3A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8E6CE7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招待费</w:t>
            </w:r>
          </w:p>
        </w:tc>
        <w:tc>
          <w:tcPr>
            <w:tcW w:w="1507" w:type="pct"/>
            <w:tcBorders>
              <w:tl2br w:val="nil"/>
              <w:tr2bl w:val="nil"/>
            </w:tcBorders>
            <w:shd w:val="clear" w:color="auto" w:fill="auto"/>
            <w:noWrap/>
            <w:vAlign w:val="center"/>
          </w:tcPr>
          <w:p w14:paraId="6D6A8FC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6841CED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0.29</w:t>
            </w:r>
          </w:p>
        </w:tc>
        <w:tc>
          <w:tcPr>
            <w:tcW w:w="1051" w:type="pct"/>
            <w:tcBorders>
              <w:tl2br w:val="nil"/>
              <w:tr2bl w:val="nil"/>
            </w:tcBorders>
            <w:shd w:val="clear" w:color="auto" w:fill="auto"/>
            <w:noWrap/>
            <w:vAlign w:val="center"/>
          </w:tcPr>
          <w:p w14:paraId="6CECA65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0.06</w:t>
            </w:r>
          </w:p>
        </w:tc>
      </w:tr>
      <w:tr w14:paraId="2AA00B7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BCC8E9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五险一金</w:t>
            </w:r>
          </w:p>
        </w:tc>
        <w:tc>
          <w:tcPr>
            <w:tcW w:w="1507" w:type="pct"/>
            <w:tcBorders>
              <w:tl2br w:val="nil"/>
              <w:tr2bl w:val="nil"/>
            </w:tcBorders>
            <w:shd w:val="clear" w:color="auto" w:fill="auto"/>
            <w:noWrap/>
            <w:vAlign w:val="center"/>
          </w:tcPr>
          <w:p w14:paraId="7B60AFF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1.87</w:t>
            </w:r>
          </w:p>
        </w:tc>
        <w:tc>
          <w:tcPr>
            <w:tcW w:w="1051" w:type="pct"/>
            <w:tcBorders>
              <w:tl2br w:val="nil"/>
              <w:tr2bl w:val="nil"/>
            </w:tcBorders>
            <w:shd w:val="clear" w:color="auto" w:fill="auto"/>
            <w:noWrap/>
            <w:vAlign w:val="center"/>
          </w:tcPr>
          <w:p w14:paraId="40AE8DB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1.99</w:t>
            </w:r>
          </w:p>
        </w:tc>
        <w:tc>
          <w:tcPr>
            <w:tcW w:w="1051" w:type="pct"/>
            <w:tcBorders>
              <w:tl2br w:val="nil"/>
              <w:tr2bl w:val="nil"/>
            </w:tcBorders>
            <w:shd w:val="clear" w:color="auto" w:fill="auto"/>
            <w:noWrap/>
            <w:vAlign w:val="center"/>
          </w:tcPr>
          <w:p w14:paraId="4255C4C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514D46B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857630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展会费</w:t>
            </w:r>
          </w:p>
        </w:tc>
        <w:tc>
          <w:tcPr>
            <w:tcW w:w="1507" w:type="pct"/>
            <w:tcBorders>
              <w:tl2br w:val="nil"/>
              <w:tr2bl w:val="nil"/>
            </w:tcBorders>
            <w:shd w:val="clear" w:color="auto" w:fill="auto"/>
            <w:noWrap/>
            <w:vAlign w:val="center"/>
          </w:tcPr>
          <w:p w14:paraId="66C541E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3F3BC90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4.87</w:t>
            </w:r>
          </w:p>
        </w:tc>
        <w:tc>
          <w:tcPr>
            <w:tcW w:w="1051" w:type="pct"/>
            <w:tcBorders>
              <w:tl2br w:val="nil"/>
              <w:tr2bl w:val="nil"/>
            </w:tcBorders>
            <w:shd w:val="clear" w:color="auto" w:fill="auto"/>
            <w:noWrap/>
            <w:vAlign w:val="center"/>
          </w:tcPr>
          <w:p w14:paraId="713B9E7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2.83</w:t>
            </w:r>
          </w:p>
        </w:tc>
      </w:tr>
      <w:tr w14:paraId="32502D4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FC7083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社保和公积金公司部分</w:t>
            </w:r>
          </w:p>
        </w:tc>
        <w:tc>
          <w:tcPr>
            <w:tcW w:w="1507" w:type="pct"/>
            <w:tcBorders>
              <w:tl2br w:val="nil"/>
              <w:tr2bl w:val="nil"/>
            </w:tcBorders>
            <w:shd w:val="clear" w:color="auto" w:fill="auto"/>
            <w:noWrap/>
            <w:vAlign w:val="center"/>
          </w:tcPr>
          <w:p w14:paraId="4F5EFF2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33F080E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5566303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2.07</w:t>
            </w:r>
          </w:p>
        </w:tc>
      </w:tr>
      <w:tr w14:paraId="5AC479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E20767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507" w:type="pct"/>
            <w:tcBorders>
              <w:tl2br w:val="nil"/>
              <w:tr2bl w:val="nil"/>
            </w:tcBorders>
            <w:shd w:val="clear" w:color="auto" w:fill="auto"/>
            <w:noWrap/>
            <w:vAlign w:val="center"/>
          </w:tcPr>
          <w:p w14:paraId="736E395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33.07</w:t>
            </w:r>
          </w:p>
        </w:tc>
        <w:tc>
          <w:tcPr>
            <w:tcW w:w="1051" w:type="pct"/>
            <w:tcBorders>
              <w:tl2br w:val="nil"/>
              <w:tr2bl w:val="nil"/>
            </w:tcBorders>
            <w:shd w:val="clear" w:color="auto" w:fill="auto"/>
            <w:noWrap/>
            <w:vAlign w:val="center"/>
          </w:tcPr>
          <w:p w14:paraId="3AB663F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47.91</w:t>
            </w:r>
          </w:p>
        </w:tc>
        <w:tc>
          <w:tcPr>
            <w:tcW w:w="1051" w:type="pct"/>
            <w:tcBorders>
              <w:tl2br w:val="nil"/>
              <w:tr2bl w:val="nil"/>
            </w:tcBorders>
            <w:shd w:val="clear" w:color="auto" w:fill="auto"/>
            <w:noWrap/>
            <w:vAlign w:val="center"/>
          </w:tcPr>
          <w:p w14:paraId="0839AA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18.94</w:t>
            </w:r>
          </w:p>
        </w:tc>
      </w:tr>
      <w:tr w14:paraId="3A913D2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top"/>
          </w:tcPr>
          <w:p w14:paraId="67AFEF9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i w:val="0"/>
                <w:iCs w:val="0"/>
                <w:color w:val="auto"/>
                <w:sz w:val="21"/>
                <w:szCs w:val="21"/>
                <w:u w:val="none"/>
              </w:rPr>
            </w:pPr>
            <w:r>
              <w:rPr>
                <w:rFonts w:hint="default" w:ascii="Times New Roman" w:hAnsi="Times New Roman" w:cs="Times New Roman"/>
                <w:b/>
                <w:bCs/>
                <w:i w:val="0"/>
                <w:iCs w:val="0"/>
                <w:color w:val="auto"/>
                <w:kern w:val="0"/>
                <w:sz w:val="21"/>
                <w:szCs w:val="21"/>
                <w:u w:val="none"/>
                <w:lang w:val="en-US" w:eastAsia="zh-CN" w:bidi="ar"/>
                <w14:ligatures w14:val="none"/>
              </w:rPr>
              <w:t>管理</w:t>
            </w:r>
            <w:r>
              <w:rPr>
                <w:rFonts w:hint="default" w:ascii="Times New Roman" w:hAnsi="Times New Roman" w:eastAsia="宋体" w:cs="Times New Roman"/>
                <w:b/>
                <w:bCs/>
                <w:i w:val="0"/>
                <w:iCs w:val="0"/>
                <w:color w:val="auto"/>
                <w:kern w:val="0"/>
                <w:sz w:val="21"/>
                <w:szCs w:val="21"/>
                <w:u w:val="none"/>
                <w:lang w:val="en-US" w:eastAsia="zh-CN" w:bidi="ar"/>
                <w14:ligatures w14:val="none"/>
              </w:rPr>
              <w:t>费用</w:t>
            </w:r>
          </w:p>
        </w:tc>
        <w:tc>
          <w:tcPr>
            <w:tcW w:w="1507" w:type="pct"/>
            <w:tcBorders>
              <w:tl2br w:val="nil"/>
              <w:tr2bl w:val="nil"/>
            </w:tcBorders>
            <w:shd w:val="clear" w:color="auto" w:fill="auto"/>
            <w:noWrap/>
            <w:vAlign w:val="top"/>
          </w:tcPr>
          <w:p w14:paraId="3EDED14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sz w:val="21"/>
                <w:szCs w:val="21"/>
                <w:u w:val="none"/>
              </w:rPr>
            </w:pPr>
          </w:p>
        </w:tc>
        <w:tc>
          <w:tcPr>
            <w:tcW w:w="1051" w:type="pct"/>
            <w:tcBorders>
              <w:tl2br w:val="nil"/>
              <w:tr2bl w:val="nil"/>
            </w:tcBorders>
            <w:shd w:val="clear" w:color="auto" w:fill="auto"/>
            <w:noWrap/>
            <w:vAlign w:val="top"/>
          </w:tcPr>
          <w:p w14:paraId="4469E2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sz w:val="21"/>
                <w:szCs w:val="21"/>
                <w:u w:val="none"/>
              </w:rPr>
            </w:pPr>
          </w:p>
        </w:tc>
        <w:tc>
          <w:tcPr>
            <w:tcW w:w="1051" w:type="pct"/>
            <w:tcBorders>
              <w:tl2br w:val="nil"/>
              <w:tr2bl w:val="nil"/>
            </w:tcBorders>
            <w:shd w:val="clear" w:color="auto" w:fill="auto"/>
            <w:noWrap/>
            <w:vAlign w:val="top"/>
          </w:tcPr>
          <w:p w14:paraId="281C23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sz w:val="21"/>
                <w:szCs w:val="21"/>
                <w:u w:val="none"/>
              </w:rPr>
            </w:pPr>
          </w:p>
        </w:tc>
      </w:tr>
      <w:tr w14:paraId="1FE81CF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40E478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应发工资</w:t>
            </w:r>
          </w:p>
        </w:tc>
        <w:tc>
          <w:tcPr>
            <w:tcW w:w="1507" w:type="pct"/>
            <w:tcBorders>
              <w:tl2br w:val="nil"/>
              <w:tr2bl w:val="nil"/>
            </w:tcBorders>
            <w:shd w:val="clear" w:color="auto" w:fill="auto"/>
            <w:noWrap/>
            <w:vAlign w:val="center"/>
          </w:tcPr>
          <w:p w14:paraId="2F9C339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217.23</w:t>
            </w:r>
          </w:p>
        </w:tc>
        <w:tc>
          <w:tcPr>
            <w:tcW w:w="1051" w:type="pct"/>
            <w:tcBorders>
              <w:tl2br w:val="nil"/>
              <w:tr2bl w:val="nil"/>
            </w:tcBorders>
            <w:shd w:val="clear" w:color="auto" w:fill="auto"/>
            <w:noWrap/>
            <w:vAlign w:val="center"/>
          </w:tcPr>
          <w:p w14:paraId="5DCBA71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281.10</w:t>
            </w:r>
          </w:p>
        </w:tc>
        <w:tc>
          <w:tcPr>
            <w:tcW w:w="1051" w:type="pct"/>
            <w:tcBorders>
              <w:tl2br w:val="nil"/>
              <w:tr2bl w:val="nil"/>
            </w:tcBorders>
            <w:shd w:val="clear" w:color="auto" w:fill="auto"/>
            <w:noWrap/>
            <w:vAlign w:val="center"/>
          </w:tcPr>
          <w:p w14:paraId="19F24BE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221.40</w:t>
            </w:r>
          </w:p>
        </w:tc>
      </w:tr>
      <w:tr w14:paraId="4F43A8A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A92036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股份支付</w:t>
            </w:r>
          </w:p>
        </w:tc>
        <w:tc>
          <w:tcPr>
            <w:tcW w:w="1507" w:type="pct"/>
            <w:tcBorders>
              <w:tl2br w:val="nil"/>
              <w:tr2bl w:val="nil"/>
            </w:tcBorders>
            <w:shd w:val="clear" w:color="auto" w:fill="auto"/>
            <w:noWrap/>
            <w:vAlign w:val="center"/>
          </w:tcPr>
          <w:p w14:paraId="3304160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122.88</w:t>
            </w:r>
          </w:p>
        </w:tc>
        <w:tc>
          <w:tcPr>
            <w:tcW w:w="1051" w:type="pct"/>
            <w:tcBorders>
              <w:tl2br w:val="nil"/>
              <w:tr2bl w:val="nil"/>
            </w:tcBorders>
            <w:shd w:val="clear" w:color="auto" w:fill="auto"/>
            <w:noWrap/>
            <w:vAlign w:val="center"/>
          </w:tcPr>
          <w:p w14:paraId="05B1E61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134.43</w:t>
            </w:r>
          </w:p>
        </w:tc>
        <w:tc>
          <w:tcPr>
            <w:tcW w:w="1051" w:type="pct"/>
            <w:tcBorders>
              <w:tl2br w:val="nil"/>
              <w:tr2bl w:val="nil"/>
            </w:tcBorders>
            <w:shd w:val="clear" w:color="auto" w:fill="auto"/>
            <w:noWrap/>
            <w:vAlign w:val="center"/>
          </w:tcPr>
          <w:p w14:paraId="5668152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134.43</w:t>
            </w:r>
          </w:p>
        </w:tc>
      </w:tr>
      <w:tr w14:paraId="7A545A6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F22F6F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奖金</w:t>
            </w:r>
          </w:p>
        </w:tc>
        <w:tc>
          <w:tcPr>
            <w:tcW w:w="1507" w:type="pct"/>
            <w:tcBorders>
              <w:tl2br w:val="nil"/>
              <w:tr2bl w:val="nil"/>
            </w:tcBorders>
            <w:shd w:val="clear" w:color="auto" w:fill="auto"/>
            <w:noWrap/>
            <w:vAlign w:val="center"/>
          </w:tcPr>
          <w:p w14:paraId="2A3BA8E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95.90</w:t>
            </w:r>
          </w:p>
        </w:tc>
        <w:tc>
          <w:tcPr>
            <w:tcW w:w="1051" w:type="pct"/>
            <w:tcBorders>
              <w:tl2br w:val="nil"/>
              <w:tr2bl w:val="nil"/>
            </w:tcBorders>
            <w:shd w:val="clear" w:color="auto" w:fill="auto"/>
            <w:noWrap/>
            <w:vAlign w:val="center"/>
          </w:tcPr>
          <w:p w14:paraId="5BB0C7D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109.22</w:t>
            </w:r>
          </w:p>
        </w:tc>
        <w:tc>
          <w:tcPr>
            <w:tcW w:w="1051" w:type="pct"/>
            <w:tcBorders>
              <w:tl2br w:val="nil"/>
              <w:tr2bl w:val="nil"/>
            </w:tcBorders>
            <w:shd w:val="clear" w:color="auto" w:fill="auto"/>
            <w:noWrap/>
            <w:vAlign w:val="center"/>
          </w:tcPr>
          <w:p w14:paraId="7E71ECB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0.00</w:t>
            </w:r>
          </w:p>
        </w:tc>
      </w:tr>
      <w:tr w14:paraId="523FF1C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24CADE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咨询费</w:t>
            </w:r>
          </w:p>
        </w:tc>
        <w:tc>
          <w:tcPr>
            <w:tcW w:w="1507" w:type="pct"/>
            <w:tcBorders>
              <w:tl2br w:val="nil"/>
              <w:tr2bl w:val="nil"/>
            </w:tcBorders>
            <w:shd w:val="clear" w:color="auto" w:fill="auto"/>
            <w:noWrap/>
            <w:vAlign w:val="center"/>
          </w:tcPr>
          <w:p w14:paraId="78AFC53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73.05</w:t>
            </w:r>
          </w:p>
        </w:tc>
        <w:tc>
          <w:tcPr>
            <w:tcW w:w="1051" w:type="pct"/>
            <w:tcBorders>
              <w:tl2br w:val="nil"/>
              <w:tr2bl w:val="nil"/>
            </w:tcBorders>
            <w:shd w:val="clear" w:color="auto" w:fill="auto"/>
            <w:noWrap/>
            <w:vAlign w:val="center"/>
          </w:tcPr>
          <w:p w14:paraId="73A71A7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70.96</w:t>
            </w:r>
          </w:p>
        </w:tc>
        <w:tc>
          <w:tcPr>
            <w:tcW w:w="1051" w:type="pct"/>
            <w:tcBorders>
              <w:tl2br w:val="nil"/>
              <w:tr2bl w:val="nil"/>
            </w:tcBorders>
            <w:shd w:val="clear" w:color="auto" w:fill="auto"/>
            <w:noWrap/>
            <w:vAlign w:val="center"/>
          </w:tcPr>
          <w:p w14:paraId="4CB464F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12.24</w:t>
            </w:r>
          </w:p>
        </w:tc>
      </w:tr>
      <w:tr w14:paraId="357E2BE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1805EA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折旧费</w:t>
            </w:r>
          </w:p>
        </w:tc>
        <w:tc>
          <w:tcPr>
            <w:tcW w:w="1507" w:type="pct"/>
            <w:tcBorders>
              <w:tl2br w:val="nil"/>
              <w:tr2bl w:val="nil"/>
            </w:tcBorders>
            <w:shd w:val="clear" w:color="auto" w:fill="auto"/>
            <w:noWrap/>
            <w:vAlign w:val="center"/>
          </w:tcPr>
          <w:p w14:paraId="368390F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48.42</w:t>
            </w:r>
          </w:p>
        </w:tc>
        <w:tc>
          <w:tcPr>
            <w:tcW w:w="1051" w:type="pct"/>
            <w:tcBorders>
              <w:tl2br w:val="nil"/>
              <w:tr2bl w:val="nil"/>
            </w:tcBorders>
            <w:shd w:val="clear" w:color="auto" w:fill="auto"/>
            <w:noWrap/>
            <w:vAlign w:val="center"/>
          </w:tcPr>
          <w:p w14:paraId="319C855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65.93</w:t>
            </w:r>
          </w:p>
        </w:tc>
        <w:tc>
          <w:tcPr>
            <w:tcW w:w="1051" w:type="pct"/>
            <w:tcBorders>
              <w:tl2br w:val="nil"/>
              <w:tr2bl w:val="nil"/>
            </w:tcBorders>
            <w:shd w:val="clear" w:color="auto" w:fill="auto"/>
            <w:noWrap/>
            <w:vAlign w:val="center"/>
          </w:tcPr>
          <w:p w14:paraId="67F7A70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68.13</w:t>
            </w:r>
          </w:p>
        </w:tc>
      </w:tr>
      <w:tr w14:paraId="3F1422A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CA4200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福利费</w:t>
            </w:r>
          </w:p>
        </w:tc>
        <w:tc>
          <w:tcPr>
            <w:tcW w:w="1507" w:type="pct"/>
            <w:tcBorders>
              <w:tl2br w:val="nil"/>
              <w:tr2bl w:val="nil"/>
            </w:tcBorders>
            <w:shd w:val="clear" w:color="auto" w:fill="auto"/>
            <w:noWrap/>
            <w:vAlign w:val="center"/>
          </w:tcPr>
          <w:p w14:paraId="489F6F5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43.42</w:t>
            </w:r>
          </w:p>
        </w:tc>
        <w:tc>
          <w:tcPr>
            <w:tcW w:w="1051" w:type="pct"/>
            <w:tcBorders>
              <w:tl2br w:val="nil"/>
              <w:tr2bl w:val="nil"/>
            </w:tcBorders>
            <w:shd w:val="clear" w:color="auto" w:fill="auto"/>
            <w:noWrap/>
            <w:vAlign w:val="center"/>
          </w:tcPr>
          <w:p w14:paraId="1CB928C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36.13</w:t>
            </w:r>
          </w:p>
        </w:tc>
        <w:tc>
          <w:tcPr>
            <w:tcW w:w="1051" w:type="pct"/>
            <w:tcBorders>
              <w:tl2br w:val="nil"/>
              <w:tr2bl w:val="nil"/>
            </w:tcBorders>
            <w:shd w:val="clear" w:color="auto" w:fill="auto"/>
            <w:noWrap/>
            <w:vAlign w:val="center"/>
          </w:tcPr>
          <w:p w14:paraId="093D028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13.17</w:t>
            </w:r>
          </w:p>
        </w:tc>
      </w:tr>
      <w:tr w14:paraId="0295881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9B16E5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律师服务费</w:t>
            </w:r>
          </w:p>
        </w:tc>
        <w:tc>
          <w:tcPr>
            <w:tcW w:w="1507" w:type="pct"/>
            <w:tcBorders>
              <w:tl2br w:val="nil"/>
              <w:tr2bl w:val="nil"/>
            </w:tcBorders>
            <w:shd w:val="clear" w:color="auto" w:fill="auto"/>
            <w:noWrap/>
            <w:vAlign w:val="center"/>
          </w:tcPr>
          <w:p w14:paraId="44EE041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8.19</w:t>
            </w:r>
          </w:p>
        </w:tc>
        <w:tc>
          <w:tcPr>
            <w:tcW w:w="1051" w:type="pct"/>
            <w:tcBorders>
              <w:tl2br w:val="nil"/>
              <w:tr2bl w:val="nil"/>
            </w:tcBorders>
            <w:shd w:val="clear" w:color="auto" w:fill="auto"/>
            <w:noWrap/>
            <w:vAlign w:val="center"/>
          </w:tcPr>
          <w:p w14:paraId="376A17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25.99</w:t>
            </w:r>
          </w:p>
        </w:tc>
        <w:tc>
          <w:tcPr>
            <w:tcW w:w="1051" w:type="pct"/>
            <w:tcBorders>
              <w:tl2br w:val="nil"/>
              <w:tr2bl w:val="nil"/>
            </w:tcBorders>
            <w:shd w:val="clear" w:color="auto" w:fill="auto"/>
            <w:noWrap/>
            <w:vAlign w:val="center"/>
          </w:tcPr>
          <w:p w14:paraId="7C7A4C0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1.42</w:t>
            </w:r>
          </w:p>
        </w:tc>
      </w:tr>
      <w:tr w14:paraId="592BFBF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97EA58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租赁费</w:t>
            </w:r>
          </w:p>
        </w:tc>
        <w:tc>
          <w:tcPr>
            <w:tcW w:w="1507" w:type="pct"/>
            <w:tcBorders>
              <w:tl2br w:val="nil"/>
              <w:tr2bl w:val="nil"/>
            </w:tcBorders>
            <w:shd w:val="clear" w:color="auto" w:fill="auto"/>
            <w:noWrap/>
            <w:vAlign w:val="center"/>
          </w:tcPr>
          <w:p w14:paraId="280B139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9.80</w:t>
            </w:r>
          </w:p>
        </w:tc>
        <w:tc>
          <w:tcPr>
            <w:tcW w:w="1051" w:type="pct"/>
            <w:tcBorders>
              <w:tl2br w:val="nil"/>
              <w:tr2bl w:val="nil"/>
            </w:tcBorders>
            <w:shd w:val="clear" w:color="auto" w:fill="auto"/>
            <w:noWrap/>
            <w:vAlign w:val="center"/>
          </w:tcPr>
          <w:p w14:paraId="5F09419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25.54</w:t>
            </w:r>
          </w:p>
        </w:tc>
        <w:tc>
          <w:tcPr>
            <w:tcW w:w="1051" w:type="pct"/>
            <w:tcBorders>
              <w:tl2br w:val="nil"/>
              <w:tr2bl w:val="nil"/>
            </w:tcBorders>
            <w:shd w:val="clear" w:color="auto" w:fill="auto"/>
            <w:noWrap/>
            <w:vAlign w:val="center"/>
          </w:tcPr>
          <w:p w14:paraId="4F376BE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83.41</w:t>
            </w:r>
          </w:p>
        </w:tc>
      </w:tr>
      <w:tr w14:paraId="14D4E05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41E0E7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技术服务费</w:t>
            </w:r>
          </w:p>
        </w:tc>
        <w:tc>
          <w:tcPr>
            <w:tcW w:w="1507" w:type="pct"/>
            <w:tcBorders>
              <w:tl2br w:val="nil"/>
              <w:tr2bl w:val="nil"/>
            </w:tcBorders>
            <w:shd w:val="clear" w:color="auto" w:fill="auto"/>
            <w:noWrap/>
            <w:vAlign w:val="center"/>
          </w:tcPr>
          <w:p w14:paraId="63D834C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13.75</w:t>
            </w:r>
          </w:p>
        </w:tc>
        <w:tc>
          <w:tcPr>
            <w:tcW w:w="1051" w:type="pct"/>
            <w:tcBorders>
              <w:tl2br w:val="nil"/>
              <w:tr2bl w:val="nil"/>
            </w:tcBorders>
            <w:shd w:val="clear" w:color="auto" w:fill="auto"/>
            <w:noWrap/>
            <w:vAlign w:val="center"/>
          </w:tcPr>
          <w:p w14:paraId="3D71E5E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23.75</w:t>
            </w:r>
          </w:p>
        </w:tc>
        <w:tc>
          <w:tcPr>
            <w:tcW w:w="1051" w:type="pct"/>
            <w:tcBorders>
              <w:tl2br w:val="nil"/>
              <w:tr2bl w:val="nil"/>
            </w:tcBorders>
            <w:shd w:val="clear" w:color="auto" w:fill="auto"/>
            <w:noWrap/>
            <w:vAlign w:val="center"/>
          </w:tcPr>
          <w:p w14:paraId="62828A5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15.38</w:t>
            </w:r>
          </w:p>
        </w:tc>
      </w:tr>
      <w:tr w14:paraId="35683DC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209195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审计费</w:t>
            </w:r>
          </w:p>
        </w:tc>
        <w:tc>
          <w:tcPr>
            <w:tcW w:w="1507" w:type="pct"/>
            <w:tcBorders>
              <w:tl2br w:val="nil"/>
              <w:tr2bl w:val="nil"/>
            </w:tcBorders>
            <w:shd w:val="clear" w:color="auto" w:fill="auto"/>
            <w:noWrap/>
            <w:vAlign w:val="center"/>
          </w:tcPr>
          <w:p w14:paraId="626DF60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27.63</w:t>
            </w:r>
          </w:p>
        </w:tc>
        <w:tc>
          <w:tcPr>
            <w:tcW w:w="1051" w:type="pct"/>
            <w:tcBorders>
              <w:tl2br w:val="nil"/>
              <w:tr2bl w:val="nil"/>
            </w:tcBorders>
            <w:shd w:val="clear" w:color="auto" w:fill="auto"/>
            <w:noWrap/>
            <w:vAlign w:val="center"/>
          </w:tcPr>
          <w:p w14:paraId="6F81CEE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23.47</w:t>
            </w:r>
          </w:p>
        </w:tc>
        <w:tc>
          <w:tcPr>
            <w:tcW w:w="1051" w:type="pct"/>
            <w:tcBorders>
              <w:tl2br w:val="nil"/>
              <w:tr2bl w:val="nil"/>
            </w:tcBorders>
            <w:shd w:val="clear" w:color="auto" w:fill="auto"/>
            <w:noWrap/>
            <w:vAlign w:val="center"/>
          </w:tcPr>
          <w:p w14:paraId="4C960F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3.30</w:t>
            </w:r>
          </w:p>
        </w:tc>
      </w:tr>
      <w:tr w14:paraId="1DCFD80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6D2184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社保和公积金公司部分</w:t>
            </w:r>
          </w:p>
        </w:tc>
        <w:tc>
          <w:tcPr>
            <w:tcW w:w="1507" w:type="pct"/>
            <w:tcBorders>
              <w:tl2br w:val="nil"/>
              <w:tr2bl w:val="nil"/>
            </w:tcBorders>
            <w:shd w:val="clear" w:color="auto" w:fill="auto"/>
            <w:noWrap/>
            <w:vAlign w:val="center"/>
          </w:tcPr>
          <w:p w14:paraId="31C4A3B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5.42</w:t>
            </w:r>
          </w:p>
        </w:tc>
        <w:tc>
          <w:tcPr>
            <w:tcW w:w="1051" w:type="pct"/>
            <w:tcBorders>
              <w:tl2br w:val="nil"/>
              <w:tr2bl w:val="nil"/>
            </w:tcBorders>
            <w:shd w:val="clear" w:color="auto" w:fill="auto"/>
            <w:noWrap/>
            <w:vAlign w:val="center"/>
          </w:tcPr>
          <w:p w14:paraId="208E763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22.64</w:t>
            </w:r>
          </w:p>
        </w:tc>
        <w:tc>
          <w:tcPr>
            <w:tcW w:w="1051" w:type="pct"/>
            <w:tcBorders>
              <w:tl2br w:val="nil"/>
              <w:tr2bl w:val="nil"/>
            </w:tcBorders>
            <w:shd w:val="clear" w:color="auto" w:fill="auto"/>
            <w:noWrap/>
            <w:vAlign w:val="center"/>
          </w:tcPr>
          <w:p w14:paraId="26C27AC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20.61</w:t>
            </w:r>
          </w:p>
        </w:tc>
      </w:tr>
      <w:tr w14:paraId="594A30D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DE7E2E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待摊费</w:t>
            </w:r>
          </w:p>
        </w:tc>
        <w:tc>
          <w:tcPr>
            <w:tcW w:w="1507" w:type="pct"/>
            <w:tcBorders>
              <w:tl2br w:val="nil"/>
              <w:tr2bl w:val="nil"/>
            </w:tcBorders>
            <w:shd w:val="clear" w:color="auto" w:fill="auto"/>
            <w:noWrap/>
            <w:vAlign w:val="center"/>
          </w:tcPr>
          <w:p w14:paraId="189169B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3.39</w:t>
            </w:r>
          </w:p>
        </w:tc>
        <w:tc>
          <w:tcPr>
            <w:tcW w:w="1051" w:type="pct"/>
            <w:tcBorders>
              <w:tl2br w:val="nil"/>
              <w:tr2bl w:val="nil"/>
            </w:tcBorders>
            <w:shd w:val="clear" w:color="auto" w:fill="auto"/>
            <w:noWrap/>
            <w:vAlign w:val="center"/>
          </w:tcPr>
          <w:p w14:paraId="412CA2A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21.63</w:t>
            </w:r>
          </w:p>
        </w:tc>
        <w:tc>
          <w:tcPr>
            <w:tcW w:w="1051" w:type="pct"/>
            <w:tcBorders>
              <w:tl2br w:val="nil"/>
              <w:tr2bl w:val="nil"/>
            </w:tcBorders>
            <w:shd w:val="clear" w:color="auto" w:fill="auto"/>
            <w:noWrap/>
            <w:vAlign w:val="center"/>
          </w:tcPr>
          <w:p w14:paraId="4DE8D98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57.65</w:t>
            </w:r>
          </w:p>
        </w:tc>
      </w:tr>
      <w:tr w14:paraId="1257F3D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0956AB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招待费</w:t>
            </w:r>
          </w:p>
        </w:tc>
        <w:tc>
          <w:tcPr>
            <w:tcW w:w="1507" w:type="pct"/>
            <w:tcBorders>
              <w:tl2br w:val="nil"/>
              <w:tr2bl w:val="nil"/>
            </w:tcBorders>
            <w:shd w:val="clear" w:color="auto" w:fill="auto"/>
            <w:noWrap/>
            <w:vAlign w:val="center"/>
          </w:tcPr>
          <w:p w14:paraId="6588550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7.96</w:t>
            </w:r>
          </w:p>
        </w:tc>
        <w:tc>
          <w:tcPr>
            <w:tcW w:w="1051" w:type="pct"/>
            <w:tcBorders>
              <w:tl2br w:val="nil"/>
              <w:tr2bl w:val="nil"/>
            </w:tcBorders>
            <w:shd w:val="clear" w:color="auto" w:fill="auto"/>
            <w:noWrap/>
            <w:vAlign w:val="center"/>
          </w:tcPr>
          <w:p w14:paraId="4ADF75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18.69</w:t>
            </w:r>
          </w:p>
        </w:tc>
        <w:tc>
          <w:tcPr>
            <w:tcW w:w="1051" w:type="pct"/>
            <w:tcBorders>
              <w:tl2br w:val="nil"/>
              <w:tr2bl w:val="nil"/>
            </w:tcBorders>
            <w:shd w:val="clear" w:color="auto" w:fill="auto"/>
            <w:noWrap/>
            <w:vAlign w:val="center"/>
          </w:tcPr>
          <w:p w14:paraId="1C43ED9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20.62</w:t>
            </w:r>
          </w:p>
        </w:tc>
      </w:tr>
      <w:tr w14:paraId="4A08DB5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0B72E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电费</w:t>
            </w:r>
          </w:p>
        </w:tc>
        <w:tc>
          <w:tcPr>
            <w:tcW w:w="1507" w:type="pct"/>
            <w:tcBorders>
              <w:tl2br w:val="nil"/>
              <w:tr2bl w:val="nil"/>
            </w:tcBorders>
            <w:shd w:val="clear" w:color="auto" w:fill="auto"/>
            <w:noWrap/>
            <w:vAlign w:val="center"/>
          </w:tcPr>
          <w:p w14:paraId="0B06A25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8.09</w:t>
            </w:r>
          </w:p>
        </w:tc>
        <w:tc>
          <w:tcPr>
            <w:tcW w:w="1051" w:type="pct"/>
            <w:tcBorders>
              <w:tl2br w:val="nil"/>
              <w:tr2bl w:val="nil"/>
            </w:tcBorders>
            <w:shd w:val="clear" w:color="auto" w:fill="auto"/>
            <w:noWrap/>
            <w:vAlign w:val="center"/>
          </w:tcPr>
          <w:p w14:paraId="69E28D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14.16</w:t>
            </w:r>
          </w:p>
        </w:tc>
        <w:tc>
          <w:tcPr>
            <w:tcW w:w="1051" w:type="pct"/>
            <w:tcBorders>
              <w:tl2br w:val="nil"/>
              <w:tr2bl w:val="nil"/>
            </w:tcBorders>
            <w:shd w:val="clear" w:color="auto" w:fill="auto"/>
            <w:noWrap/>
            <w:vAlign w:val="center"/>
          </w:tcPr>
          <w:p w14:paraId="5A3C748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20.96</w:t>
            </w:r>
          </w:p>
        </w:tc>
      </w:tr>
      <w:tr w14:paraId="75CE828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C7B43E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会务费</w:t>
            </w:r>
          </w:p>
        </w:tc>
        <w:tc>
          <w:tcPr>
            <w:tcW w:w="1507" w:type="pct"/>
            <w:tcBorders>
              <w:tl2br w:val="nil"/>
              <w:tr2bl w:val="nil"/>
            </w:tcBorders>
            <w:shd w:val="clear" w:color="auto" w:fill="auto"/>
            <w:noWrap/>
            <w:vAlign w:val="center"/>
          </w:tcPr>
          <w:p w14:paraId="22C46B4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0.11</w:t>
            </w:r>
          </w:p>
        </w:tc>
        <w:tc>
          <w:tcPr>
            <w:tcW w:w="1051" w:type="pct"/>
            <w:tcBorders>
              <w:tl2br w:val="nil"/>
              <w:tr2bl w:val="nil"/>
            </w:tcBorders>
            <w:shd w:val="clear" w:color="auto" w:fill="auto"/>
            <w:noWrap/>
            <w:vAlign w:val="center"/>
          </w:tcPr>
          <w:p w14:paraId="6E30996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11.98</w:t>
            </w:r>
          </w:p>
        </w:tc>
        <w:tc>
          <w:tcPr>
            <w:tcW w:w="1051" w:type="pct"/>
            <w:tcBorders>
              <w:tl2br w:val="nil"/>
              <w:tr2bl w:val="nil"/>
            </w:tcBorders>
            <w:shd w:val="clear" w:color="auto" w:fill="auto"/>
            <w:noWrap/>
            <w:vAlign w:val="center"/>
          </w:tcPr>
          <w:p w14:paraId="7355FC6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0.68</w:t>
            </w:r>
          </w:p>
        </w:tc>
      </w:tr>
      <w:tr w14:paraId="4678DC5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298A0C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物业费</w:t>
            </w:r>
          </w:p>
        </w:tc>
        <w:tc>
          <w:tcPr>
            <w:tcW w:w="1507" w:type="pct"/>
            <w:tcBorders>
              <w:tl2br w:val="nil"/>
              <w:tr2bl w:val="nil"/>
            </w:tcBorders>
            <w:shd w:val="clear" w:color="auto" w:fill="auto"/>
            <w:noWrap/>
            <w:vAlign w:val="center"/>
          </w:tcPr>
          <w:p w14:paraId="0DCDCDA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8.74</w:t>
            </w:r>
          </w:p>
        </w:tc>
        <w:tc>
          <w:tcPr>
            <w:tcW w:w="1051" w:type="pct"/>
            <w:tcBorders>
              <w:tl2br w:val="nil"/>
              <w:tr2bl w:val="nil"/>
            </w:tcBorders>
            <w:shd w:val="clear" w:color="auto" w:fill="auto"/>
            <w:noWrap/>
            <w:vAlign w:val="center"/>
          </w:tcPr>
          <w:p w14:paraId="19A043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10.39</w:t>
            </w:r>
          </w:p>
        </w:tc>
        <w:tc>
          <w:tcPr>
            <w:tcW w:w="1051" w:type="pct"/>
            <w:tcBorders>
              <w:tl2br w:val="nil"/>
              <w:tr2bl w:val="nil"/>
            </w:tcBorders>
            <w:shd w:val="clear" w:color="auto" w:fill="auto"/>
            <w:noWrap/>
            <w:vAlign w:val="center"/>
          </w:tcPr>
          <w:p w14:paraId="5BB652D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15.10</w:t>
            </w:r>
          </w:p>
        </w:tc>
      </w:tr>
      <w:tr w14:paraId="5769ACB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708ABD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差旅费</w:t>
            </w:r>
          </w:p>
        </w:tc>
        <w:tc>
          <w:tcPr>
            <w:tcW w:w="1507" w:type="pct"/>
            <w:tcBorders>
              <w:tl2br w:val="nil"/>
              <w:tr2bl w:val="nil"/>
            </w:tcBorders>
            <w:shd w:val="clear" w:color="auto" w:fill="auto"/>
            <w:noWrap/>
            <w:vAlign w:val="center"/>
          </w:tcPr>
          <w:p w14:paraId="10C513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4.95</w:t>
            </w:r>
          </w:p>
        </w:tc>
        <w:tc>
          <w:tcPr>
            <w:tcW w:w="1051" w:type="pct"/>
            <w:tcBorders>
              <w:tl2br w:val="nil"/>
              <w:tr2bl w:val="nil"/>
            </w:tcBorders>
            <w:shd w:val="clear" w:color="auto" w:fill="auto"/>
            <w:noWrap/>
            <w:vAlign w:val="center"/>
          </w:tcPr>
          <w:p w14:paraId="234BEA3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9.28</w:t>
            </w:r>
          </w:p>
        </w:tc>
        <w:tc>
          <w:tcPr>
            <w:tcW w:w="1051" w:type="pct"/>
            <w:tcBorders>
              <w:tl2br w:val="nil"/>
              <w:tr2bl w:val="nil"/>
            </w:tcBorders>
            <w:shd w:val="clear" w:color="auto" w:fill="auto"/>
            <w:noWrap/>
            <w:vAlign w:val="center"/>
          </w:tcPr>
          <w:p w14:paraId="7687D5D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26.17</w:t>
            </w:r>
          </w:p>
        </w:tc>
      </w:tr>
      <w:tr w14:paraId="1ADDDE0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A2245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办公费</w:t>
            </w:r>
          </w:p>
        </w:tc>
        <w:tc>
          <w:tcPr>
            <w:tcW w:w="1507" w:type="pct"/>
            <w:tcBorders>
              <w:tl2br w:val="nil"/>
              <w:tr2bl w:val="nil"/>
            </w:tcBorders>
            <w:shd w:val="clear" w:color="auto" w:fill="auto"/>
            <w:noWrap/>
            <w:vAlign w:val="center"/>
          </w:tcPr>
          <w:p w14:paraId="034EAD8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9.30</w:t>
            </w:r>
          </w:p>
        </w:tc>
        <w:tc>
          <w:tcPr>
            <w:tcW w:w="1051" w:type="pct"/>
            <w:tcBorders>
              <w:tl2br w:val="nil"/>
              <w:tr2bl w:val="nil"/>
            </w:tcBorders>
            <w:shd w:val="clear" w:color="auto" w:fill="auto"/>
            <w:noWrap/>
            <w:vAlign w:val="center"/>
          </w:tcPr>
          <w:p w14:paraId="5FE410E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9.09</w:t>
            </w:r>
          </w:p>
        </w:tc>
        <w:tc>
          <w:tcPr>
            <w:tcW w:w="1051" w:type="pct"/>
            <w:tcBorders>
              <w:tl2br w:val="nil"/>
              <w:tr2bl w:val="nil"/>
            </w:tcBorders>
            <w:shd w:val="clear" w:color="auto" w:fill="auto"/>
            <w:noWrap/>
            <w:vAlign w:val="center"/>
          </w:tcPr>
          <w:p w14:paraId="5C1302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9.71</w:t>
            </w:r>
          </w:p>
        </w:tc>
      </w:tr>
      <w:tr w14:paraId="5D86D82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2A75140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管理税金</w:t>
            </w:r>
          </w:p>
        </w:tc>
        <w:tc>
          <w:tcPr>
            <w:tcW w:w="1507" w:type="pct"/>
            <w:tcBorders>
              <w:tl2br w:val="nil"/>
              <w:tr2bl w:val="nil"/>
            </w:tcBorders>
            <w:shd w:val="clear" w:color="auto" w:fill="auto"/>
            <w:noWrap/>
            <w:vAlign w:val="center"/>
          </w:tcPr>
          <w:p w14:paraId="65ABF60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0.24</w:t>
            </w:r>
          </w:p>
        </w:tc>
        <w:tc>
          <w:tcPr>
            <w:tcW w:w="1051" w:type="pct"/>
            <w:tcBorders>
              <w:tl2br w:val="nil"/>
              <w:tr2bl w:val="nil"/>
            </w:tcBorders>
            <w:shd w:val="clear" w:color="auto" w:fill="auto"/>
            <w:noWrap/>
            <w:vAlign w:val="center"/>
          </w:tcPr>
          <w:p w14:paraId="7286A57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8.28</w:t>
            </w:r>
          </w:p>
        </w:tc>
        <w:tc>
          <w:tcPr>
            <w:tcW w:w="1051" w:type="pct"/>
            <w:tcBorders>
              <w:tl2br w:val="nil"/>
              <w:tr2bl w:val="nil"/>
            </w:tcBorders>
            <w:shd w:val="clear" w:color="auto" w:fill="auto"/>
            <w:noWrap/>
            <w:vAlign w:val="center"/>
          </w:tcPr>
          <w:p w14:paraId="5CCBCAF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13.58</w:t>
            </w:r>
          </w:p>
        </w:tc>
      </w:tr>
      <w:tr w14:paraId="495EA09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EC9CB0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建筑服务费</w:t>
            </w:r>
          </w:p>
        </w:tc>
        <w:tc>
          <w:tcPr>
            <w:tcW w:w="1507" w:type="pct"/>
            <w:tcBorders>
              <w:tl2br w:val="nil"/>
              <w:tr2bl w:val="nil"/>
            </w:tcBorders>
            <w:shd w:val="clear" w:color="auto" w:fill="auto"/>
            <w:noWrap/>
            <w:vAlign w:val="center"/>
          </w:tcPr>
          <w:p w14:paraId="6E1CFA4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1.75</w:t>
            </w:r>
          </w:p>
        </w:tc>
        <w:tc>
          <w:tcPr>
            <w:tcW w:w="1051" w:type="pct"/>
            <w:tcBorders>
              <w:tl2br w:val="nil"/>
              <w:tr2bl w:val="nil"/>
            </w:tcBorders>
            <w:shd w:val="clear" w:color="auto" w:fill="auto"/>
            <w:noWrap/>
            <w:vAlign w:val="center"/>
          </w:tcPr>
          <w:p w14:paraId="54D12AA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5.98</w:t>
            </w:r>
          </w:p>
        </w:tc>
        <w:tc>
          <w:tcPr>
            <w:tcW w:w="1051" w:type="pct"/>
            <w:tcBorders>
              <w:tl2br w:val="nil"/>
              <w:tr2bl w:val="nil"/>
            </w:tcBorders>
            <w:shd w:val="clear" w:color="auto" w:fill="auto"/>
            <w:noWrap/>
            <w:vAlign w:val="center"/>
          </w:tcPr>
          <w:p w14:paraId="44B287B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0.19</w:t>
            </w:r>
          </w:p>
        </w:tc>
      </w:tr>
      <w:tr w14:paraId="38CEB95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4725C9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广告宣传费</w:t>
            </w:r>
          </w:p>
        </w:tc>
        <w:tc>
          <w:tcPr>
            <w:tcW w:w="1507" w:type="pct"/>
            <w:tcBorders>
              <w:tl2br w:val="nil"/>
              <w:tr2bl w:val="nil"/>
            </w:tcBorders>
            <w:shd w:val="clear" w:color="auto" w:fill="auto"/>
            <w:noWrap/>
            <w:vAlign w:val="center"/>
          </w:tcPr>
          <w:p w14:paraId="3CAFF6A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2AC190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5.66</w:t>
            </w:r>
          </w:p>
        </w:tc>
        <w:tc>
          <w:tcPr>
            <w:tcW w:w="1051" w:type="pct"/>
            <w:tcBorders>
              <w:tl2br w:val="nil"/>
              <w:tr2bl w:val="nil"/>
            </w:tcBorders>
            <w:shd w:val="clear" w:color="auto" w:fill="auto"/>
            <w:noWrap/>
            <w:vAlign w:val="center"/>
          </w:tcPr>
          <w:p w14:paraId="37F250D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3A16BB9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FC0CE7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网络服务费</w:t>
            </w:r>
          </w:p>
        </w:tc>
        <w:tc>
          <w:tcPr>
            <w:tcW w:w="1507" w:type="pct"/>
            <w:tcBorders>
              <w:tl2br w:val="nil"/>
              <w:tr2bl w:val="nil"/>
            </w:tcBorders>
            <w:shd w:val="clear" w:color="auto" w:fill="auto"/>
            <w:noWrap/>
            <w:vAlign w:val="center"/>
          </w:tcPr>
          <w:p w14:paraId="39D9301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1.28</w:t>
            </w:r>
          </w:p>
        </w:tc>
        <w:tc>
          <w:tcPr>
            <w:tcW w:w="1051" w:type="pct"/>
            <w:tcBorders>
              <w:tl2br w:val="nil"/>
              <w:tr2bl w:val="nil"/>
            </w:tcBorders>
            <w:shd w:val="clear" w:color="auto" w:fill="auto"/>
            <w:noWrap/>
            <w:vAlign w:val="center"/>
          </w:tcPr>
          <w:p w14:paraId="111C0DA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5.27</w:t>
            </w:r>
          </w:p>
        </w:tc>
        <w:tc>
          <w:tcPr>
            <w:tcW w:w="1051" w:type="pct"/>
            <w:tcBorders>
              <w:tl2br w:val="nil"/>
              <w:tr2bl w:val="nil"/>
            </w:tcBorders>
            <w:shd w:val="clear" w:color="auto" w:fill="auto"/>
            <w:noWrap/>
            <w:vAlign w:val="center"/>
          </w:tcPr>
          <w:p w14:paraId="12FE281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3.32</w:t>
            </w:r>
          </w:p>
        </w:tc>
      </w:tr>
      <w:tr w14:paraId="15CAE07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DD51A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专利申报服务费</w:t>
            </w:r>
          </w:p>
        </w:tc>
        <w:tc>
          <w:tcPr>
            <w:tcW w:w="1507" w:type="pct"/>
            <w:tcBorders>
              <w:tl2br w:val="nil"/>
              <w:tr2bl w:val="nil"/>
            </w:tcBorders>
            <w:shd w:val="clear" w:color="auto" w:fill="auto"/>
            <w:noWrap/>
            <w:vAlign w:val="center"/>
          </w:tcPr>
          <w:p w14:paraId="15EE555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3.43</w:t>
            </w:r>
          </w:p>
        </w:tc>
        <w:tc>
          <w:tcPr>
            <w:tcW w:w="1051" w:type="pct"/>
            <w:tcBorders>
              <w:tl2br w:val="nil"/>
              <w:tr2bl w:val="nil"/>
            </w:tcBorders>
            <w:shd w:val="clear" w:color="auto" w:fill="auto"/>
            <w:noWrap/>
            <w:vAlign w:val="center"/>
          </w:tcPr>
          <w:p w14:paraId="78E3FDD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4.15</w:t>
            </w:r>
          </w:p>
        </w:tc>
        <w:tc>
          <w:tcPr>
            <w:tcW w:w="1051" w:type="pct"/>
            <w:tcBorders>
              <w:tl2br w:val="nil"/>
              <w:tr2bl w:val="nil"/>
            </w:tcBorders>
            <w:shd w:val="clear" w:color="auto" w:fill="auto"/>
            <w:noWrap/>
            <w:vAlign w:val="center"/>
          </w:tcPr>
          <w:p w14:paraId="485DB5C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9.15</w:t>
            </w:r>
          </w:p>
        </w:tc>
      </w:tr>
      <w:tr w14:paraId="7711E3A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2BD45C4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项目申报服务费</w:t>
            </w:r>
          </w:p>
        </w:tc>
        <w:tc>
          <w:tcPr>
            <w:tcW w:w="1507" w:type="pct"/>
            <w:tcBorders>
              <w:tl2br w:val="nil"/>
              <w:tr2bl w:val="nil"/>
            </w:tcBorders>
            <w:shd w:val="clear" w:color="auto" w:fill="auto"/>
            <w:noWrap/>
            <w:vAlign w:val="center"/>
          </w:tcPr>
          <w:p w14:paraId="499396D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3.58</w:t>
            </w:r>
          </w:p>
        </w:tc>
        <w:tc>
          <w:tcPr>
            <w:tcW w:w="1051" w:type="pct"/>
            <w:tcBorders>
              <w:tl2br w:val="nil"/>
              <w:tr2bl w:val="nil"/>
            </w:tcBorders>
            <w:shd w:val="clear" w:color="auto" w:fill="auto"/>
            <w:noWrap/>
            <w:vAlign w:val="center"/>
          </w:tcPr>
          <w:p w14:paraId="6872CB5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4.00</w:t>
            </w:r>
          </w:p>
        </w:tc>
        <w:tc>
          <w:tcPr>
            <w:tcW w:w="1051" w:type="pct"/>
            <w:tcBorders>
              <w:tl2br w:val="nil"/>
              <w:tr2bl w:val="nil"/>
            </w:tcBorders>
            <w:shd w:val="clear" w:color="auto" w:fill="auto"/>
            <w:noWrap/>
            <w:vAlign w:val="center"/>
          </w:tcPr>
          <w:p w14:paraId="19D3A23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73F65BA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C7D32D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修理费</w:t>
            </w:r>
          </w:p>
        </w:tc>
        <w:tc>
          <w:tcPr>
            <w:tcW w:w="1507" w:type="pct"/>
            <w:tcBorders>
              <w:tl2br w:val="nil"/>
              <w:tr2bl w:val="nil"/>
            </w:tcBorders>
            <w:shd w:val="clear" w:color="auto" w:fill="auto"/>
            <w:noWrap/>
            <w:vAlign w:val="center"/>
          </w:tcPr>
          <w:p w14:paraId="423CFBA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7.04</w:t>
            </w:r>
          </w:p>
        </w:tc>
        <w:tc>
          <w:tcPr>
            <w:tcW w:w="1051" w:type="pct"/>
            <w:tcBorders>
              <w:tl2br w:val="nil"/>
              <w:tr2bl w:val="nil"/>
            </w:tcBorders>
            <w:shd w:val="clear" w:color="auto" w:fill="auto"/>
            <w:noWrap/>
            <w:vAlign w:val="center"/>
          </w:tcPr>
          <w:p w14:paraId="59665AB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3.98</w:t>
            </w:r>
          </w:p>
        </w:tc>
        <w:tc>
          <w:tcPr>
            <w:tcW w:w="1051" w:type="pct"/>
            <w:tcBorders>
              <w:tl2br w:val="nil"/>
              <w:tr2bl w:val="nil"/>
            </w:tcBorders>
            <w:shd w:val="clear" w:color="auto" w:fill="auto"/>
            <w:noWrap/>
            <w:vAlign w:val="center"/>
          </w:tcPr>
          <w:p w14:paraId="7C85ABF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11.58</w:t>
            </w:r>
          </w:p>
        </w:tc>
      </w:tr>
      <w:tr w14:paraId="35BBC30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6BD36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车杂费</w:t>
            </w:r>
          </w:p>
        </w:tc>
        <w:tc>
          <w:tcPr>
            <w:tcW w:w="1507" w:type="pct"/>
            <w:tcBorders>
              <w:tl2br w:val="nil"/>
              <w:tr2bl w:val="nil"/>
            </w:tcBorders>
            <w:shd w:val="clear" w:color="auto" w:fill="auto"/>
            <w:noWrap/>
            <w:vAlign w:val="center"/>
          </w:tcPr>
          <w:p w14:paraId="2C725C7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3.04</w:t>
            </w:r>
          </w:p>
        </w:tc>
        <w:tc>
          <w:tcPr>
            <w:tcW w:w="1051" w:type="pct"/>
            <w:tcBorders>
              <w:tl2br w:val="nil"/>
              <w:tr2bl w:val="nil"/>
            </w:tcBorders>
            <w:shd w:val="clear" w:color="auto" w:fill="auto"/>
            <w:noWrap/>
            <w:vAlign w:val="center"/>
          </w:tcPr>
          <w:p w14:paraId="12D596E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3.97</w:t>
            </w:r>
          </w:p>
        </w:tc>
        <w:tc>
          <w:tcPr>
            <w:tcW w:w="1051" w:type="pct"/>
            <w:tcBorders>
              <w:tl2br w:val="nil"/>
              <w:tr2bl w:val="nil"/>
            </w:tcBorders>
            <w:shd w:val="clear" w:color="auto" w:fill="auto"/>
            <w:noWrap/>
            <w:vAlign w:val="center"/>
          </w:tcPr>
          <w:p w14:paraId="41E6BBA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1.26</w:t>
            </w:r>
          </w:p>
        </w:tc>
      </w:tr>
      <w:tr w14:paraId="39899B5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6B4D87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通讯费</w:t>
            </w:r>
          </w:p>
        </w:tc>
        <w:tc>
          <w:tcPr>
            <w:tcW w:w="1507" w:type="pct"/>
            <w:tcBorders>
              <w:tl2br w:val="nil"/>
              <w:tr2bl w:val="nil"/>
            </w:tcBorders>
            <w:shd w:val="clear" w:color="auto" w:fill="auto"/>
            <w:noWrap/>
            <w:vAlign w:val="center"/>
          </w:tcPr>
          <w:p w14:paraId="248F243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3.12</w:t>
            </w:r>
          </w:p>
        </w:tc>
        <w:tc>
          <w:tcPr>
            <w:tcW w:w="1051" w:type="pct"/>
            <w:tcBorders>
              <w:tl2br w:val="nil"/>
              <w:tr2bl w:val="nil"/>
            </w:tcBorders>
            <w:shd w:val="clear" w:color="auto" w:fill="auto"/>
            <w:noWrap/>
            <w:vAlign w:val="center"/>
          </w:tcPr>
          <w:p w14:paraId="631B2DF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3.08</w:t>
            </w:r>
          </w:p>
        </w:tc>
        <w:tc>
          <w:tcPr>
            <w:tcW w:w="1051" w:type="pct"/>
            <w:tcBorders>
              <w:tl2br w:val="nil"/>
              <w:tr2bl w:val="nil"/>
            </w:tcBorders>
            <w:shd w:val="clear" w:color="auto" w:fill="auto"/>
            <w:noWrap/>
            <w:vAlign w:val="center"/>
          </w:tcPr>
          <w:p w14:paraId="2E13702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3.08</w:t>
            </w:r>
          </w:p>
        </w:tc>
      </w:tr>
      <w:tr w14:paraId="6986442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FC435A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专利年费</w:t>
            </w:r>
          </w:p>
        </w:tc>
        <w:tc>
          <w:tcPr>
            <w:tcW w:w="1507" w:type="pct"/>
            <w:tcBorders>
              <w:tl2br w:val="nil"/>
              <w:tr2bl w:val="nil"/>
            </w:tcBorders>
            <w:shd w:val="clear" w:color="auto" w:fill="auto"/>
            <w:noWrap/>
            <w:vAlign w:val="center"/>
          </w:tcPr>
          <w:p w14:paraId="02F43C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2.48</w:t>
            </w:r>
          </w:p>
        </w:tc>
        <w:tc>
          <w:tcPr>
            <w:tcW w:w="1051" w:type="pct"/>
            <w:tcBorders>
              <w:tl2br w:val="nil"/>
              <w:tr2bl w:val="nil"/>
            </w:tcBorders>
            <w:shd w:val="clear" w:color="auto" w:fill="auto"/>
            <w:noWrap/>
            <w:vAlign w:val="center"/>
          </w:tcPr>
          <w:p w14:paraId="487E51A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2.77</w:t>
            </w:r>
          </w:p>
        </w:tc>
        <w:tc>
          <w:tcPr>
            <w:tcW w:w="1051" w:type="pct"/>
            <w:tcBorders>
              <w:tl2br w:val="nil"/>
              <w:tr2bl w:val="nil"/>
            </w:tcBorders>
            <w:shd w:val="clear" w:color="auto" w:fill="auto"/>
            <w:noWrap/>
            <w:vAlign w:val="center"/>
          </w:tcPr>
          <w:p w14:paraId="144D11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3.57</w:t>
            </w:r>
          </w:p>
        </w:tc>
      </w:tr>
      <w:tr w14:paraId="60E503F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F64174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其他</w:t>
            </w:r>
          </w:p>
        </w:tc>
        <w:tc>
          <w:tcPr>
            <w:tcW w:w="1507" w:type="pct"/>
            <w:tcBorders>
              <w:tl2br w:val="nil"/>
              <w:tr2bl w:val="nil"/>
            </w:tcBorders>
            <w:shd w:val="clear" w:color="auto" w:fill="auto"/>
            <w:noWrap/>
            <w:vAlign w:val="center"/>
          </w:tcPr>
          <w:p w14:paraId="040766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0.26</w:t>
            </w:r>
          </w:p>
        </w:tc>
        <w:tc>
          <w:tcPr>
            <w:tcW w:w="1051" w:type="pct"/>
            <w:tcBorders>
              <w:tl2br w:val="nil"/>
              <w:tr2bl w:val="nil"/>
            </w:tcBorders>
            <w:shd w:val="clear" w:color="auto" w:fill="auto"/>
            <w:noWrap/>
            <w:vAlign w:val="center"/>
          </w:tcPr>
          <w:p w14:paraId="28167F3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2.20</w:t>
            </w:r>
          </w:p>
        </w:tc>
        <w:tc>
          <w:tcPr>
            <w:tcW w:w="1051" w:type="pct"/>
            <w:tcBorders>
              <w:tl2br w:val="nil"/>
              <w:tr2bl w:val="nil"/>
            </w:tcBorders>
            <w:shd w:val="clear" w:color="auto" w:fill="auto"/>
            <w:noWrap/>
            <w:vAlign w:val="center"/>
          </w:tcPr>
          <w:p w14:paraId="15B6F78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5B9E208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B30191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快递费</w:t>
            </w:r>
          </w:p>
        </w:tc>
        <w:tc>
          <w:tcPr>
            <w:tcW w:w="1507" w:type="pct"/>
            <w:tcBorders>
              <w:tl2br w:val="nil"/>
              <w:tr2bl w:val="nil"/>
            </w:tcBorders>
            <w:shd w:val="clear" w:color="auto" w:fill="auto"/>
            <w:noWrap/>
            <w:vAlign w:val="center"/>
          </w:tcPr>
          <w:p w14:paraId="60496FA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2.13</w:t>
            </w:r>
          </w:p>
        </w:tc>
        <w:tc>
          <w:tcPr>
            <w:tcW w:w="1051" w:type="pct"/>
            <w:tcBorders>
              <w:tl2br w:val="nil"/>
              <w:tr2bl w:val="nil"/>
            </w:tcBorders>
            <w:shd w:val="clear" w:color="auto" w:fill="auto"/>
            <w:noWrap/>
            <w:vAlign w:val="center"/>
          </w:tcPr>
          <w:p w14:paraId="2C7A126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1.99</w:t>
            </w:r>
          </w:p>
        </w:tc>
        <w:tc>
          <w:tcPr>
            <w:tcW w:w="1051" w:type="pct"/>
            <w:tcBorders>
              <w:tl2br w:val="nil"/>
              <w:tr2bl w:val="nil"/>
            </w:tcBorders>
            <w:shd w:val="clear" w:color="auto" w:fill="auto"/>
            <w:noWrap/>
            <w:vAlign w:val="center"/>
          </w:tcPr>
          <w:p w14:paraId="1C07587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1.46</w:t>
            </w:r>
          </w:p>
        </w:tc>
      </w:tr>
      <w:tr w14:paraId="34AEAB9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3F278A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工会经费</w:t>
            </w:r>
          </w:p>
        </w:tc>
        <w:tc>
          <w:tcPr>
            <w:tcW w:w="1507" w:type="pct"/>
            <w:tcBorders>
              <w:tl2br w:val="nil"/>
              <w:tr2bl w:val="nil"/>
            </w:tcBorders>
            <w:shd w:val="clear" w:color="auto" w:fill="auto"/>
            <w:noWrap/>
            <w:vAlign w:val="center"/>
          </w:tcPr>
          <w:p w14:paraId="704109F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1.84</w:t>
            </w:r>
          </w:p>
        </w:tc>
        <w:tc>
          <w:tcPr>
            <w:tcW w:w="1051" w:type="pct"/>
            <w:tcBorders>
              <w:tl2br w:val="nil"/>
              <w:tr2bl w:val="nil"/>
            </w:tcBorders>
            <w:shd w:val="clear" w:color="auto" w:fill="auto"/>
            <w:noWrap/>
            <w:vAlign w:val="center"/>
          </w:tcPr>
          <w:p w14:paraId="351EC7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1.66</w:t>
            </w:r>
          </w:p>
        </w:tc>
        <w:tc>
          <w:tcPr>
            <w:tcW w:w="1051" w:type="pct"/>
            <w:tcBorders>
              <w:tl2br w:val="nil"/>
              <w:tr2bl w:val="nil"/>
            </w:tcBorders>
            <w:shd w:val="clear" w:color="auto" w:fill="auto"/>
            <w:noWrap/>
            <w:vAlign w:val="center"/>
          </w:tcPr>
          <w:p w14:paraId="0F76983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1.68</w:t>
            </w:r>
          </w:p>
        </w:tc>
      </w:tr>
      <w:tr w14:paraId="06461B9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B5F595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招聘服务费</w:t>
            </w:r>
          </w:p>
        </w:tc>
        <w:tc>
          <w:tcPr>
            <w:tcW w:w="1507" w:type="pct"/>
            <w:tcBorders>
              <w:tl2br w:val="nil"/>
              <w:tr2bl w:val="nil"/>
            </w:tcBorders>
            <w:shd w:val="clear" w:color="auto" w:fill="auto"/>
            <w:noWrap/>
            <w:vAlign w:val="center"/>
          </w:tcPr>
          <w:p w14:paraId="6C993A4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1.62</w:t>
            </w:r>
          </w:p>
        </w:tc>
        <w:tc>
          <w:tcPr>
            <w:tcW w:w="1051" w:type="pct"/>
            <w:tcBorders>
              <w:tl2br w:val="nil"/>
              <w:tr2bl w:val="nil"/>
            </w:tcBorders>
            <w:shd w:val="clear" w:color="auto" w:fill="auto"/>
            <w:noWrap/>
            <w:vAlign w:val="center"/>
          </w:tcPr>
          <w:p w14:paraId="03E3117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1.39</w:t>
            </w:r>
          </w:p>
        </w:tc>
        <w:tc>
          <w:tcPr>
            <w:tcW w:w="1051" w:type="pct"/>
            <w:tcBorders>
              <w:tl2br w:val="nil"/>
              <w:tr2bl w:val="nil"/>
            </w:tcBorders>
            <w:shd w:val="clear" w:color="auto" w:fill="auto"/>
            <w:noWrap/>
            <w:vAlign w:val="center"/>
          </w:tcPr>
          <w:p w14:paraId="4EFD936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36AC6F7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2CECFFD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交通费</w:t>
            </w:r>
          </w:p>
        </w:tc>
        <w:tc>
          <w:tcPr>
            <w:tcW w:w="1507" w:type="pct"/>
            <w:tcBorders>
              <w:tl2br w:val="nil"/>
              <w:tr2bl w:val="nil"/>
            </w:tcBorders>
            <w:shd w:val="clear" w:color="auto" w:fill="auto"/>
            <w:noWrap/>
            <w:vAlign w:val="center"/>
          </w:tcPr>
          <w:p w14:paraId="255541A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1.41</w:t>
            </w:r>
          </w:p>
        </w:tc>
        <w:tc>
          <w:tcPr>
            <w:tcW w:w="1051" w:type="pct"/>
            <w:tcBorders>
              <w:tl2br w:val="nil"/>
              <w:tr2bl w:val="nil"/>
            </w:tcBorders>
            <w:shd w:val="clear" w:color="auto" w:fill="auto"/>
            <w:noWrap/>
            <w:vAlign w:val="center"/>
          </w:tcPr>
          <w:p w14:paraId="665C7A6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1.04</w:t>
            </w:r>
          </w:p>
        </w:tc>
        <w:tc>
          <w:tcPr>
            <w:tcW w:w="1051" w:type="pct"/>
            <w:tcBorders>
              <w:tl2br w:val="nil"/>
              <w:tr2bl w:val="nil"/>
            </w:tcBorders>
            <w:shd w:val="clear" w:color="auto" w:fill="auto"/>
            <w:noWrap/>
            <w:vAlign w:val="center"/>
          </w:tcPr>
          <w:p w14:paraId="6F370AD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0.35</w:t>
            </w:r>
          </w:p>
        </w:tc>
      </w:tr>
      <w:tr w14:paraId="67E3C30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B595E4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废物处置费</w:t>
            </w:r>
          </w:p>
        </w:tc>
        <w:tc>
          <w:tcPr>
            <w:tcW w:w="1507" w:type="pct"/>
            <w:tcBorders>
              <w:tl2br w:val="nil"/>
              <w:tr2bl w:val="nil"/>
            </w:tcBorders>
            <w:shd w:val="clear" w:color="auto" w:fill="auto"/>
            <w:noWrap/>
            <w:vAlign w:val="center"/>
          </w:tcPr>
          <w:p w14:paraId="0B4708C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0.54</w:t>
            </w:r>
          </w:p>
        </w:tc>
        <w:tc>
          <w:tcPr>
            <w:tcW w:w="1051" w:type="pct"/>
            <w:tcBorders>
              <w:tl2br w:val="nil"/>
              <w:tr2bl w:val="nil"/>
            </w:tcBorders>
            <w:shd w:val="clear" w:color="auto" w:fill="auto"/>
            <w:noWrap/>
            <w:vAlign w:val="center"/>
          </w:tcPr>
          <w:p w14:paraId="5D82227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1.02</w:t>
            </w:r>
          </w:p>
        </w:tc>
        <w:tc>
          <w:tcPr>
            <w:tcW w:w="1051" w:type="pct"/>
            <w:tcBorders>
              <w:tl2br w:val="nil"/>
              <w:tr2bl w:val="nil"/>
            </w:tcBorders>
            <w:shd w:val="clear" w:color="auto" w:fill="auto"/>
            <w:noWrap/>
            <w:vAlign w:val="center"/>
          </w:tcPr>
          <w:p w14:paraId="07B2964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0.58</w:t>
            </w:r>
          </w:p>
        </w:tc>
      </w:tr>
      <w:tr w14:paraId="288E7BC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FBB0D5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水费</w:t>
            </w:r>
          </w:p>
        </w:tc>
        <w:tc>
          <w:tcPr>
            <w:tcW w:w="1507" w:type="pct"/>
            <w:tcBorders>
              <w:tl2br w:val="nil"/>
              <w:tr2bl w:val="nil"/>
            </w:tcBorders>
            <w:shd w:val="clear" w:color="auto" w:fill="auto"/>
            <w:noWrap/>
            <w:vAlign w:val="center"/>
          </w:tcPr>
          <w:p w14:paraId="35BB24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0.95</w:t>
            </w:r>
          </w:p>
        </w:tc>
        <w:tc>
          <w:tcPr>
            <w:tcW w:w="1051" w:type="pct"/>
            <w:tcBorders>
              <w:tl2br w:val="nil"/>
              <w:tr2bl w:val="nil"/>
            </w:tcBorders>
            <w:shd w:val="clear" w:color="auto" w:fill="auto"/>
            <w:noWrap/>
            <w:vAlign w:val="center"/>
          </w:tcPr>
          <w:p w14:paraId="48FA40E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0.93</w:t>
            </w:r>
          </w:p>
        </w:tc>
        <w:tc>
          <w:tcPr>
            <w:tcW w:w="1051" w:type="pct"/>
            <w:tcBorders>
              <w:tl2br w:val="nil"/>
              <w:tr2bl w:val="nil"/>
            </w:tcBorders>
            <w:shd w:val="clear" w:color="auto" w:fill="auto"/>
            <w:noWrap/>
            <w:vAlign w:val="center"/>
          </w:tcPr>
          <w:p w14:paraId="209881E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0.76</w:t>
            </w:r>
          </w:p>
        </w:tc>
      </w:tr>
      <w:tr w14:paraId="02E853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2E7FAD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房屋维修基金费</w:t>
            </w:r>
          </w:p>
        </w:tc>
        <w:tc>
          <w:tcPr>
            <w:tcW w:w="1507" w:type="pct"/>
            <w:tcBorders>
              <w:tl2br w:val="nil"/>
              <w:tr2bl w:val="nil"/>
            </w:tcBorders>
            <w:shd w:val="clear" w:color="auto" w:fill="auto"/>
            <w:noWrap/>
            <w:vAlign w:val="center"/>
          </w:tcPr>
          <w:p w14:paraId="0003E21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2.74</w:t>
            </w:r>
          </w:p>
        </w:tc>
        <w:tc>
          <w:tcPr>
            <w:tcW w:w="1051" w:type="pct"/>
            <w:tcBorders>
              <w:tl2br w:val="nil"/>
              <w:tr2bl w:val="nil"/>
            </w:tcBorders>
            <w:shd w:val="clear" w:color="auto" w:fill="auto"/>
            <w:noWrap/>
            <w:vAlign w:val="center"/>
          </w:tcPr>
          <w:p w14:paraId="1E92F7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0.54</w:t>
            </w:r>
          </w:p>
        </w:tc>
        <w:tc>
          <w:tcPr>
            <w:tcW w:w="1051" w:type="pct"/>
            <w:tcBorders>
              <w:tl2br w:val="nil"/>
              <w:tr2bl w:val="nil"/>
            </w:tcBorders>
            <w:shd w:val="clear" w:color="auto" w:fill="auto"/>
            <w:noWrap/>
            <w:vAlign w:val="center"/>
          </w:tcPr>
          <w:p w14:paraId="0DC7104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466651F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2A04F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培训费</w:t>
            </w:r>
          </w:p>
        </w:tc>
        <w:tc>
          <w:tcPr>
            <w:tcW w:w="1507" w:type="pct"/>
            <w:tcBorders>
              <w:tl2br w:val="nil"/>
              <w:tr2bl w:val="nil"/>
            </w:tcBorders>
            <w:shd w:val="clear" w:color="auto" w:fill="auto"/>
            <w:noWrap/>
            <w:vAlign w:val="center"/>
          </w:tcPr>
          <w:p w14:paraId="66A564A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1.07</w:t>
            </w:r>
          </w:p>
        </w:tc>
        <w:tc>
          <w:tcPr>
            <w:tcW w:w="1051" w:type="pct"/>
            <w:tcBorders>
              <w:tl2br w:val="nil"/>
              <w:tr2bl w:val="nil"/>
            </w:tcBorders>
            <w:shd w:val="clear" w:color="auto" w:fill="auto"/>
            <w:noWrap/>
            <w:vAlign w:val="center"/>
          </w:tcPr>
          <w:p w14:paraId="222A2F1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0.23</w:t>
            </w:r>
          </w:p>
        </w:tc>
        <w:tc>
          <w:tcPr>
            <w:tcW w:w="1051" w:type="pct"/>
            <w:tcBorders>
              <w:tl2br w:val="nil"/>
              <w:tr2bl w:val="nil"/>
            </w:tcBorders>
            <w:shd w:val="clear" w:color="auto" w:fill="auto"/>
            <w:noWrap/>
            <w:vAlign w:val="center"/>
          </w:tcPr>
          <w:p w14:paraId="0F34F51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0.50</w:t>
            </w:r>
          </w:p>
        </w:tc>
      </w:tr>
      <w:tr w14:paraId="5107F3E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1F8A7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劳务费</w:t>
            </w:r>
          </w:p>
        </w:tc>
        <w:tc>
          <w:tcPr>
            <w:tcW w:w="1507" w:type="pct"/>
            <w:tcBorders>
              <w:tl2br w:val="nil"/>
              <w:tr2bl w:val="nil"/>
            </w:tcBorders>
            <w:shd w:val="clear" w:color="auto" w:fill="auto"/>
            <w:noWrap/>
            <w:vAlign w:val="center"/>
          </w:tcPr>
          <w:p w14:paraId="66C53CB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1.35</w:t>
            </w:r>
          </w:p>
        </w:tc>
        <w:tc>
          <w:tcPr>
            <w:tcW w:w="1051" w:type="pct"/>
            <w:tcBorders>
              <w:tl2br w:val="nil"/>
              <w:tr2bl w:val="nil"/>
            </w:tcBorders>
            <w:shd w:val="clear" w:color="auto" w:fill="auto"/>
            <w:noWrap/>
            <w:vAlign w:val="center"/>
          </w:tcPr>
          <w:p w14:paraId="7AB7E96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0.16</w:t>
            </w:r>
          </w:p>
        </w:tc>
        <w:tc>
          <w:tcPr>
            <w:tcW w:w="1051" w:type="pct"/>
            <w:tcBorders>
              <w:tl2br w:val="nil"/>
              <w:tr2bl w:val="nil"/>
            </w:tcBorders>
            <w:shd w:val="clear" w:color="auto" w:fill="auto"/>
            <w:noWrap/>
            <w:vAlign w:val="center"/>
          </w:tcPr>
          <w:p w14:paraId="6842CBA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1.45</w:t>
            </w:r>
          </w:p>
        </w:tc>
      </w:tr>
      <w:tr w14:paraId="280842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79ED6D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职教费</w:t>
            </w:r>
          </w:p>
        </w:tc>
        <w:tc>
          <w:tcPr>
            <w:tcW w:w="1507" w:type="pct"/>
            <w:tcBorders>
              <w:tl2br w:val="nil"/>
              <w:tr2bl w:val="nil"/>
            </w:tcBorders>
            <w:shd w:val="clear" w:color="auto" w:fill="auto"/>
            <w:noWrap/>
            <w:vAlign w:val="center"/>
          </w:tcPr>
          <w:p w14:paraId="27F8062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0.56</w:t>
            </w:r>
          </w:p>
        </w:tc>
        <w:tc>
          <w:tcPr>
            <w:tcW w:w="1051" w:type="pct"/>
            <w:tcBorders>
              <w:tl2br w:val="nil"/>
              <w:tr2bl w:val="nil"/>
            </w:tcBorders>
            <w:shd w:val="clear" w:color="auto" w:fill="auto"/>
            <w:noWrap/>
            <w:vAlign w:val="center"/>
          </w:tcPr>
          <w:p w14:paraId="768494D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0.03</w:t>
            </w:r>
          </w:p>
        </w:tc>
        <w:tc>
          <w:tcPr>
            <w:tcW w:w="1051" w:type="pct"/>
            <w:tcBorders>
              <w:tl2br w:val="nil"/>
              <w:tr2bl w:val="nil"/>
            </w:tcBorders>
            <w:shd w:val="clear" w:color="auto" w:fill="auto"/>
            <w:noWrap/>
            <w:vAlign w:val="center"/>
          </w:tcPr>
          <w:p w14:paraId="01B4EAF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4A0A3A2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D9E3C4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环评费</w:t>
            </w:r>
          </w:p>
        </w:tc>
        <w:tc>
          <w:tcPr>
            <w:tcW w:w="1507" w:type="pct"/>
            <w:tcBorders>
              <w:tl2br w:val="nil"/>
              <w:tr2bl w:val="nil"/>
            </w:tcBorders>
            <w:shd w:val="clear" w:color="auto" w:fill="auto"/>
            <w:noWrap/>
            <w:vAlign w:val="center"/>
          </w:tcPr>
          <w:p w14:paraId="22844F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2.04</w:t>
            </w:r>
          </w:p>
        </w:tc>
        <w:tc>
          <w:tcPr>
            <w:tcW w:w="1051" w:type="pct"/>
            <w:tcBorders>
              <w:tl2br w:val="nil"/>
              <w:tr2bl w:val="nil"/>
            </w:tcBorders>
            <w:shd w:val="clear" w:color="auto" w:fill="auto"/>
            <w:noWrap/>
            <w:vAlign w:val="center"/>
          </w:tcPr>
          <w:p w14:paraId="27E58A4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69C4D1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28C94C8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FC17B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垃圾处理费</w:t>
            </w:r>
          </w:p>
        </w:tc>
        <w:tc>
          <w:tcPr>
            <w:tcW w:w="1507" w:type="pct"/>
            <w:tcBorders>
              <w:tl2br w:val="nil"/>
              <w:tr2bl w:val="nil"/>
            </w:tcBorders>
            <w:shd w:val="clear" w:color="auto" w:fill="auto"/>
            <w:noWrap/>
            <w:vAlign w:val="center"/>
          </w:tcPr>
          <w:p w14:paraId="5F5D565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0.12</w:t>
            </w:r>
          </w:p>
        </w:tc>
        <w:tc>
          <w:tcPr>
            <w:tcW w:w="1051" w:type="pct"/>
            <w:tcBorders>
              <w:tl2br w:val="nil"/>
              <w:tr2bl w:val="nil"/>
            </w:tcBorders>
            <w:shd w:val="clear" w:color="auto" w:fill="auto"/>
            <w:noWrap/>
            <w:vAlign w:val="center"/>
          </w:tcPr>
          <w:p w14:paraId="3323CBD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0.01</w:t>
            </w:r>
          </w:p>
        </w:tc>
        <w:tc>
          <w:tcPr>
            <w:tcW w:w="1051" w:type="pct"/>
            <w:tcBorders>
              <w:tl2br w:val="nil"/>
              <w:tr2bl w:val="nil"/>
            </w:tcBorders>
            <w:shd w:val="clear" w:color="auto" w:fill="auto"/>
            <w:noWrap/>
            <w:vAlign w:val="center"/>
          </w:tcPr>
          <w:p w14:paraId="05B071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6B5EE0B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0CF1922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低值易耗品</w:t>
            </w:r>
          </w:p>
        </w:tc>
        <w:tc>
          <w:tcPr>
            <w:tcW w:w="1507" w:type="pct"/>
            <w:tcBorders>
              <w:tl2br w:val="nil"/>
              <w:tr2bl w:val="nil"/>
            </w:tcBorders>
            <w:shd w:val="clear" w:color="auto" w:fill="auto"/>
            <w:noWrap/>
            <w:vAlign w:val="center"/>
          </w:tcPr>
          <w:p w14:paraId="341D11E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0.07</w:t>
            </w:r>
          </w:p>
        </w:tc>
        <w:tc>
          <w:tcPr>
            <w:tcW w:w="1051" w:type="pct"/>
            <w:tcBorders>
              <w:tl2br w:val="nil"/>
              <w:tr2bl w:val="nil"/>
            </w:tcBorders>
            <w:shd w:val="clear" w:color="auto" w:fill="auto"/>
            <w:noWrap/>
            <w:vAlign w:val="center"/>
          </w:tcPr>
          <w:p w14:paraId="5F0A953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248D328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r>
      <w:tr w14:paraId="252ADB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CE5C69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安装服务费</w:t>
            </w:r>
          </w:p>
        </w:tc>
        <w:tc>
          <w:tcPr>
            <w:tcW w:w="1507" w:type="pct"/>
            <w:tcBorders>
              <w:tl2br w:val="nil"/>
              <w:tr2bl w:val="nil"/>
            </w:tcBorders>
            <w:shd w:val="clear" w:color="auto" w:fill="auto"/>
            <w:noWrap/>
            <w:vAlign w:val="center"/>
          </w:tcPr>
          <w:p w14:paraId="56A3ED3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26A8EB4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24CC53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0.44</w:t>
            </w:r>
          </w:p>
        </w:tc>
      </w:tr>
      <w:tr w14:paraId="75D8B34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D23FCA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保险费</w:t>
            </w:r>
          </w:p>
        </w:tc>
        <w:tc>
          <w:tcPr>
            <w:tcW w:w="1507" w:type="pct"/>
            <w:tcBorders>
              <w:tl2br w:val="nil"/>
              <w:tr2bl w:val="nil"/>
            </w:tcBorders>
            <w:shd w:val="clear" w:color="auto" w:fill="auto"/>
            <w:noWrap/>
            <w:vAlign w:val="center"/>
          </w:tcPr>
          <w:p w14:paraId="7413833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7E5C8BA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38EFB50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1.07</w:t>
            </w:r>
          </w:p>
        </w:tc>
      </w:tr>
      <w:tr w14:paraId="1A48D01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11F42BB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507" w:type="pct"/>
            <w:tcBorders>
              <w:tl2br w:val="nil"/>
              <w:tr2bl w:val="nil"/>
            </w:tcBorders>
            <w:shd w:val="clear" w:color="auto" w:fill="auto"/>
            <w:noWrap/>
            <w:vAlign w:val="center"/>
          </w:tcPr>
          <w:p w14:paraId="51400CC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760.88</w:t>
            </w:r>
          </w:p>
        </w:tc>
        <w:tc>
          <w:tcPr>
            <w:tcW w:w="1051" w:type="pct"/>
            <w:tcBorders>
              <w:tl2br w:val="nil"/>
              <w:tr2bl w:val="nil"/>
            </w:tcBorders>
            <w:shd w:val="clear" w:color="auto" w:fill="auto"/>
            <w:noWrap/>
            <w:vAlign w:val="center"/>
          </w:tcPr>
          <w:p w14:paraId="63CD1A6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972.71</w:t>
            </w:r>
          </w:p>
        </w:tc>
        <w:tc>
          <w:tcPr>
            <w:tcW w:w="1051" w:type="pct"/>
            <w:tcBorders>
              <w:tl2br w:val="nil"/>
              <w:tr2bl w:val="nil"/>
            </w:tcBorders>
            <w:shd w:val="clear" w:color="auto" w:fill="auto"/>
            <w:noWrap/>
            <w:vAlign w:val="center"/>
          </w:tcPr>
          <w:p w14:paraId="0C69F66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778.42</w:t>
            </w:r>
          </w:p>
        </w:tc>
      </w:tr>
      <w:tr w14:paraId="7009980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F74742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Fonts w:hint="default" w:ascii="Times New Roman" w:hAnsi="Times New Roman" w:cs="Times New Roman"/>
                <w:b/>
                <w:bCs/>
                <w:i w:val="0"/>
                <w:iCs w:val="0"/>
                <w:color w:val="auto"/>
                <w:sz w:val="21"/>
                <w:szCs w:val="21"/>
                <w:u w:val="none"/>
                <w:lang w:val="en-US" w:eastAsia="zh-CN"/>
              </w:rPr>
              <w:t>研发</w:t>
            </w:r>
            <w:r>
              <w:rPr>
                <w:rFonts w:hint="default" w:ascii="Times New Roman" w:hAnsi="Times New Roman" w:eastAsia="宋体" w:cs="Times New Roman"/>
                <w:b/>
                <w:bCs/>
                <w:i w:val="0"/>
                <w:iCs w:val="0"/>
                <w:color w:val="auto"/>
                <w:sz w:val="21"/>
                <w:szCs w:val="21"/>
                <w:u w:val="none"/>
                <w:lang w:val="en-US" w:eastAsia="zh-CN"/>
              </w:rPr>
              <w:t>费用</w:t>
            </w:r>
          </w:p>
        </w:tc>
        <w:tc>
          <w:tcPr>
            <w:tcW w:w="1507" w:type="pct"/>
            <w:tcBorders>
              <w:tl2br w:val="nil"/>
              <w:tr2bl w:val="nil"/>
            </w:tcBorders>
            <w:shd w:val="clear" w:color="auto" w:fill="auto"/>
            <w:noWrap/>
            <w:vAlign w:val="center"/>
          </w:tcPr>
          <w:p w14:paraId="4C098B5E">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auto"/>
                <w:kern w:val="0"/>
                <w:sz w:val="21"/>
                <w:szCs w:val="21"/>
                <w:u w:val="none"/>
                <w:lang w:val="en-US" w:eastAsia="zh-CN" w:bidi="ar"/>
                <w14:ligatures w14:val="none"/>
              </w:rPr>
            </w:pPr>
          </w:p>
        </w:tc>
        <w:tc>
          <w:tcPr>
            <w:tcW w:w="1051" w:type="pct"/>
            <w:tcBorders>
              <w:tl2br w:val="nil"/>
              <w:tr2bl w:val="nil"/>
            </w:tcBorders>
            <w:shd w:val="clear" w:color="auto" w:fill="auto"/>
            <w:noWrap/>
            <w:vAlign w:val="center"/>
          </w:tcPr>
          <w:p w14:paraId="49E9AB1B">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auto"/>
                <w:kern w:val="0"/>
                <w:sz w:val="21"/>
                <w:szCs w:val="21"/>
                <w:u w:val="none"/>
                <w:lang w:val="en-US" w:eastAsia="zh-CN" w:bidi="ar"/>
                <w14:ligatures w14:val="none"/>
              </w:rPr>
            </w:pPr>
          </w:p>
        </w:tc>
        <w:tc>
          <w:tcPr>
            <w:tcW w:w="1051" w:type="pct"/>
            <w:tcBorders>
              <w:tl2br w:val="nil"/>
              <w:tr2bl w:val="nil"/>
            </w:tcBorders>
            <w:shd w:val="clear" w:color="auto" w:fill="auto"/>
            <w:noWrap/>
            <w:vAlign w:val="center"/>
          </w:tcPr>
          <w:p w14:paraId="3872B44E">
            <w:pPr>
              <w:keepNext w:val="0"/>
              <w:keepLines w:val="0"/>
              <w:widowControl/>
              <w:suppressLineNumbers w:val="0"/>
              <w:ind w:firstLine="420" w:firstLineChars="200"/>
              <w:jc w:val="right"/>
              <w:textAlignment w:val="center"/>
              <w:rPr>
                <w:rFonts w:hint="default" w:ascii="Times New Roman" w:hAnsi="Times New Roman" w:eastAsia="宋体" w:cs="Times New Roman"/>
                <w:i w:val="0"/>
                <w:iCs w:val="0"/>
                <w:color w:val="auto"/>
                <w:kern w:val="0"/>
                <w:sz w:val="21"/>
                <w:szCs w:val="21"/>
                <w:u w:val="none"/>
                <w:lang w:val="en-US" w:eastAsia="zh-CN" w:bidi="ar"/>
                <w14:ligatures w14:val="none"/>
              </w:rPr>
            </w:pPr>
          </w:p>
        </w:tc>
      </w:tr>
      <w:tr w14:paraId="064230B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45DD5F2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直接投入</w:t>
            </w:r>
          </w:p>
        </w:tc>
        <w:tc>
          <w:tcPr>
            <w:tcW w:w="1507" w:type="pct"/>
            <w:tcBorders>
              <w:tl2br w:val="nil"/>
              <w:tr2bl w:val="nil"/>
            </w:tcBorders>
            <w:shd w:val="clear" w:color="auto" w:fill="auto"/>
            <w:noWrap/>
            <w:vAlign w:val="center"/>
          </w:tcPr>
          <w:p w14:paraId="6775D6C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89.68</w:t>
            </w:r>
          </w:p>
        </w:tc>
        <w:tc>
          <w:tcPr>
            <w:tcW w:w="1051" w:type="pct"/>
            <w:tcBorders>
              <w:tl2br w:val="nil"/>
              <w:tr2bl w:val="nil"/>
            </w:tcBorders>
            <w:shd w:val="clear" w:color="auto" w:fill="auto"/>
            <w:noWrap/>
            <w:vAlign w:val="center"/>
          </w:tcPr>
          <w:p w14:paraId="19AE118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198.50</w:t>
            </w:r>
          </w:p>
        </w:tc>
        <w:tc>
          <w:tcPr>
            <w:tcW w:w="1051" w:type="pct"/>
            <w:tcBorders>
              <w:tl2br w:val="nil"/>
              <w:tr2bl w:val="nil"/>
            </w:tcBorders>
            <w:shd w:val="clear" w:color="auto" w:fill="auto"/>
            <w:noWrap/>
            <w:vAlign w:val="center"/>
          </w:tcPr>
          <w:p w14:paraId="14FD5C8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496.76</w:t>
            </w:r>
          </w:p>
        </w:tc>
      </w:tr>
      <w:tr w14:paraId="371A695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top"/>
          </w:tcPr>
          <w:p w14:paraId="1F55D4A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直接人工</w:t>
            </w:r>
          </w:p>
        </w:tc>
        <w:tc>
          <w:tcPr>
            <w:tcW w:w="1507" w:type="pct"/>
            <w:tcBorders>
              <w:tl2br w:val="nil"/>
              <w:tr2bl w:val="nil"/>
            </w:tcBorders>
            <w:shd w:val="clear" w:color="auto" w:fill="auto"/>
            <w:noWrap/>
            <w:vAlign w:val="center"/>
          </w:tcPr>
          <w:p w14:paraId="39C9A1C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359.61</w:t>
            </w:r>
          </w:p>
        </w:tc>
        <w:tc>
          <w:tcPr>
            <w:tcW w:w="1051" w:type="pct"/>
            <w:tcBorders>
              <w:tl2br w:val="nil"/>
              <w:tr2bl w:val="nil"/>
            </w:tcBorders>
            <w:shd w:val="clear" w:color="auto" w:fill="auto"/>
            <w:noWrap/>
            <w:vAlign w:val="center"/>
          </w:tcPr>
          <w:p w14:paraId="3E37FE1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392.01</w:t>
            </w:r>
          </w:p>
        </w:tc>
        <w:tc>
          <w:tcPr>
            <w:tcW w:w="1051" w:type="pct"/>
            <w:tcBorders>
              <w:tl2br w:val="nil"/>
              <w:tr2bl w:val="nil"/>
            </w:tcBorders>
            <w:shd w:val="clear" w:color="auto" w:fill="auto"/>
            <w:noWrap/>
            <w:vAlign w:val="center"/>
          </w:tcPr>
          <w:p w14:paraId="21E5012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325.93</w:t>
            </w:r>
          </w:p>
        </w:tc>
      </w:tr>
      <w:tr w14:paraId="3A8C743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7F06C7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折旧摊销</w:t>
            </w:r>
          </w:p>
        </w:tc>
        <w:tc>
          <w:tcPr>
            <w:tcW w:w="1507" w:type="pct"/>
            <w:tcBorders>
              <w:tl2br w:val="nil"/>
              <w:tr2bl w:val="nil"/>
            </w:tcBorders>
            <w:shd w:val="clear" w:color="auto" w:fill="auto"/>
            <w:noWrap/>
            <w:vAlign w:val="center"/>
          </w:tcPr>
          <w:p w14:paraId="57DCFD7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27.84</w:t>
            </w:r>
          </w:p>
        </w:tc>
        <w:tc>
          <w:tcPr>
            <w:tcW w:w="1051" w:type="pct"/>
            <w:tcBorders>
              <w:tl2br w:val="nil"/>
              <w:tr2bl w:val="nil"/>
            </w:tcBorders>
            <w:shd w:val="clear" w:color="auto" w:fill="auto"/>
            <w:noWrap/>
            <w:vAlign w:val="center"/>
          </w:tcPr>
          <w:p w14:paraId="687F595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54.35</w:t>
            </w:r>
          </w:p>
        </w:tc>
        <w:tc>
          <w:tcPr>
            <w:tcW w:w="1051" w:type="pct"/>
            <w:tcBorders>
              <w:tl2br w:val="nil"/>
              <w:tr2bl w:val="nil"/>
            </w:tcBorders>
            <w:shd w:val="clear" w:color="auto" w:fill="auto"/>
            <w:noWrap/>
            <w:vAlign w:val="center"/>
          </w:tcPr>
          <w:p w14:paraId="43A446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73.77</w:t>
            </w:r>
          </w:p>
        </w:tc>
      </w:tr>
      <w:tr w14:paraId="3BCB30A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E46610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其他</w:t>
            </w:r>
          </w:p>
        </w:tc>
        <w:tc>
          <w:tcPr>
            <w:tcW w:w="1507" w:type="pct"/>
            <w:tcBorders>
              <w:tl2br w:val="nil"/>
              <w:tr2bl w:val="nil"/>
            </w:tcBorders>
            <w:shd w:val="clear" w:color="auto" w:fill="auto"/>
            <w:noWrap/>
            <w:vAlign w:val="center"/>
          </w:tcPr>
          <w:p w14:paraId="4A77F6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31.84</w:t>
            </w:r>
          </w:p>
        </w:tc>
        <w:tc>
          <w:tcPr>
            <w:tcW w:w="1051" w:type="pct"/>
            <w:tcBorders>
              <w:tl2br w:val="nil"/>
              <w:tr2bl w:val="nil"/>
            </w:tcBorders>
            <w:shd w:val="clear" w:color="auto" w:fill="auto"/>
            <w:noWrap/>
            <w:vAlign w:val="center"/>
          </w:tcPr>
          <w:p w14:paraId="4B1BE2D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3.65</w:t>
            </w:r>
          </w:p>
        </w:tc>
        <w:tc>
          <w:tcPr>
            <w:tcW w:w="1051" w:type="pct"/>
            <w:tcBorders>
              <w:tl2br w:val="nil"/>
              <w:tr2bl w:val="nil"/>
            </w:tcBorders>
            <w:shd w:val="clear" w:color="auto" w:fill="auto"/>
            <w:noWrap/>
            <w:vAlign w:val="center"/>
          </w:tcPr>
          <w:p w14:paraId="780C0FB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7.64</w:t>
            </w:r>
          </w:p>
        </w:tc>
      </w:tr>
      <w:tr w14:paraId="7D99BF7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41F40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委外研发</w:t>
            </w:r>
          </w:p>
        </w:tc>
        <w:tc>
          <w:tcPr>
            <w:tcW w:w="1507" w:type="pct"/>
            <w:tcBorders>
              <w:tl2br w:val="nil"/>
              <w:tr2bl w:val="nil"/>
            </w:tcBorders>
            <w:shd w:val="clear" w:color="auto" w:fill="auto"/>
            <w:noWrap/>
            <w:vAlign w:val="center"/>
          </w:tcPr>
          <w:p w14:paraId="764A6E1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cs="Times New Roman"/>
                <w:i w:val="0"/>
                <w:iCs w:val="0"/>
                <w:color w:val="auto"/>
                <w:kern w:val="0"/>
                <w:sz w:val="21"/>
                <w:szCs w:val="21"/>
                <w:u w:val="none"/>
                <w:lang w:val="en-US" w:eastAsia="zh-CN" w:bidi="ar"/>
                <w14:ligatures w14:val="none"/>
              </w:rPr>
              <w:t>-</w:t>
            </w:r>
          </w:p>
        </w:tc>
        <w:tc>
          <w:tcPr>
            <w:tcW w:w="1051" w:type="pct"/>
            <w:tcBorders>
              <w:tl2br w:val="nil"/>
              <w:tr2bl w:val="nil"/>
            </w:tcBorders>
            <w:shd w:val="clear" w:color="auto" w:fill="auto"/>
            <w:noWrap/>
            <w:vAlign w:val="center"/>
          </w:tcPr>
          <w:p w14:paraId="48F64D6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150.45</w:t>
            </w:r>
          </w:p>
        </w:tc>
        <w:tc>
          <w:tcPr>
            <w:tcW w:w="1051" w:type="pct"/>
            <w:tcBorders>
              <w:tl2br w:val="nil"/>
              <w:tr2bl w:val="nil"/>
            </w:tcBorders>
            <w:shd w:val="clear" w:color="auto" w:fill="auto"/>
            <w:noWrap/>
            <w:vAlign w:val="center"/>
          </w:tcPr>
          <w:p w14:paraId="6A20487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10.93</w:t>
            </w:r>
          </w:p>
        </w:tc>
      </w:tr>
      <w:tr w14:paraId="0A66D9D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top"/>
          </w:tcPr>
          <w:p w14:paraId="2AE18DB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507" w:type="pct"/>
            <w:tcBorders>
              <w:tl2br w:val="nil"/>
              <w:tr2bl w:val="nil"/>
            </w:tcBorders>
            <w:shd w:val="clear" w:color="auto" w:fill="auto"/>
            <w:noWrap/>
            <w:vAlign w:val="center"/>
          </w:tcPr>
          <w:p w14:paraId="48C9CE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508.96</w:t>
            </w:r>
          </w:p>
        </w:tc>
        <w:tc>
          <w:tcPr>
            <w:tcW w:w="1051" w:type="pct"/>
            <w:tcBorders>
              <w:tl2br w:val="nil"/>
              <w:tr2bl w:val="nil"/>
            </w:tcBorders>
            <w:shd w:val="clear" w:color="auto" w:fill="auto"/>
            <w:noWrap/>
            <w:vAlign w:val="center"/>
          </w:tcPr>
          <w:p w14:paraId="623850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798.96</w:t>
            </w:r>
          </w:p>
        </w:tc>
        <w:tc>
          <w:tcPr>
            <w:tcW w:w="1051" w:type="pct"/>
            <w:tcBorders>
              <w:tl2br w:val="nil"/>
              <w:tr2bl w:val="nil"/>
            </w:tcBorders>
            <w:shd w:val="clear" w:color="auto" w:fill="auto"/>
            <w:noWrap/>
            <w:vAlign w:val="center"/>
          </w:tcPr>
          <w:p w14:paraId="3C36856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915.03</w:t>
            </w:r>
          </w:p>
        </w:tc>
      </w:tr>
      <w:tr w14:paraId="123766A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top"/>
          </w:tcPr>
          <w:p w14:paraId="614B9F5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Fonts w:hint="default" w:ascii="Times New Roman" w:hAnsi="Times New Roman" w:cs="Times New Roman"/>
                <w:b/>
                <w:bCs/>
                <w:i w:val="0"/>
                <w:iCs w:val="0"/>
                <w:color w:val="auto"/>
                <w:sz w:val="21"/>
                <w:szCs w:val="21"/>
                <w:u w:val="none"/>
                <w:lang w:val="en-US" w:eastAsia="zh-CN"/>
              </w:rPr>
              <w:t>财务</w:t>
            </w:r>
            <w:r>
              <w:rPr>
                <w:rFonts w:hint="default" w:ascii="Times New Roman" w:hAnsi="Times New Roman" w:eastAsia="宋体" w:cs="Times New Roman"/>
                <w:b/>
                <w:bCs/>
                <w:i w:val="0"/>
                <w:iCs w:val="0"/>
                <w:color w:val="auto"/>
                <w:sz w:val="21"/>
                <w:szCs w:val="21"/>
                <w:u w:val="none"/>
                <w:lang w:val="en-US" w:eastAsia="zh-CN"/>
              </w:rPr>
              <w:t>费用</w:t>
            </w:r>
          </w:p>
        </w:tc>
        <w:tc>
          <w:tcPr>
            <w:tcW w:w="1507" w:type="pct"/>
            <w:tcBorders>
              <w:tl2br w:val="nil"/>
              <w:tr2bl w:val="nil"/>
            </w:tcBorders>
            <w:shd w:val="clear" w:color="auto" w:fill="auto"/>
            <w:noWrap/>
            <w:vAlign w:val="top"/>
          </w:tcPr>
          <w:p w14:paraId="4AE4FCF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p>
        </w:tc>
        <w:tc>
          <w:tcPr>
            <w:tcW w:w="1051" w:type="pct"/>
            <w:tcBorders>
              <w:tl2br w:val="nil"/>
              <w:tr2bl w:val="nil"/>
            </w:tcBorders>
            <w:shd w:val="clear" w:color="auto" w:fill="auto"/>
            <w:noWrap/>
            <w:vAlign w:val="top"/>
          </w:tcPr>
          <w:p w14:paraId="5F86220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p>
        </w:tc>
        <w:tc>
          <w:tcPr>
            <w:tcW w:w="1051" w:type="pct"/>
            <w:tcBorders>
              <w:tl2br w:val="nil"/>
              <w:tr2bl w:val="nil"/>
            </w:tcBorders>
            <w:shd w:val="clear" w:color="auto" w:fill="auto"/>
            <w:noWrap/>
            <w:vAlign w:val="top"/>
          </w:tcPr>
          <w:p w14:paraId="2711F48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p>
        </w:tc>
      </w:tr>
      <w:tr w14:paraId="4AC2A70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568F72F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利息支出</w:t>
            </w:r>
          </w:p>
        </w:tc>
        <w:tc>
          <w:tcPr>
            <w:tcW w:w="1507" w:type="pct"/>
            <w:tcBorders>
              <w:tl2br w:val="nil"/>
              <w:tr2bl w:val="nil"/>
            </w:tcBorders>
            <w:shd w:val="clear" w:color="auto" w:fill="auto"/>
            <w:noWrap/>
            <w:vAlign w:val="center"/>
          </w:tcPr>
          <w:p w14:paraId="717DB22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23.31</w:t>
            </w:r>
          </w:p>
        </w:tc>
        <w:tc>
          <w:tcPr>
            <w:tcW w:w="1051" w:type="pct"/>
            <w:tcBorders>
              <w:tl2br w:val="nil"/>
              <w:tr2bl w:val="nil"/>
            </w:tcBorders>
            <w:shd w:val="clear" w:color="auto" w:fill="auto"/>
            <w:noWrap/>
            <w:vAlign w:val="center"/>
          </w:tcPr>
          <w:p w14:paraId="79C5C7A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35.15</w:t>
            </w:r>
          </w:p>
        </w:tc>
        <w:tc>
          <w:tcPr>
            <w:tcW w:w="1051" w:type="pct"/>
            <w:tcBorders>
              <w:tl2br w:val="nil"/>
              <w:tr2bl w:val="nil"/>
            </w:tcBorders>
            <w:shd w:val="clear" w:color="auto" w:fill="auto"/>
            <w:noWrap/>
            <w:vAlign w:val="center"/>
          </w:tcPr>
          <w:p w14:paraId="3A37565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41.80</w:t>
            </w:r>
          </w:p>
        </w:tc>
      </w:tr>
      <w:tr w14:paraId="55EE812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28DE1FA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减：利息收入</w:t>
            </w:r>
          </w:p>
        </w:tc>
        <w:tc>
          <w:tcPr>
            <w:tcW w:w="1507" w:type="pct"/>
            <w:tcBorders>
              <w:tl2br w:val="nil"/>
              <w:tr2bl w:val="nil"/>
            </w:tcBorders>
            <w:shd w:val="clear" w:color="auto" w:fill="auto"/>
            <w:noWrap/>
            <w:vAlign w:val="center"/>
          </w:tcPr>
          <w:p w14:paraId="65E9C2C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20.20</w:t>
            </w:r>
          </w:p>
        </w:tc>
        <w:tc>
          <w:tcPr>
            <w:tcW w:w="1051" w:type="pct"/>
            <w:tcBorders>
              <w:tl2br w:val="nil"/>
              <w:tr2bl w:val="nil"/>
            </w:tcBorders>
            <w:shd w:val="clear" w:color="auto" w:fill="auto"/>
            <w:noWrap/>
            <w:vAlign w:val="center"/>
          </w:tcPr>
          <w:p w14:paraId="205284B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29.74</w:t>
            </w:r>
          </w:p>
        </w:tc>
        <w:tc>
          <w:tcPr>
            <w:tcW w:w="1051" w:type="pct"/>
            <w:tcBorders>
              <w:tl2br w:val="nil"/>
              <w:tr2bl w:val="nil"/>
            </w:tcBorders>
            <w:shd w:val="clear" w:color="auto" w:fill="auto"/>
            <w:noWrap/>
            <w:vAlign w:val="center"/>
          </w:tcPr>
          <w:p w14:paraId="06E7FC7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0.27</w:t>
            </w:r>
          </w:p>
        </w:tc>
      </w:tr>
      <w:tr w14:paraId="2887F3A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2939F9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汇兑损益</w:t>
            </w:r>
          </w:p>
        </w:tc>
        <w:tc>
          <w:tcPr>
            <w:tcW w:w="1507" w:type="pct"/>
            <w:tcBorders>
              <w:tl2br w:val="nil"/>
              <w:tr2bl w:val="nil"/>
            </w:tcBorders>
            <w:shd w:val="clear" w:color="auto" w:fill="auto"/>
            <w:noWrap/>
            <w:vAlign w:val="center"/>
          </w:tcPr>
          <w:p w14:paraId="5F2A2C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-5.05</w:t>
            </w:r>
          </w:p>
        </w:tc>
        <w:tc>
          <w:tcPr>
            <w:tcW w:w="1051" w:type="pct"/>
            <w:tcBorders>
              <w:tl2br w:val="nil"/>
              <w:tr2bl w:val="nil"/>
            </w:tcBorders>
            <w:shd w:val="clear" w:color="auto" w:fill="auto"/>
            <w:noWrap/>
            <w:vAlign w:val="center"/>
          </w:tcPr>
          <w:p w14:paraId="29F8B0C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-0.47</w:t>
            </w:r>
          </w:p>
        </w:tc>
        <w:tc>
          <w:tcPr>
            <w:tcW w:w="1051" w:type="pct"/>
            <w:tcBorders>
              <w:tl2br w:val="nil"/>
              <w:tr2bl w:val="nil"/>
            </w:tcBorders>
            <w:shd w:val="clear" w:color="auto" w:fill="auto"/>
            <w:noWrap/>
            <w:vAlign w:val="center"/>
          </w:tcPr>
          <w:p w14:paraId="74486A0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-0.45</w:t>
            </w:r>
          </w:p>
        </w:tc>
      </w:tr>
      <w:tr w14:paraId="7539F41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57C73B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金融机构手续费</w:t>
            </w:r>
          </w:p>
        </w:tc>
        <w:tc>
          <w:tcPr>
            <w:tcW w:w="1507" w:type="pct"/>
            <w:tcBorders>
              <w:tl2br w:val="nil"/>
              <w:tr2bl w:val="nil"/>
            </w:tcBorders>
            <w:shd w:val="clear" w:color="auto" w:fill="auto"/>
            <w:noWrap/>
            <w:vAlign w:val="center"/>
          </w:tcPr>
          <w:p w14:paraId="1A08FC5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1.01</w:t>
            </w:r>
          </w:p>
        </w:tc>
        <w:tc>
          <w:tcPr>
            <w:tcW w:w="1051" w:type="pct"/>
            <w:tcBorders>
              <w:tl2br w:val="nil"/>
              <w:tr2bl w:val="nil"/>
            </w:tcBorders>
            <w:shd w:val="clear" w:color="auto" w:fill="auto"/>
            <w:noWrap/>
            <w:vAlign w:val="center"/>
          </w:tcPr>
          <w:p w14:paraId="6B57702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0.39</w:t>
            </w:r>
          </w:p>
        </w:tc>
        <w:tc>
          <w:tcPr>
            <w:tcW w:w="1051" w:type="pct"/>
            <w:tcBorders>
              <w:tl2br w:val="nil"/>
              <w:tr2bl w:val="nil"/>
            </w:tcBorders>
            <w:shd w:val="clear" w:color="auto" w:fill="auto"/>
            <w:noWrap/>
            <w:vAlign w:val="center"/>
          </w:tcPr>
          <w:p w14:paraId="4A74D45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0.55</w:t>
            </w:r>
          </w:p>
        </w:tc>
      </w:tr>
      <w:tr w14:paraId="45DE91C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6BDBE81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其他费用</w:t>
            </w:r>
          </w:p>
        </w:tc>
        <w:tc>
          <w:tcPr>
            <w:tcW w:w="1507" w:type="pct"/>
            <w:tcBorders>
              <w:tl2br w:val="nil"/>
              <w:tr2bl w:val="nil"/>
            </w:tcBorders>
            <w:shd w:val="clear" w:color="auto" w:fill="auto"/>
            <w:noWrap/>
            <w:vAlign w:val="center"/>
          </w:tcPr>
          <w:p w14:paraId="22C8DC5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1.12</w:t>
            </w:r>
          </w:p>
        </w:tc>
        <w:tc>
          <w:tcPr>
            <w:tcW w:w="1051" w:type="pct"/>
            <w:tcBorders>
              <w:tl2br w:val="nil"/>
              <w:tr2bl w:val="nil"/>
            </w:tcBorders>
            <w:shd w:val="clear" w:color="auto" w:fill="auto"/>
            <w:noWrap/>
            <w:vAlign w:val="center"/>
          </w:tcPr>
          <w:p w14:paraId="2ADD62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0.94</w:t>
            </w:r>
          </w:p>
        </w:tc>
        <w:tc>
          <w:tcPr>
            <w:tcW w:w="1051" w:type="pct"/>
            <w:tcBorders>
              <w:tl2br w:val="nil"/>
              <w:tr2bl w:val="nil"/>
            </w:tcBorders>
            <w:shd w:val="clear" w:color="auto" w:fill="auto"/>
            <w:noWrap/>
            <w:vAlign w:val="center"/>
          </w:tcPr>
          <w:p w14:paraId="10B20A1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0.10</w:t>
            </w:r>
          </w:p>
        </w:tc>
      </w:tr>
      <w:tr w14:paraId="4C657B1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jc w:val="center"/>
        </w:trPr>
        <w:tc>
          <w:tcPr>
            <w:tcW w:w="1389" w:type="pct"/>
            <w:tcBorders>
              <w:tl2br w:val="nil"/>
              <w:tr2bl w:val="nil"/>
            </w:tcBorders>
            <w:shd w:val="clear" w:color="auto" w:fill="auto"/>
            <w:vAlign w:val="center"/>
          </w:tcPr>
          <w:p w14:paraId="3F52BF3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507" w:type="pct"/>
            <w:tcBorders>
              <w:tl2br w:val="nil"/>
              <w:tr2bl w:val="nil"/>
            </w:tcBorders>
            <w:shd w:val="clear" w:color="auto" w:fill="auto"/>
            <w:noWrap/>
            <w:vAlign w:val="center"/>
          </w:tcPr>
          <w:p w14:paraId="73C888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0.19</w:t>
            </w:r>
          </w:p>
        </w:tc>
        <w:tc>
          <w:tcPr>
            <w:tcW w:w="1051" w:type="pct"/>
            <w:tcBorders>
              <w:tl2br w:val="nil"/>
              <w:tr2bl w:val="nil"/>
            </w:tcBorders>
            <w:shd w:val="clear" w:color="auto" w:fill="auto"/>
            <w:noWrap/>
            <w:vAlign w:val="center"/>
          </w:tcPr>
          <w:p w14:paraId="185B39B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6.27</w:t>
            </w:r>
          </w:p>
        </w:tc>
        <w:tc>
          <w:tcPr>
            <w:tcW w:w="1051" w:type="pct"/>
            <w:tcBorders>
              <w:tl2br w:val="nil"/>
              <w:tr2bl w:val="nil"/>
            </w:tcBorders>
            <w:shd w:val="clear" w:color="auto" w:fill="auto"/>
            <w:noWrap/>
            <w:vAlign w:val="center"/>
          </w:tcPr>
          <w:p w14:paraId="5CC656D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41.73</w:t>
            </w:r>
          </w:p>
        </w:tc>
      </w:tr>
    </w:tbl>
    <w:p w14:paraId="12BA25CC">
      <w:pPr>
        <w:pStyle w:val="68"/>
        <w:pageBreakBefore w:val="0"/>
        <w:widowControl w:val="0"/>
        <w:numPr>
          <w:ilvl w:val="0"/>
          <w:numId w:val="0"/>
        </w:numPr>
        <w:kinsoku/>
        <w:wordWrap/>
        <w:overflowPunct/>
        <w:topLinePunct w:val="0"/>
        <w:autoSpaceDE/>
        <w:autoSpaceDN/>
        <w:bidi w:val="0"/>
        <w:adjustRightInd w:val="0"/>
        <w:snapToGrid w:val="0"/>
        <w:spacing w:before="0" w:beforeLines="0" w:after="0" w:afterLines="0"/>
        <w:textAlignment w:val="auto"/>
        <w:rPr>
          <w:rFonts w:hint="default" w:ascii="Times New Roman" w:hAnsi="Times New Roman" w:eastAsia="宋体" w:cs="Times New Roman"/>
        </w:rPr>
      </w:pPr>
    </w:p>
    <w:p w14:paraId="0374EECE">
      <w:pPr>
        <w:pStyle w:val="68"/>
        <w:pageBreakBefore w:val="0"/>
        <w:widowControl w:val="0"/>
        <w:numPr>
          <w:ilvl w:val="0"/>
          <w:numId w:val="5"/>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3" w:name="_Toc30850"/>
      <w:r>
        <w:rPr>
          <w:rFonts w:hint="default" w:ascii="Times New Roman" w:hAnsi="Times New Roman" w:eastAsia="宋体" w:cs="Times New Roman"/>
        </w:rPr>
        <w:t>税</w:t>
      </w:r>
      <w:r>
        <w:rPr>
          <w:rFonts w:hint="default" w:ascii="Times New Roman" w:hAnsi="Times New Roman" w:eastAsia="宋体" w:cs="Times New Roman"/>
          <w:lang w:val="en-US" w:eastAsia="zh-CN"/>
        </w:rPr>
        <w:t>务</w:t>
      </w:r>
      <w:r>
        <w:rPr>
          <w:rFonts w:hint="default" w:ascii="Times New Roman" w:hAnsi="Times New Roman" w:eastAsia="宋体" w:cs="Times New Roman"/>
        </w:rPr>
        <w:t>情况</w:t>
      </w:r>
      <w:bookmarkEnd w:id="13"/>
    </w:p>
    <w:tbl>
      <w:tblPr>
        <w:tblStyle w:val="36"/>
        <w:tblW w:w="83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1734"/>
        <w:gridCol w:w="4519"/>
        <w:gridCol w:w="985"/>
      </w:tblGrid>
      <w:tr w14:paraId="19E6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4" w:type="dxa"/>
            <w:vAlign w:val="center"/>
          </w:tcPr>
          <w:p w14:paraId="1A7EC56D">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公司</w:t>
            </w:r>
          </w:p>
        </w:tc>
        <w:tc>
          <w:tcPr>
            <w:tcW w:w="1734" w:type="dxa"/>
            <w:shd w:val="clear" w:color="auto" w:fill="auto"/>
            <w:vAlign w:val="center"/>
          </w:tcPr>
          <w:p w14:paraId="0C68B547">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税种</w:t>
            </w:r>
          </w:p>
        </w:tc>
        <w:tc>
          <w:tcPr>
            <w:tcW w:w="4519" w:type="dxa"/>
            <w:shd w:val="clear" w:color="auto" w:fill="auto"/>
            <w:vAlign w:val="center"/>
          </w:tcPr>
          <w:p w14:paraId="27FF24A2">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计税基础</w:t>
            </w:r>
          </w:p>
        </w:tc>
        <w:tc>
          <w:tcPr>
            <w:tcW w:w="985" w:type="dxa"/>
            <w:shd w:val="clear" w:color="auto" w:fill="auto"/>
            <w:vAlign w:val="center"/>
          </w:tcPr>
          <w:p w14:paraId="022D2B67">
            <w:pPr>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税率</w:t>
            </w:r>
          </w:p>
        </w:tc>
      </w:tr>
      <w:tr w14:paraId="43B5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144" w:type="dxa"/>
            <w:vMerge w:val="restart"/>
            <w:vAlign w:val="center"/>
          </w:tcPr>
          <w:p w14:paraId="462D4E6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无锡贝塔</w:t>
            </w:r>
          </w:p>
        </w:tc>
        <w:tc>
          <w:tcPr>
            <w:tcW w:w="1734" w:type="dxa"/>
            <w:vAlign w:val="center"/>
          </w:tcPr>
          <w:p w14:paraId="5325C8E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w:t>
            </w:r>
          </w:p>
        </w:tc>
        <w:tc>
          <w:tcPr>
            <w:tcW w:w="4519" w:type="dxa"/>
            <w:vAlign w:val="center"/>
          </w:tcPr>
          <w:p w14:paraId="6B99B0B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应税销售额</w:t>
            </w:r>
          </w:p>
        </w:tc>
        <w:tc>
          <w:tcPr>
            <w:tcW w:w="985" w:type="dxa"/>
            <w:vAlign w:val="center"/>
          </w:tcPr>
          <w:p w14:paraId="021E4CE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13.00%</w:t>
            </w:r>
          </w:p>
          <w:p w14:paraId="5F7918B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6.00%</w:t>
            </w:r>
          </w:p>
        </w:tc>
      </w:tr>
      <w:tr w14:paraId="68B9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2560ADF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vAlign w:val="center"/>
          </w:tcPr>
          <w:p w14:paraId="08FF541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企业所得税</w:t>
            </w:r>
          </w:p>
        </w:tc>
        <w:tc>
          <w:tcPr>
            <w:tcW w:w="4519" w:type="dxa"/>
            <w:vAlign w:val="center"/>
          </w:tcPr>
          <w:p w14:paraId="464900D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应纳税所得额</w:t>
            </w:r>
          </w:p>
        </w:tc>
        <w:tc>
          <w:tcPr>
            <w:tcW w:w="985" w:type="dxa"/>
            <w:vAlign w:val="center"/>
          </w:tcPr>
          <w:p w14:paraId="79B325A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15.00%</w:t>
            </w:r>
          </w:p>
        </w:tc>
      </w:tr>
      <w:tr w14:paraId="31CF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2BA47B8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vAlign w:val="center"/>
          </w:tcPr>
          <w:p w14:paraId="60238F8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城市维护建设税</w:t>
            </w:r>
          </w:p>
        </w:tc>
        <w:tc>
          <w:tcPr>
            <w:tcW w:w="4519" w:type="dxa"/>
            <w:vAlign w:val="center"/>
          </w:tcPr>
          <w:p w14:paraId="4F45412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增值税的应纳税额</w:t>
            </w:r>
          </w:p>
        </w:tc>
        <w:tc>
          <w:tcPr>
            <w:tcW w:w="985" w:type="dxa"/>
            <w:vAlign w:val="center"/>
          </w:tcPr>
          <w:p w14:paraId="2EE211B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7.00%</w:t>
            </w:r>
          </w:p>
        </w:tc>
      </w:tr>
      <w:tr w14:paraId="03BA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056B194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vAlign w:val="center"/>
          </w:tcPr>
          <w:p w14:paraId="78B595A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教育费附加</w:t>
            </w:r>
          </w:p>
        </w:tc>
        <w:tc>
          <w:tcPr>
            <w:tcW w:w="4519" w:type="dxa"/>
            <w:vAlign w:val="center"/>
          </w:tcPr>
          <w:p w14:paraId="693A1D5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增值税的应纳税额</w:t>
            </w:r>
          </w:p>
        </w:tc>
        <w:tc>
          <w:tcPr>
            <w:tcW w:w="985" w:type="dxa"/>
            <w:vAlign w:val="center"/>
          </w:tcPr>
          <w:p w14:paraId="7584D3B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3.00%</w:t>
            </w:r>
          </w:p>
        </w:tc>
      </w:tr>
      <w:tr w14:paraId="72CA9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18F1D9B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vAlign w:val="center"/>
          </w:tcPr>
          <w:p w14:paraId="113A213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地方教育费附加</w:t>
            </w:r>
          </w:p>
        </w:tc>
        <w:tc>
          <w:tcPr>
            <w:tcW w:w="4519" w:type="dxa"/>
            <w:vAlign w:val="center"/>
          </w:tcPr>
          <w:p w14:paraId="7E1A003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增值税的应纳税额</w:t>
            </w:r>
          </w:p>
        </w:tc>
        <w:tc>
          <w:tcPr>
            <w:tcW w:w="985" w:type="dxa"/>
            <w:vAlign w:val="center"/>
          </w:tcPr>
          <w:p w14:paraId="4688379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2.00%</w:t>
            </w:r>
          </w:p>
        </w:tc>
      </w:tr>
      <w:tr w14:paraId="3CD0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60A510C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vAlign w:val="center"/>
          </w:tcPr>
          <w:p w14:paraId="37821D8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房产税</w:t>
            </w:r>
          </w:p>
        </w:tc>
        <w:tc>
          <w:tcPr>
            <w:tcW w:w="4519" w:type="dxa"/>
            <w:vAlign w:val="center"/>
          </w:tcPr>
          <w:p w14:paraId="15B39F7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房产原值</w:t>
            </w:r>
          </w:p>
        </w:tc>
        <w:tc>
          <w:tcPr>
            <w:tcW w:w="985" w:type="dxa"/>
            <w:vAlign w:val="center"/>
          </w:tcPr>
          <w:p w14:paraId="26F9160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1.20%</w:t>
            </w:r>
          </w:p>
        </w:tc>
      </w:tr>
      <w:tr w14:paraId="5AAE0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44" w:type="dxa"/>
            <w:vMerge w:val="continue"/>
          </w:tcPr>
          <w:p w14:paraId="1490754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04EFCCF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工会经费</w:t>
            </w:r>
          </w:p>
        </w:tc>
        <w:tc>
          <w:tcPr>
            <w:tcW w:w="4519" w:type="dxa"/>
            <w:shd w:val="clear" w:color="auto" w:fill="auto"/>
            <w:vAlign w:val="center"/>
          </w:tcPr>
          <w:p w14:paraId="7E96944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应发工资总额</w:t>
            </w:r>
          </w:p>
        </w:tc>
        <w:tc>
          <w:tcPr>
            <w:tcW w:w="985" w:type="dxa"/>
            <w:shd w:val="clear" w:color="auto" w:fill="auto"/>
            <w:vAlign w:val="center"/>
          </w:tcPr>
          <w:p w14:paraId="71C2D68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0.80%</w:t>
            </w:r>
          </w:p>
        </w:tc>
      </w:tr>
      <w:tr w14:paraId="250FB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144" w:type="dxa"/>
            <w:vMerge w:val="continue"/>
          </w:tcPr>
          <w:p w14:paraId="6268996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vAlign w:val="center"/>
          </w:tcPr>
          <w:p w14:paraId="61D141E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印花税</w:t>
            </w:r>
          </w:p>
        </w:tc>
        <w:tc>
          <w:tcPr>
            <w:tcW w:w="4519" w:type="dxa"/>
            <w:vAlign w:val="center"/>
          </w:tcPr>
          <w:p w14:paraId="33D9498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一）应税合同的计税依据，为合同所列的金额，不包括列明的增值税税款；（二）应税产权转移书据的计税依据，为产权转移书据所列的金额，不包括列明的增值税税款；（三）应税营业账簿的计税依据，为账簿记载的实收资本（股本）、资本公积合计金额；（四）证券交易的计税依据，为成交金额。</w:t>
            </w:r>
          </w:p>
        </w:tc>
        <w:tc>
          <w:tcPr>
            <w:tcW w:w="985" w:type="dxa"/>
            <w:shd w:val="clear" w:color="auto" w:fill="auto"/>
            <w:vAlign w:val="center"/>
          </w:tcPr>
          <w:p w14:paraId="31E786E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0.05%</w:t>
            </w:r>
          </w:p>
          <w:p w14:paraId="1A2E4BB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0.03%</w:t>
            </w:r>
          </w:p>
          <w:p w14:paraId="7D1B8D7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0.10%</w:t>
            </w:r>
          </w:p>
        </w:tc>
      </w:tr>
      <w:tr w14:paraId="49E65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restart"/>
            <w:shd w:val="clear" w:color="auto" w:fill="auto"/>
            <w:vAlign w:val="center"/>
          </w:tcPr>
          <w:p w14:paraId="6806DA6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长沙贝塔</w:t>
            </w:r>
          </w:p>
        </w:tc>
        <w:tc>
          <w:tcPr>
            <w:tcW w:w="1734" w:type="dxa"/>
            <w:shd w:val="clear" w:color="auto" w:fill="auto"/>
            <w:vAlign w:val="center"/>
          </w:tcPr>
          <w:p w14:paraId="69F5EC2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w:t>
            </w:r>
          </w:p>
        </w:tc>
        <w:tc>
          <w:tcPr>
            <w:tcW w:w="4519" w:type="dxa"/>
            <w:shd w:val="clear" w:color="auto" w:fill="auto"/>
            <w:vAlign w:val="center"/>
          </w:tcPr>
          <w:p w14:paraId="1A7241C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应税销售额</w:t>
            </w:r>
          </w:p>
        </w:tc>
        <w:tc>
          <w:tcPr>
            <w:tcW w:w="985" w:type="dxa"/>
            <w:shd w:val="clear" w:color="auto" w:fill="auto"/>
            <w:vAlign w:val="center"/>
          </w:tcPr>
          <w:p w14:paraId="2C5166E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6.00%</w:t>
            </w:r>
          </w:p>
        </w:tc>
      </w:tr>
      <w:tr w14:paraId="743B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24694EA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76FB651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企业所得税</w:t>
            </w:r>
          </w:p>
        </w:tc>
        <w:tc>
          <w:tcPr>
            <w:tcW w:w="4519" w:type="dxa"/>
            <w:shd w:val="clear" w:color="auto" w:fill="auto"/>
            <w:vAlign w:val="center"/>
          </w:tcPr>
          <w:p w14:paraId="2562DA7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应纳税所得额</w:t>
            </w:r>
          </w:p>
        </w:tc>
        <w:tc>
          <w:tcPr>
            <w:tcW w:w="985" w:type="dxa"/>
            <w:shd w:val="clear" w:color="auto" w:fill="auto"/>
            <w:vAlign w:val="center"/>
          </w:tcPr>
          <w:p w14:paraId="5C639AE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15.00%</w:t>
            </w:r>
          </w:p>
        </w:tc>
      </w:tr>
      <w:tr w14:paraId="1E3A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3265645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76C7733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城市维护建设税</w:t>
            </w:r>
          </w:p>
        </w:tc>
        <w:tc>
          <w:tcPr>
            <w:tcW w:w="4519" w:type="dxa"/>
            <w:shd w:val="clear" w:color="auto" w:fill="auto"/>
            <w:vAlign w:val="center"/>
          </w:tcPr>
          <w:p w14:paraId="5C9CBAE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增值税的应纳税额</w:t>
            </w:r>
          </w:p>
        </w:tc>
        <w:tc>
          <w:tcPr>
            <w:tcW w:w="985" w:type="dxa"/>
            <w:shd w:val="clear" w:color="auto" w:fill="auto"/>
            <w:vAlign w:val="center"/>
          </w:tcPr>
          <w:p w14:paraId="03BA542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5.00%</w:t>
            </w:r>
          </w:p>
        </w:tc>
      </w:tr>
      <w:tr w14:paraId="3E56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40E6C93A">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70C290E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教育费附加</w:t>
            </w:r>
          </w:p>
        </w:tc>
        <w:tc>
          <w:tcPr>
            <w:tcW w:w="4519" w:type="dxa"/>
            <w:shd w:val="clear" w:color="auto" w:fill="auto"/>
            <w:vAlign w:val="center"/>
          </w:tcPr>
          <w:p w14:paraId="733D0DA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增值税的应纳税额</w:t>
            </w:r>
          </w:p>
        </w:tc>
        <w:tc>
          <w:tcPr>
            <w:tcW w:w="985" w:type="dxa"/>
            <w:shd w:val="clear" w:color="auto" w:fill="auto"/>
            <w:vAlign w:val="center"/>
          </w:tcPr>
          <w:p w14:paraId="0840F07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3.00%</w:t>
            </w:r>
          </w:p>
        </w:tc>
      </w:tr>
      <w:tr w14:paraId="4107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0526C47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3B4C6B9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地方教育费附加</w:t>
            </w:r>
          </w:p>
        </w:tc>
        <w:tc>
          <w:tcPr>
            <w:tcW w:w="4519" w:type="dxa"/>
            <w:shd w:val="clear" w:color="auto" w:fill="auto"/>
            <w:vAlign w:val="center"/>
          </w:tcPr>
          <w:p w14:paraId="7DC84F9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增值税的应纳税额</w:t>
            </w:r>
          </w:p>
        </w:tc>
        <w:tc>
          <w:tcPr>
            <w:tcW w:w="985" w:type="dxa"/>
            <w:shd w:val="clear" w:color="auto" w:fill="auto"/>
            <w:vAlign w:val="center"/>
          </w:tcPr>
          <w:p w14:paraId="08A1C4C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2.00%</w:t>
            </w:r>
          </w:p>
        </w:tc>
      </w:tr>
      <w:tr w14:paraId="0D2F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59A4A09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1BB0FE1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工会经费</w:t>
            </w:r>
          </w:p>
        </w:tc>
        <w:tc>
          <w:tcPr>
            <w:tcW w:w="4519" w:type="dxa"/>
            <w:shd w:val="clear" w:color="auto" w:fill="auto"/>
            <w:vAlign w:val="center"/>
          </w:tcPr>
          <w:p w14:paraId="7010BEA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应发工资总额</w:t>
            </w:r>
          </w:p>
        </w:tc>
        <w:tc>
          <w:tcPr>
            <w:tcW w:w="985" w:type="dxa"/>
            <w:shd w:val="clear" w:color="auto" w:fill="auto"/>
            <w:vAlign w:val="center"/>
          </w:tcPr>
          <w:p w14:paraId="4D6DED2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0.80%</w:t>
            </w:r>
          </w:p>
        </w:tc>
      </w:tr>
      <w:tr w14:paraId="5965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73B5CEA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20C7133A">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水利建设基金</w:t>
            </w:r>
          </w:p>
        </w:tc>
        <w:tc>
          <w:tcPr>
            <w:tcW w:w="4519" w:type="dxa"/>
            <w:shd w:val="clear" w:color="auto" w:fill="auto"/>
            <w:vAlign w:val="center"/>
          </w:tcPr>
          <w:p w14:paraId="1039511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以销售额为计税依据</w:t>
            </w:r>
          </w:p>
        </w:tc>
        <w:tc>
          <w:tcPr>
            <w:tcW w:w="985" w:type="dxa"/>
            <w:shd w:val="clear" w:color="auto" w:fill="auto"/>
            <w:vAlign w:val="center"/>
          </w:tcPr>
          <w:p w14:paraId="01E8C1F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0.06%</w:t>
            </w:r>
          </w:p>
        </w:tc>
      </w:tr>
      <w:tr w14:paraId="6325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32C4445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2E7EA84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印花税</w:t>
            </w:r>
          </w:p>
        </w:tc>
        <w:tc>
          <w:tcPr>
            <w:tcW w:w="4519" w:type="dxa"/>
            <w:shd w:val="clear" w:color="auto" w:fill="auto"/>
            <w:vAlign w:val="center"/>
          </w:tcPr>
          <w:p w14:paraId="4C0B84F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一）应税合同的计税依据，为合同所列的金额，不包括列明的增值税税款；（二）应税产权转移书据的计税依据，为产权转移书据所列的金额，不包括列明的增值税税款；（三）应税营业账簿的计税依据，为账簿记载的实收资本（股本）、资本公积合计金额；（四）证券交易的计税依据，为成交金额。</w:t>
            </w:r>
          </w:p>
        </w:tc>
        <w:tc>
          <w:tcPr>
            <w:tcW w:w="985" w:type="dxa"/>
            <w:shd w:val="clear" w:color="auto" w:fill="auto"/>
            <w:vAlign w:val="center"/>
          </w:tcPr>
          <w:p w14:paraId="70F9B0C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
              </w:rPr>
            </w:pPr>
            <w:r>
              <w:rPr>
                <w:rFonts w:hint="default" w:ascii="Times New Roman" w:hAnsi="Times New Roman" w:eastAsia="宋体" w:cs="Times New Roman"/>
                <w:sz w:val="21"/>
                <w:szCs w:val="21"/>
                <w:lang w:val="en-US" w:eastAsia="zh-CN"/>
              </w:rPr>
              <w:t>0.05%</w:t>
            </w:r>
            <w:r>
              <w:rPr>
                <w:rFonts w:hint="default" w:ascii="Times New Roman" w:hAnsi="Times New Roman" w:eastAsia="宋体" w:cs="Times New Roman"/>
                <w:sz w:val="21"/>
                <w:szCs w:val="21"/>
                <w:lang w:val="en-US" w:eastAsia="zh"/>
              </w:rPr>
              <w:t xml:space="preserve">     </w:t>
            </w:r>
          </w:p>
          <w:p w14:paraId="35FFBE7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0.03%</w:t>
            </w:r>
          </w:p>
          <w:p w14:paraId="2F3A1AD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0.10%</w:t>
            </w:r>
          </w:p>
        </w:tc>
      </w:tr>
      <w:tr w14:paraId="7136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vMerge w:val="continue"/>
          </w:tcPr>
          <w:p w14:paraId="32F9BF0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p>
        </w:tc>
        <w:tc>
          <w:tcPr>
            <w:tcW w:w="1734" w:type="dxa"/>
            <w:shd w:val="clear" w:color="auto" w:fill="auto"/>
            <w:vAlign w:val="center"/>
          </w:tcPr>
          <w:p w14:paraId="322213A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残疾人就业保障金</w:t>
            </w:r>
          </w:p>
        </w:tc>
        <w:tc>
          <w:tcPr>
            <w:tcW w:w="4519" w:type="dxa"/>
            <w:shd w:val="clear" w:color="auto" w:fill="auto"/>
            <w:vAlign w:val="center"/>
          </w:tcPr>
          <w:p w14:paraId="6059030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人单位在职职工人数、实际安排的残疾人就业人数、在职职工年平均工资以及职工工资总额</w:t>
            </w:r>
          </w:p>
        </w:tc>
        <w:tc>
          <w:tcPr>
            <w:tcW w:w="985" w:type="dxa"/>
            <w:shd w:val="clear" w:color="auto" w:fill="auto"/>
            <w:vAlign w:val="center"/>
          </w:tcPr>
          <w:p w14:paraId="51D4F13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1.50%</w:t>
            </w:r>
          </w:p>
        </w:tc>
      </w:tr>
    </w:tbl>
    <w:p w14:paraId="498A0A68">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jc w:val="both"/>
        <w:textAlignment w:val="auto"/>
        <w:outlineLvl w:val="2"/>
        <w:rPr>
          <w:rFonts w:hint="default" w:ascii="Times New Roman" w:hAnsi="Times New Roman" w:eastAsia="宋体" w:cs="Times New Roman"/>
        </w:rPr>
      </w:pPr>
    </w:p>
    <w:p w14:paraId="6B97A41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无锡贝塔医药科技有限公司于2019年度至2022年度获取证书编号为GE201732002589的《高新技术企业证书》和证书编号为GR202032004962的《高新技术企业证书》；2023年11月6日获取证书编号为GR202332005067的《高新技术企业证书》有效期为三年，有效期限内按15%税率计缴企业所得税。</w:t>
      </w:r>
    </w:p>
    <w:p w14:paraId="337E1E9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长沙贝塔医药科技有限公司于2019年度至2022年度获取证书编号为GR202043000507的《高新技术企业证书》；2023年10月16日获取证书编号GR202343000437的《高新技术企业证书》有效期为三年，有效期限内按15%税率计缴企业所得税。</w:t>
      </w:r>
    </w:p>
    <w:p w14:paraId="17CB621E">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jc w:val="both"/>
        <w:textAlignment w:val="auto"/>
        <w:outlineLvl w:val="2"/>
        <w:rPr>
          <w:rFonts w:hint="default" w:ascii="Times New Roman" w:hAnsi="Times New Roman" w:eastAsia="宋体" w:cs="Times New Roman"/>
        </w:rPr>
      </w:pPr>
    </w:p>
    <w:p w14:paraId="46B26A4A">
      <w:pPr>
        <w:pStyle w:val="67"/>
        <w:pageBreakBefore w:val="0"/>
        <w:widowControl w:val="0"/>
        <w:numPr>
          <w:ilvl w:val="0"/>
          <w:numId w:val="1"/>
        </w:numPr>
        <w:kinsoku/>
        <w:wordWrap/>
        <w:overflowPunct/>
        <w:topLinePunct w:val="0"/>
        <w:autoSpaceDE/>
        <w:autoSpaceDN/>
        <w:bidi w:val="0"/>
        <w:adjustRightInd w:val="0"/>
        <w:snapToGrid w:val="0"/>
        <w:spacing w:before="0" w:beforeLines="0" w:after="0" w:afterLines="0" w:line="360" w:lineRule="auto"/>
        <w:ind w:left="0" w:leftChars="0" w:firstLine="420" w:firstLineChars="0"/>
        <w:rPr>
          <w:rFonts w:hint="default" w:ascii="Times New Roman" w:hAnsi="Times New Roman" w:eastAsia="宋体" w:cs="Times New Roman"/>
        </w:rPr>
      </w:pPr>
      <w:bookmarkStart w:id="14" w:name="_Toc29847"/>
      <w:r>
        <w:rPr>
          <w:rFonts w:hint="default" w:ascii="Times New Roman" w:hAnsi="Times New Roman" w:eastAsia="宋体" w:cs="Times New Roman"/>
        </w:rPr>
        <w:t>资产负债表明细情况</w:t>
      </w:r>
      <w:bookmarkEnd w:id="14"/>
    </w:p>
    <w:p w14:paraId="17973F73">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5" w:name="_Toc2445"/>
      <w:r>
        <w:rPr>
          <w:rFonts w:hint="default" w:ascii="Times New Roman" w:hAnsi="Times New Roman" w:eastAsia="宋体" w:cs="Times New Roman"/>
          <w:lang w:val="en-US" w:eastAsia="zh-CN"/>
        </w:rPr>
        <w:t>交易性金融资产</w:t>
      </w:r>
      <w:bookmarkEnd w:id="15"/>
    </w:p>
    <w:tbl>
      <w:tblPr>
        <w:tblStyle w:val="35"/>
        <w:tblW w:w="4998"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autofit"/>
        <w:tblCellMar>
          <w:top w:w="0" w:type="dxa"/>
          <w:left w:w="108" w:type="dxa"/>
          <w:bottom w:w="0" w:type="dxa"/>
          <w:right w:w="108" w:type="dxa"/>
        </w:tblCellMar>
      </w:tblPr>
      <w:tblGrid>
        <w:gridCol w:w="2964"/>
        <w:gridCol w:w="1850"/>
        <w:gridCol w:w="1850"/>
        <w:gridCol w:w="1850"/>
      </w:tblGrid>
      <w:tr w14:paraId="26837AF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72" w:hRule="atLeast"/>
          <w:tblHeader/>
        </w:trPr>
        <w:tc>
          <w:tcPr>
            <w:tcW w:w="1741" w:type="pct"/>
            <w:tcBorders>
              <w:tl2br w:val="nil"/>
              <w:tr2bl w:val="nil"/>
            </w:tcBorders>
            <w:shd w:val="clear" w:color="auto" w:fill="auto"/>
            <w:noWrap/>
            <w:vAlign w:val="center"/>
          </w:tcPr>
          <w:p w14:paraId="29DBF0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850" w:type="dxa"/>
            <w:tcBorders>
              <w:tl2br w:val="nil"/>
              <w:tr2bl w:val="nil"/>
            </w:tcBorders>
            <w:shd w:val="clear" w:color="auto" w:fill="auto"/>
            <w:vAlign w:val="center"/>
          </w:tcPr>
          <w:p w14:paraId="0C302AE3">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850" w:type="dxa"/>
            <w:tcBorders>
              <w:tl2br w:val="nil"/>
              <w:tr2bl w:val="nil"/>
            </w:tcBorders>
            <w:shd w:val="clear" w:color="auto" w:fill="auto"/>
            <w:vAlign w:val="center"/>
          </w:tcPr>
          <w:p w14:paraId="6A2FDD2F">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850" w:type="dxa"/>
            <w:tcBorders>
              <w:tl2br w:val="nil"/>
              <w:tr2bl w:val="nil"/>
            </w:tcBorders>
            <w:shd w:val="clear" w:color="auto" w:fill="auto"/>
            <w:vAlign w:val="center"/>
          </w:tcPr>
          <w:p w14:paraId="2E358B78">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3696365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64" w:type="dxa"/>
            <w:tcBorders>
              <w:tl2br w:val="nil"/>
              <w:tr2bl w:val="nil"/>
            </w:tcBorders>
            <w:shd w:val="clear" w:color="auto" w:fill="auto"/>
            <w:vAlign w:val="center"/>
          </w:tcPr>
          <w:p w14:paraId="2FD34A7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理财产品 </w:t>
            </w:r>
          </w:p>
        </w:tc>
        <w:tc>
          <w:tcPr>
            <w:tcW w:w="1850" w:type="dxa"/>
            <w:tcBorders>
              <w:tl2br w:val="nil"/>
              <w:tr2bl w:val="nil"/>
            </w:tcBorders>
            <w:shd w:val="clear" w:color="auto" w:fill="auto"/>
            <w:noWrap/>
            <w:vAlign w:val="top"/>
          </w:tcPr>
          <w:p w14:paraId="7A2A332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325.00 </w:t>
            </w:r>
          </w:p>
        </w:tc>
        <w:tc>
          <w:tcPr>
            <w:tcW w:w="1850" w:type="dxa"/>
            <w:tcBorders>
              <w:tl2br w:val="nil"/>
              <w:tr2bl w:val="nil"/>
            </w:tcBorders>
            <w:shd w:val="clear" w:color="auto" w:fill="auto"/>
            <w:noWrap/>
            <w:vAlign w:val="top"/>
          </w:tcPr>
          <w:p w14:paraId="1580634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631.39 </w:t>
            </w:r>
          </w:p>
        </w:tc>
        <w:tc>
          <w:tcPr>
            <w:tcW w:w="1850" w:type="dxa"/>
            <w:tcBorders>
              <w:tl2br w:val="nil"/>
              <w:tr2bl w:val="nil"/>
            </w:tcBorders>
            <w:shd w:val="clear" w:color="auto" w:fill="auto"/>
            <w:noWrap/>
            <w:vAlign w:val="top"/>
          </w:tcPr>
          <w:p w14:paraId="442748C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529.58 </w:t>
            </w:r>
          </w:p>
        </w:tc>
      </w:tr>
      <w:tr w14:paraId="6E59B2F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2964" w:type="dxa"/>
            <w:tcBorders>
              <w:tl2br w:val="nil"/>
              <w:tr2bl w:val="nil"/>
            </w:tcBorders>
            <w:shd w:val="clear" w:color="auto" w:fill="auto"/>
            <w:noWrap/>
            <w:vAlign w:val="center"/>
          </w:tcPr>
          <w:p w14:paraId="60B829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天风证券机构理财产品 </w:t>
            </w:r>
          </w:p>
        </w:tc>
        <w:tc>
          <w:tcPr>
            <w:tcW w:w="1850" w:type="dxa"/>
            <w:tcBorders>
              <w:tl2br w:val="nil"/>
              <w:tr2bl w:val="nil"/>
            </w:tcBorders>
            <w:shd w:val="clear" w:color="auto" w:fill="auto"/>
            <w:noWrap/>
            <w:vAlign w:val="top"/>
          </w:tcPr>
          <w:p w14:paraId="3CE21E7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4,279.24 </w:t>
            </w:r>
          </w:p>
        </w:tc>
        <w:tc>
          <w:tcPr>
            <w:tcW w:w="1850" w:type="dxa"/>
            <w:tcBorders>
              <w:tl2br w:val="nil"/>
              <w:tr2bl w:val="nil"/>
            </w:tcBorders>
            <w:shd w:val="clear" w:color="auto" w:fill="auto"/>
            <w:noWrap/>
            <w:vAlign w:val="top"/>
          </w:tcPr>
          <w:p w14:paraId="7A9ABE3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4,315.72 </w:t>
            </w:r>
          </w:p>
        </w:tc>
        <w:tc>
          <w:tcPr>
            <w:tcW w:w="1850" w:type="dxa"/>
            <w:tcBorders>
              <w:tl2br w:val="nil"/>
              <w:tr2bl w:val="nil"/>
            </w:tcBorders>
            <w:shd w:val="clear" w:color="auto" w:fill="auto"/>
            <w:noWrap/>
            <w:vAlign w:val="top"/>
          </w:tcPr>
          <w:p w14:paraId="1469979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i w:val="0"/>
                <w:iCs w:val="0"/>
                <w:color w:val="auto"/>
                <w:kern w:val="0"/>
                <w:sz w:val="21"/>
                <w:szCs w:val="21"/>
                <w:u w:val="none"/>
                <w:lang w:val="en-US" w:eastAsia="zh-CN" w:bidi="ar"/>
                <w14:ligatures w14: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 2,196.72 </w:t>
            </w:r>
          </w:p>
        </w:tc>
      </w:tr>
      <w:tr w14:paraId="660C1A9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64" w:type="dxa"/>
            <w:tcBorders>
              <w:tl2br w:val="nil"/>
              <w:tr2bl w:val="nil"/>
            </w:tcBorders>
            <w:shd w:val="clear" w:color="auto" w:fill="auto"/>
            <w:noWrap/>
            <w:vAlign w:val="center"/>
          </w:tcPr>
          <w:p w14:paraId="7BE42F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合计 </w:t>
            </w:r>
          </w:p>
        </w:tc>
        <w:tc>
          <w:tcPr>
            <w:tcW w:w="1850" w:type="dxa"/>
            <w:tcBorders>
              <w:tl2br w:val="nil"/>
              <w:tr2bl w:val="nil"/>
            </w:tcBorders>
            <w:shd w:val="clear" w:color="auto" w:fill="auto"/>
            <w:noWrap/>
            <w:vAlign w:val="top"/>
          </w:tcPr>
          <w:p w14:paraId="5FEA58A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 xml:space="preserve"> 4,604.24 </w:t>
            </w:r>
          </w:p>
        </w:tc>
        <w:tc>
          <w:tcPr>
            <w:tcW w:w="1850" w:type="dxa"/>
            <w:tcBorders>
              <w:tl2br w:val="nil"/>
              <w:tr2bl w:val="nil"/>
            </w:tcBorders>
            <w:shd w:val="clear" w:color="auto" w:fill="auto"/>
            <w:noWrap/>
            <w:vAlign w:val="top"/>
          </w:tcPr>
          <w:p w14:paraId="4DC360E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 xml:space="preserve"> 4,947.11 </w:t>
            </w:r>
          </w:p>
        </w:tc>
        <w:tc>
          <w:tcPr>
            <w:tcW w:w="1850" w:type="dxa"/>
            <w:tcBorders>
              <w:tl2br w:val="nil"/>
              <w:tr2bl w:val="nil"/>
            </w:tcBorders>
            <w:shd w:val="clear" w:color="auto" w:fill="auto"/>
            <w:noWrap/>
            <w:vAlign w:val="top"/>
          </w:tcPr>
          <w:p w14:paraId="5C7E574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Fonts w:hint="default" w:ascii="Times New Roman" w:hAnsi="Times New Roman" w:eastAsia="宋体" w:cs="Times New Roman"/>
                <w:b/>
                <w:bCs/>
                <w:i w:val="0"/>
                <w:iCs w:val="0"/>
                <w:color w:val="auto"/>
                <w:kern w:val="0"/>
                <w:sz w:val="21"/>
                <w:szCs w:val="21"/>
                <w:u w:val="none"/>
                <w:lang w:val="en-US" w:eastAsia="zh-CN" w:bidi="ar"/>
                <w14:ligatures w14: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 xml:space="preserve"> 2,726.30 </w:t>
            </w:r>
          </w:p>
        </w:tc>
      </w:tr>
    </w:tbl>
    <w:p w14:paraId="33E53669">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line="360" w:lineRule="auto"/>
        <w:jc w:val="both"/>
        <w:textAlignment w:val="auto"/>
        <w:outlineLvl w:val="2"/>
        <w:rPr>
          <w:rFonts w:hint="default" w:ascii="Times New Roman" w:hAnsi="Times New Roman" w:eastAsia="宋体" w:cs="Times New Roman"/>
        </w:rPr>
      </w:pPr>
    </w:p>
    <w:p w14:paraId="1EA0D621">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6" w:name="_Toc3773"/>
      <w:r>
        <w:rPr>
          <w:rFonts w:hint="default" w:ascii="Times New Roman" w:hAnsi="Times New Roman" w:eastAsia="宋体" w:cs="Times New Roman"/>
        </w:rPr>
        <w:t>应收账款</w:t>
      </w:r>
      <w:bookmarkEnd w:id="16"/>
    </w:p>
    <w:tbl>
      <w:tblPr>
        <w:tblStyle w:val="35"/>
        <w:tblW w:w="4998"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3599"/>
        <w:gridCol w:w="1955"/>
        <w:gridCol w:w="1704"/>
        <w:gridCol w:w="1256"/>
      </w:tblGrid>
      <w:tr w14:paraId="26D4D52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2" w:hRule="atLeast"/>
          <w:tblHeader/>
        </w:trPr>
        <w:tc>
          <w:tcPr>
            <w:tcW w:w="3599" w:type="dxa"/>
            <w:tcBorders>
              <w:tl2br w:val="nil"/>
              <w:tr2bl w:val="nil"/>
            </w:tcBorders>
            <w:shd w:val="clear" w:color="auto" w:fill="auto"/>
            <w:noWrap/>
            <w:vAlign w:val="center"/>
          </w:tcPr>
          <w:p w14:paraId="34E522A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955" w:type="dxa"/>
            <w:tcBorders>
              <w:tl2br w:val="nil"/>
              <w:tr2bl w:val="nil"/>
            </w:tcBorders>
            <w:shd w:val="clear" w:color="auto" w:fill="auto"/>
            <w:vAlign w:val="center"/>
          </w:tcPr>
          <w:p w14:paraId="183DBEF8">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704" w:type="dxa"/>
            <w:tcBorders>
              <w:tl2br w:val="nil"/>
              <w:tr2bl w:val="nil"/>
            </w:tcBorders>
            <w:shd w:val="clear" w:color="auto" w:fill="auto"/>
            <w:vAlign w:val="center"/>
          </w:tcPr>
          <w:p w14:paraId="00837D67">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256" w:type="dxa"/>
            <w:tcBorders>
              <w:tl2br w:val="nil"/>
              <w:tr2bl w:val="nil"/>
            </w:tcBorders>
            <w:shd w:val="clear" w:color="auto" w:fill="auto"/>
            <w:vAlign w:val="center"/>
          </w:tcPr>
          <w:p w14:paraId="5F727E54">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7B5BBB5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vAlign w:val="center"/>
          </w:tcPr>
          <w:p w14:paraId="2AC5F4D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华中农业大学</w:t>
            </w:r>
          </w:p>
        </w:tc>
        <w:tc>
          <w:tcPr>
            <w:tcW w:w="1955" w:type="dxa"/>
            <w:tcBorders>
              <w:tl2br w:val="nil"/>
              <w:tr2bl w:val="nil"/>
            </w:tcBorders>
            <w:shd w:val="clear" w:color="auto" w:fill="auto"/>
            <w:noWrap/>
            <w:vAlign w:val="top"/>
          </w:tcPr>
          <w:p w14:paraId="6D7CE44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36885F7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1BC0382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153.60 </w:t>
            </w:r>
          </w:p>
        </w:tc>
      </w:tr>
      <w:tr w14:paraId="4CD1D04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300" w:hRule="atLeast"/>
        </w:trPr>
        <w:tc>
          <w:tcPr>
            <w:tcW w:w="3599" w:type="dxa"/>
            <w:tcBorders>
              <w:tl2br w:val="nil"/>
              <w:tr2bl w:val="nil"/>
            </w:tcBorders>
            <w:shd w:val="clear" w:color="auto" w:fill="auto"/>
            <w:noWrap/>
            <w:vAlign w:val="center"/>
          </w:tcPr>
          <w:p w14:paraId="5C7C586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上海翰森生物医药科技有限公司</w:t>
            </w:r>
          </w:p>
        </w:tc>
        <w:tc>
          <w:tcPr>
            <w:tcW w:w="1955" w:type="dxa"/>
            <w:tcBorders>
              <w:tl2br w:val="nil"/>
              <w:tr2bl w:val="nil"/>
            </w:tcBorders>
            <w:shd w:val="clear" w:color="auto" w:fill="auto"/>
            <w:noWrap/>
            <w:vAlign w:val="top"/>
          </w:tcPr>
          <w:p w14:paraId="214EEA9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4614619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7E137EE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148.00 </w:t>
            </w:r>
          </w:p>
        </w:tc>
      </w:tr>
      <w:tr w14:paraId="3EB4B35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5D05AC5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江苏恒瑞医药股份有限公司</w:t>
            </w:r>
          </w:p>
        </w:tc>
        <w:tc>
          <w:tcPr>
            <w:tcW w:w="1955" w:type="dxa"/>
            <w:tcBorders>
              <w:tl2br w:val="nil"/>
              <w:tr2bl w:val="nil"/>
            </w:tcBorders>
            <w:shd w:val="clear" w:color="auto" w:fill="auto"/>
            <w:noWrap/>
            <w:vAlign w:val="top"/>
          </w:tcPr>
          <w:p w14:paraId="31E5341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630088B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424D0B2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118.46 </w:t>
            </w:r>
          </w:p>
        </w:tc>
      </w:tr>
      <w:tr w14:paraId="475D3D0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0C5E6A7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陕西麦科奥特科技有限公司</w:t>
            </w:r>
          </w:p>
        </w:tc>
        <w:tc>
          <w:tcPr>
            <w:tcW w:w="1955" w:type="dxa"/>
            <w:tcBorders>
              <w:tl2br w:val="nil"/>
              <w:tr2bl w:val="nil"/>
            </w:tcBorders>
            <w:shd w:val="clear" w:color="auto" w:fill="auto"/>
            <w:noWrap/>
            <w:vAlign w:val="top"/>
          </w:tcPr>
          <w:p w14:paraId="0523602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5072E8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31A5348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91.00 </w:t>
            </w:r>
          </w:p>
        </w:tc>
      </w:tr>
      <w:tr w14:paraId="6A50192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vAlign w:val="center"/>
          </w:tcPr>
          <w:p w14:paraId="56CD786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青岛恒宁生物科技有限公司</w:t>
            </w:r>
          </w:p>
        </w:tc>
        <w:tc>
          <w:tcPr>
            <w:tcW w:w="1955" w:type="dxa"/>
            <w:tcBorders>
              <w:tl2br w:val="nil"/>
              <w:tr2bl w:val="nil"/>
            </w:tcBorders>
            <w:shd w:val="clear" w:color="auto" w:fill="auto"/>
            <w:noWrap/>
            <w:vAlign w:val="top"/>
          </w:tcPr>
          <w:p w14:paraId="07D8661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2513BBF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772E509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87.50 </w:t>
            </w:r>
          </w:p>
        </w:tc>
      </w:tr>
      <w:tr w14:paraId="3FF99CD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vAlign w:val="center"/>
          </w:tcPr>
          <w:p w14:paraId="3BD2982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德昇济医药(无锡)有限公司</w:t>
            </w:r>
          </w:p>
        </w:tc>
        <w:tc>
          <w:tcPr>
            <w:tcW w:w="1955" w:type="dxa"/>
            <w:tcBorders>
              <w:tl2br w:val="nil"/>
              <w:tr2bl w:val="nil"/>
            </w:tcBorders>
            <w:shd w:val="clear" w:color="auto" w:fill="auto"/>
            <w:noWrap/>
            <w:vAlign w:val="top"/>
          </w:tcPr>
          <w:p w14:paraId="49F9F23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759B907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88.86 </w:t>
            </w:r>
          </w:p>
        </w:tc>
        <w:tc>
          <w:tcPr>
            <w:tcW w:w="1256" w:type="dxa"/>
            <w:tcBorders>
              <w:tl2br w:val="nil"/>
              <w:tr2bl w:val="nil"/>
            </w:tcBorders>
            <w:shd w:val="clear" w:color="auto" w:fill="auto"/>
            <w:noWrap/>
            <w:vAlign w:val="top"/>
          </w:tcPr>
          <w:p w14:paraId="16D04A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3135A83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28BB6D1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浙江普利药业有限公司</w:t>
            </w:r>
          </w:p>
        </w:tc>
        <w:tc>
          <w:tcPr>
            <w:tcW w:w="1955" w:type="dxa"/>
            <w:tcBorders>
              <w:tl2br w:val="nil"/>
              <w:tr2bl w:val="nil"/>
            </w:tcBorders>
            <w:shd w:val="clear" w:color="auto" w:fill="auto"/>
            <w:noWrap/>
            <w:vAlign w:val="top"/>
          </w:tcPr>
          <w:p w14:paraId="3921820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2AE502A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41.09 </w:t>
            </w:r>
          </w:p>
        </w:tc>
        <w:tc>
          <w:tcPr>
            <w:tcW w:w="1256" w:type="dxa"/>
            <w:tcBorders>
              <w:tl2br w:val="nil"/>
              <w:tr2bl w:val="nil"/>
            </w:tcBorders>
            <w:shd w:val="clear" w:color="auto" w:fill="auto"/>
            <w:noWrap/>
            <w:vAlign w:val="top"/>
          </w:tcPr>
          <w:p w14:paraId="2152C25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4435063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1738CBD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安领生物医药(苏州)有限公司</w:t>
            </w:r>
          </w:p>
        </w:tc>
        <w:tc>
          <w:tcPr>
            <w:tcW w:w="1955" w:type="dxa"/>
            <w:tcBorders>
              <w:tl2br w:val="nil"/>
              <w:tr2bl w:val="nil"/>
            </w:tcBorders>
            <w:shd w:val="clear" w:color="auto" w:fill="auto"/>
            <w:noWrap/>
            <w:vAlign w:val="top"/>
          </w:tcPr>
          <w:p w14:paraId="7D3733A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5223BA7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32.68 </w:t>
            </w:r>
          </w:p>
        </w:tc>
        <w:tc>
          <w:tcPr>
            <w:tcW w:w="1256" w:type="dxa"/>
            <w:tcBorders>
              <w:tl2br w:val="nil"/>
              <w:tr2bl w:val="nil"/>
            </w:tcBorders>
            <w:shd w:val="clear" w:color="auto" w:fill="auto"/>
            <w:noWrap/>
            <w:vAlign w:val="top"/>
          </w:tcPr>
          <w:p w14:paraId="5C7AA18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1B03792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7962286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南京创特医药科技有限公司</w:t>
            </w:r>
          </w:p>
        </w:tc>
        <w:tc>
          <w:tcPr>
            <w:tcW w:w="1955" w:type="dxa"/>
            <w:tcBorders>
              <w:tl2br w:val="nil"/>
              <w:tr2bl w:val="nil"/>
            </w:tcBorders>
            <w:shd w:val="clear" w:color="auto" w:fill="auto"/>
            <w:noWrap/>
            <w:vAlign w:val="top"/>
          </w:tcPr>
          <w:p w14:paraId="2FF226B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4B2489F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23.45 </w:t>
            </w:r>
          </w:p>
        </w:tc>
        <w:tc>
          <w:tcPr>
            <w:tcW w:w="1256" w:type="dxa"/>
            <w:tcBorders>
              <w:tl2br w:val="nil"/>
              <w:tr2bl w:val="nil"/>
            </w:tcBorders>
            <w:shd w:val="clear" w:color="auto" w:fill="auto"/>
            <w:noWrap/>
            <w:vAlign w:val="top"/>
          </w:tcPr>
          <w:p w14:paraId="5D65757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05FD1E1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148BAB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应世生物科技(南京)有限公司</w:t>
            </w:r>
          </w:p>
        </w:tc>
        <w:tc>
          <w:tcPr>
            <w:tcW w:w="1955" w:type="dxa"/>
            <w:tcBorders>
              <w:tl2br w:val="nil"/>
              <w:tr2bl w:val="nil"/>
            </w:tcBorders>
            <w:shd w:val="clear" w:color="auto" w:fill="auto"/>
            <w:noWrap/>
            <w:vAlign w:val="top"/>
          </w:tcPr>
          <w:p w14:paraId="5F8E096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04" w:type="dxa"/>
            <w:tcBorders>
              <w:tl2br w:val="nil"/>
              <w:tr2bl w:val="nil"/>
            </w:tcBorders>
            <w:shd w:val="clear" w:color="auto" w:fill="auto"/>
            <w:noWrap/>
            <w:vAlign w:val="top"/>
          </w:tcPr>
          <w:p w14:paraId="5D20F1D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21.20 </w:t>
            </w:r>
          </w:p>
        </w:tc>
        <w:tc>
          <w:tcPr>
            <w:tcW w:w="1256" w:type="dxa"/>
            <w:tcBorders>
              <w:tl2br w:val="nil"/>
              <w:tr2bl w:val="nil"/>
            </w:tcBorders>
            <w:shd w:val="clear" w:color="auto" w:fill="auto"/>
            <w:noWrap/>
            <w:vAlign w:val="top"/>
          </w:tcPr>
          <w:p w14:paraId="15E8B18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5A4CC6E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24394B5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苏州西山中科药物研究开发有限公司</w:t>
            </w:r>
          </w:p>
        </w:tc>
        <w:tc>
          <w:tcPr>
            <w:tcW w:w="1955" w:type="dxa"/>
            <w:tcBorders>
              <w:tl2br w:val="nil"/>
              <w:tr2bl w:val="nil"/>
            </w:tcBorders>
            <w:shd w:val="clear" w:color="auto" w:fill="auto"/>
            <w:noWrap/>
            <w:vAlign w:val="top"/>
          </w:tcPr>
          <w:p w14:paraId="6C7C2D0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227.01 </w:t>
            </w:r>
          </w:p>
        </w:tc>
        <w:tc>
          <w:tcPr>
            <w:tcW w:w="1704" w:type="dxa"/>
            <w:tcBorders>
              <w:tl2br w:val="nil"/>
              <w:tr2bl w:val="nil"/>
            </w:tcBorders>
            <w:shd w:val="clear" w:color="auto" w:fill="auto"/>
            <w:noWrap/>
            <w:vAlign w:val="top"/>
          </w:tcPr>
          <w:p w14:paraId="0A0506D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58E5171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5C7ED18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20F1F9E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沈阳沈化院测试技术有限公司</w:t>
            </w:r>
          </w:p>
        </w:tc>
        <w:tc>
          <w:tcPr>
            <w:tcW w:w="1955" w:type="dxa"/>
            <w:tcBorders>
              <w:tl2br w:val="nil"/>
              <w:tr2bl w:val="nil"/>
            </w:tcBorders>
            <w:shd w:val="clear" w:color="auto" w:fill="auto"/>
            <w:noWrap/>
            <w:vAlign w:val="top"/>
          </w:tcPr>
          <w:p w14:paraId="373AFA0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142.70 </w:t>
            </w:r>
          </w:p>
        </w:tc>
        <w:tc>
          <w:tcPr>
            <w:tcW w:w="1704" w:type="dxa"/>
            <w:tcBorders>
              <w:tl2br w:val="nil"/>
              <w:tr2bl w:val="nil"/>
            </w:tcBorders>
            <w:shd w:val="clear" w:color="auto" w:fill="auto"/>
            <w:noWrap/>
            <w:vAlign w:val="top"/>
          </w:tcPr>
          <w:p w14:paraId="0DFA7AE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3A8CCCC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4A93980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28E5BE6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同宜医药(苏州)有限公司</w:t>
            </w:r>
          </w:p>
        </w:tc>
        <w:tc>
          <w:tcPr>
            <w:tcW w:w="1955" w:type="dxa"/>
            <w:tcBorders>
              <w:tl2br w:val="nil"/>
              <w:tr2bl w:val="nil"/>
            </w:tcBorders>
            <w:shd w:val="clear" w:color="auto" w:fill="auto"/>
            <w:noWrap/>
            <w:vAlign w:val="top"/>
          </w:tcPr>
          <w:p w14:paraId="2BF8864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81.20 </w:t>
            </w:r>
          </w:p>
        </w:tc>
        <w:tc>
          <w:tcPr>
            <w:tcW w:w="1704" w:type="dxa"/>
            <w:tcBorders>
              <w:tl2br w:val="nil"/>
              <w:tr2bl w:val="nil"/>
            </w:tcBorders>
            <w:shd w:val="clear" w:color="auto" w:fill="auto"/>
            <w:noWrap/>
            <w:vAlign w:val="top"/>
          </w:tcPr>
          <w:p w14:paraId="5DAE9FD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221B1B9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399806D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0B372BA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苏州锐迪欧医药科技有限公司</w:t>
            </w:r>
          </w:p>
        </w:tc>
        <w:tc>
          <w:tcPr>
            <w:tcW w:w="1955" w:type="dxa"/>
            <w:tcBorders>
              <w:tl2br w:val="nil"/>
              <w:tr2bl w:val="nil"/>
            </w:tcBorders>
            <w:shd w:val="clear" w:color="auto" w:fill="auto"/>
            <w:noWrap/>
            <w:vAlign w:val="top"/>
          </w:tcPr>
          <w:p w14:paraId="5F849FE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61.25 </w:t>
            </w:r>
          </w:p>
        </w:tc>
        <w:tc>
          <w:tcPr>
            <w:tcW w:w="1704" w:type="dxa"/>
            <w:tcBorders>
              <w:tl2br w:val="nil"/>
              <w:tr2bl w:val="nil"/>
            </w:tcBorders>
            <w:shd w:val="clear" w:color="auto" w:fill="auto"/>
            <w:noWrap/>
            <w:vAlign w:val="top"/>
          </w:tcPr>
          <w:p w14:paraId="6A0535B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0FB4FCA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1FEA678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5050E18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润佳(苏州)医药科技有限公司</w:t>
            </w:r>
          </w:p>
        </w:tc>
        <w:tc>
          <w:tcPr>
            <w:tcW w:w="1955" w:type="dxa"/>
            <w:tcBorders>
              <w:tl2br w:val="nil"/>
              <w:tr2bl w:val="nil"/>
            </w:tcBorders>
            <w:shd w:val="clear" w:color="auto" w:fill="auto"/>
            <w:noWrap/>
            <w:vAlign w:val="top"/>
          </w:tcPr>
          <w:p w14:paraId="6BD6137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52.23 </w:t>
            </w:r>
          </w:p>
        </w:tc>
        <w:tc>
          <w:tcPr>
            <w:tcW w:w="1704" w:type="dxa"/>
            <w:tcBorders>
              <w:tl2br w:val="nil"/>
              <w:tr2bl w:val="nil"/>
            </w:tcBorders>
            <w:shd w:val="clear" w:color="auto" w:fill="auto"/>
            <w:noWrap/>
            <w:vAlign w:val="top"/>
          </w:tcPr>
          <w:p w14:paraId="00E13E5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341ED60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6DB0DD9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noWrap/>
            <w:vAlign w:val="center"/>
          </w:tcPr>
          <w:p w14:paraId="6ACE0AD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应收账款(原值)</w:t>
            </w:r>
          </w:p>
        </w:tc>
        <w:tc>
          <w:tcPr>
            <w:tcW w:w="1955" w:type="dxa"/>
            <w:tcBorders>
              <w:tl2br w:val="nil"/>
              <w:tr2bl w:val="nil"/>
            </w:tcBorders>
            <w:shd w:val="clear" w:color="auto" w:fill="auto"/>
            <w:noWrap/>
            <w:vAlign w:val="top"/>
          </w:tcPr>
          <w:p w14:paraId="250BACA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820.33 </w:t>
            </w:r>
          </w:p>
        </w:tc>
        <w:tc>
          <w:tcPr>
            <w:tcW w:w="1704" w:type="dxa"/>
            <w:tcBorders>
              <w:tl2br w:val="nil"/>
              <w:tr2bl w:val="nil"/>
            </w:tcBorders>
            <w:shd w:val="clear" w:color="auto" w:fill="auto"/>
            <w:noWrap/>
            <w:vAlign w:val="top"/>
          </w:tcPr>
          <w:p w14:paraId="21B6FC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289.86 </w:t>
            </w:r>
          </w:p>
        </w:tc>
        <w:tc>
          <w:tcPr>
            <w:tcW w:w="1256" w:type="dxa"/>
            <w:tcBorders>
              <w:tl2br w:val="nil"/>
              <w:tr2bl w:val="nil"/>
            </w:tcBorders>
            <w:shd w:val="clear" w:color="auto" w:fill="auto"/>
            <w:noWrap/>
            <w:vAlign w:val="top"/>
          </w:tcPr>
          <w:p w14:paraId="68D803C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1,007.07 </w:t>
            </w:r>
          </w:p>
        </w:tc>
      </w:tr>
      <w:tr w14:paraId="542617AE">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vAlign w:val="center"/>
          </w:tcPr>
          <w:p w14:paraId="0779C46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坏账准备</w:t>
            </w:r>
          </w:p>
        </w:tc>
        <w:tc>
          <w:tcPr>
            <w:tcW w:w="1955" w:type="dxa"/>
            <w:tcBorders>
              <w:tl2br w:val="nil"/>
              <w:tr2bl w:val="nil"/>
            </w:tcBorders>
            <w:shd w:val="clear" w:color="auto" w:fill="auto"/>
            <w:noWrap/>
            <w:vAlign w:val="top"/>
          </w:tcPr>
          <w:p w14:paraId="39CE6D9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41.02 </w:t>
            </w:r>
          </w:p>
        </w:tc>
        <w:tc>
          <w:tcPr>
            <w:tcW w:w="1704" w:type="dxa"/>
            <w:tcBorders>
              <w:tl2br w:val="nil"/>
              <w:tr2bl w:val="nil"/>
            </w:tcBorders>
            <w:shd w:val="clear" w:color="auto" w:fill="auto"/>
            <w:noWrap/>
            <w:vAlign w:val="top"/>
          </w:tcPr>
          <w:p w14:paraId="42BE3B2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14.49 </w:t>
            </w:r>
          </w:p>
        </w:tc>
        <w:tc>
          <w:tcPr>
            <w:tcW w:w="1256" w:type="dxa"/>
            <w:tcBorders>
              <w:tl2br w:val="nil"/>
              <w:tr2bl w:val="nil"/>
            </w:tcBorders>
            <w:shd w:val="clear" w:color="auto" w:fill="auto"/>
            <w:noWrap/>
            <w:vAlign w:val="top"/>
          </w:tcPr>
          <w:p w14:paraId="3C0FB6A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50.23 </w:t>
            </w:r>
          </w:p>
        </w:tc>
      </w:tr>
      <w:tr w14:paraId="53037A3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99" w:type="dxa"/>
            <w:tcBorders>
              <w:tl2br w:val="nil"/>
              <w:tr2bl w:val="nil"/>
            </w:tcBorders>
            <w:shd w:val="clear" w:color="auto" w:fill="auto"/>
            <w:vAlign w:val="center"/>
          </w:tcPr>
          <w:p w14:paraId="28C37AB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应收账款(净值)</w:t>
            </w:r>
          </w:p>
        </w:tc>
        <w:tc>
          <w:tcPr>
            <w:tcW w:w="1955" w:type="dxa"/>
            <w:tcBorders>
              <w:tl2br w:val="nil"/>
              <w:tr2bl w:val="nil"/>
            </w:tcBorders>
            <w:shd w:val="clear" w:color="auto" w:fill="auto"/>
            <w:noWrap/>
            <w:vAlign w:val="top"/>
          </w:tcPr>
          <w:p w14:paraId="4CC1CE0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779.32 </w:t>
            </w:r>
          </w:p>
        </w:tc>
        <w:tc>
          <w:tcPr>
            <w:tcW w:w="1704" w:type="dxa"/>
            <w:tcBorders>
              <w:tl2br w:val="nil"/>
              <w:tr2bl w:val="nil"/>
            </w:tcBorders>
            <w:shd w:val="clear" w:color="auto" w:fill="auto"/>
            <w:noWrap/>
            <w:vAlign w:val="top"/>
          </w:tcPr>
          <w:p w14:paraId="74EBA60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275.37 </w:t>
            </w:r>
          </w:p>
        </w:tc>
        <w:tc>
          <w:tcPr>
            <w:tcW w:w="1256" w:type="dxa"/>
            <w:tcBorders>
              <w:tl2br w:val="nil"/>
              <w:tr2bl w:val="nil"/>
            </w:tcBorders>
            <w:shd w:val="clear" w:color="auto" w:fill="auto"/>
            <w:noWrap/>
            <w:vAlign w:val="top"/>
          </w:tcPr>
          <w:p w14:paraId="0FD934A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956.84 </w:t>
            </w:r>
          </w:p>
        </w:tc>
      </w:tr>
    </w:tbl>
    <w:p w14:paraId="73411DD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lang w:val="en-US" w:eastAsia="zh-CN"/>
        </w:rPr>
      </w:pPr>
      <w:r>
        <w:rPr>
          <w:rFonts w:hint="default" w:ascii="Times New Roman" w:hAnsi="Times New Roman" w:eastAsia="宋体" w:cs="Times New Roman"/>
        </w:rPr>
        <w:t>公司</w:t>
      </w:r>
      <w:r>
        <w:rPr>
          <w:rFonts w:hint="default" w:ascii="Times New Roman" w:hAnsi="Times New Roman" w:cs="Times New Roman"/>
          <w:lang w:val="en-US" w:eastAsia="zh-CN"/>
        </w:rPr>
        <w:t>收款较好，通常项目完成后1-3个月就能完成全部货款的回收。2024年的应收账款均在1年以内。</w:t>
      </w:r>
    </w:p>
    <w:p w14:paraId="07FB87EC">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textAlignment w:val="auto"/>
        <w:rPr>
          <w:rFonts w:hint="default" w:ascii="Times New Roman" w:hAnsi="Times New Roman" w:eastAsia="宋体" w:cs="Times New Roman"/>
        </w:rPr>
      </w:pPr>
    </w:p>
    <w:p w14:paraId="2926EE73">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7" w:name="_Toc21475"/>
      <w:r>
        <w:rPr>
          <w:rFonts w:hint="default" w:ascii="Times New Roman" w:hAnsi="Times New Roman" w:eastAsia="宋体" w:cs="Times New Roman"/>
          <w:lang w:val="en-US" w:eastAsia="zh-CN"/>
        </w:rPr>
        <w:t>预付账款</w:t>
      </w:r>
      <w:bookmarkEnd w:id="17"/>
    </w:p>
    <w:tbl>
      <w:tblPr>
        <w:tblStyle w:val="35"/>
        <w:tblW w:w="4998"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fixed"/>
        <w:tblCellMar>
          <w:top w:w="0" w:type="dxa"/>
          <w:left w:w="108" w:type="dxa"/>
          <w:bottom w:w="0" w:type="dxa"/>
          <w:right w:w="108" w:type="dxa"/>
        </w:tblCellMar>
      </w:tblPr>
      <w:tblGrid>
        <w:gridCol w:w="3584"/>
        <w:gridCol w:w="1962"/>
        <w:gridCol w:w="1712"/>
        <w:gridCol w:w="1256"/>
      </w:tblGrid>
      <w:tr w14:paraId="440F703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center"/>
          </w:tcPr>
          <w:p w14:paraId="6E74422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962" w:type="dxa"/>
            <w:tcBorders>
              <w:tl2br w:val="nil"/>
              <w:tr2bl w:val="nil"/>
            </w:tcBorders>
            <w:shd w:val="clear" w:color="auto" w:fill="auto"/>
            <w:vAlign w:val="center"/>
          </w:tcPr>
          <w:p w14:paraId="59C094D1">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712" w:type="dxa"/>
            <w:tcBorders>
              <w:tl2br w:val="nil"/>
              <w:tr2bl w:val="nil"/>
            </w:tcBorders>
            <w:shd w:val="clear" w:color="auto" w:fill="auto"/>
            <w:vAlign w:val="center"/>
          </w:tcPr>
          <w:p w14:paraId="33C0B4DD">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256" w:type="dxa"/>
            <w:tcBorders>
              <w:tl2br w:val="nil"/>
              <w:tr2bl w:val="nil"/>
            </w:tcBorders>
            <w:shd w:val="clear" w:color="auto" w:fill="auto"/>
            <w:vAlign w:val="center"/>
          </w:tcPr>
          <w:p w14:paraId="3FF44E3C">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7F00C0E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23B2423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中国核动力研究设计院夹江基地</w:t>
            </w:r>
          </w:p>
        </w:tc>
        <w:tc>
          <w:tcPr>
            <w:tcW w:w="1962" w:type="dxa"/>
            <w:tcBorders>
              <w:tl2br w:val="nil"/>
              <w:tr2bl w:val="nil"/>
            </w:tcBorders>
            <w:shd w:val="clear" w:color="auto" w:fill="auto"/>
            <w:noWrap/>
            <w:vAlign w:val="top"/>
          </w:tcPr>
          <w:p w14:paraId="1D402A8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4A54038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2D6310B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67.50 </w:t>
            </w:r>
          </w:p>
        </w:tc>
      </w:tr>
      <w:tr w14:paraId="11BCD77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3373DBE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江阴澄优生活服务有限公司</w:t>
            </w:r>
          </w:p>
        </w:tc>
        <w:tc>
          <w:tcPr>
            <w:tcW w:w="1962" w:type="dxa"/>
            <w:tcBorders>
              <w:tl2br w:val="nil"/>
              <w:tr2bl w:val="nil"/>
            </w:tcBorders>
            <w:shd w:val="clear" w:color="auto" w:fill="auto"/>
            <w:noWrap/>
            <w:vAlign w:val="top"/>
          </w:tcPr>
          <w:p w14:paraId="503F598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208D0BE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1A6FBC6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10.97 </w:t>
            </w:r>
          </w:p>
        </w:tc>
      </w:tr>
      <w:tr w14:paraId="406F850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41D1E38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广西梧州制药(集团)股份有限公司</w:t>
            </w:r>
          </w:p>
        </w:tc>
        <w:tc>
          <w:tcPr>
            <w:tcW w:w="1962" w:type="dxa"/>
            <w:tcBorders>
              <w:tl2br w:val="nil"/>
              <w:tr2bl w:val="nil"/>
            </w:tcBorders>
            <w:shd w:val="clear" w:color="auto" w:fill="auto"/>
            <w:noWrap/>
            <w:vAlign w:val="top"/>
          </w:tcPr>
          <w:p w14:paraId="66BC812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6D2CD94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7D62501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3.60 </w:t>
            </w:r>
          </w:p>
        </w:tc>
      </w:tr>
      <w:tr w14:paraId="2ACC9DC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10EC4E0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上海卓光仪器科技有限公司</w:t>
            </w:r>
          </w:p>
        </w:tc>
        <w:tc>
          <w:tcPr>
            <w:tcW w:w="1962" w:type="dxa"/>
            <w:tcBorders>
              <w:tl2br w:val="nil"/>
              <w:tr2bl w:val="nil"/>
            </w:tcBorders>
            <w:shd w:val="clear" w:color="auto" w:fill="auto"/>
            <w:noWrap/>
            <w:vAlign w:val="top"/>
          </w:tcPr>
          <w:p w14:paraId="11AF0B4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751407E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627C598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3.50 </w:t>
            </w:r>
          </w:p>
        </w:tc>
      </w:tr>
      <w:tr w14:paraId="0D11A5A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0FDB802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长沙物丰科技实业有限公司</w:t>
            </w:r>
          </w:p>
        </w:tc>
        <w:tc>
          <w:tcPr>
            <w:tcW w:w="1962" w:type="dxa"/>
            <w:tcBorders>
              <w:tl2br w:val="nil"/>
              <w:tr2bl w:val="nil"/>
            </w:tcBorders>
            <w:shd w:val="clear" w:color="auto" w:fill="auto"/>
            <w:noWrap/>
            <w:vAlign w:val="top"/>
          </w:tcPr>
          <w:p w14:paraId="45DE2A8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2.02 </w:t>
            </w:r>
          </w:p>
        </w:tc>
        <w:tc>
          <w:tcPr>
            <w:tcW w:w="1712" w:type="dxa"/>
            <w:tcBorders>
              <w:tl2br w:val="nil"/>
              <w:tr2bl w:val="nil"/>
            </w:tcBorders>
            <w:shd w:val="clear" w:color="auto" w:fill="auto"/>
            <w:noWrap/>
            <w:vAlign w:val="top"/>
          </w:tcPr>
          <w:p w14:paraId="755D4DF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66762A2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2.02 </w:t>
            </w:r>
          </w:p>
        </w:tc>
      </w:tr>
      <w:tr w14:paraId="5B7FC34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63FC4C0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江阴扬子江创智投资发展有限公司</w:t>
            </w:r>
          </w:p>
        </w:tc>
        <w:tc>
          <w:tcPr>
            <w:tcW w:w="1962" w:type="dxa"/>
            <w:tcBorders>
              <w:tl2br w:val="nil"/>
              <w:tr2bl w:val="nil"/>
            </w:tcBorders>
            <w:shd w:val="clear" w:color="auto" w:fill="auto"/>
            <w:noWrap/>
            <w:vAlign w:val="top"/>
          </w:tcPr>
          <w:p w14:paraId="61BC61C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2.95 </w:t>
            </w:r>
          </w:p>
        </w:tc>
        <w:tc>
          <w:tcPr>
            <w:tcW w:w="1712" w:type="dxa"/>
            <w:tcBorders>
              <w:tl2br w:val="nil"/>
              <w:tr2bl w:val="nil"/>
            </w:tcBorders>
            <w:shd w:val="clear" w:color="auto" w:fill="auto"/>
            <w:noWrap/>
            <w:vAlign w:val="top"/>
          </w:tcPr>
          <w:p w14:paraId="4203617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88.65 </w:t>
            </w:r>
          </w:p>
        </w:tc>
        <w:tc>
          <w:tcPr>
            <w:tcW w:w="1256" w:type="dxa"/>
            <w:tcBorders>
              <w:tl2br w:val="nil"/>
              <w:tr2bl w:val="nil"/>
            </w:tcBorders>
            <w:shd w:val="clear" w:color="auto" w:fill="auto"/>
            <w:noWrap/>
            <w:vAlign w:val="top"/>
          </w:tcPr>
          <w:p w14:paraId="5E8209E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2F998B8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6E1C273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上海仪天科学仪器有限公司</w:t>
            </w:r>
          </w:p>
        </w:tc>
        <w:tc>
          <w:tcPr>
            <w:tcW w:w="1962" w:type="dxa"/>
            <w:tcBorders>
              <w:tl2br w:val="nil"/>
              <w:tr2bl w:val="nil"/>
            </w:tcBorders>
            <w:shd w:val="clear" w:color="auto" w:fill="auto"/>
            <w:noWrap/>
            <w:vAlign w:val="top"/>
          </w:tcPr>
          <w:p w14:paraId="6D0C193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659EB0E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2.21 </w:t>
            </w:r>
          </w:p>
        </w:tc>
        <w:tc>
          <w:tcPr>
            <w:tcW w:w="1256" w:type="dxa"/>
            <w:tcBorders>
              <w:tl2br w:val="nil"/>
              <w:tr2bl w:val="nil"/>
            </w:tcBorders>
            <w:shd w:val="clear" w:color="auto" w:fill="auto"/>
            <w:noWrap/>
            <w:vAlign w:val="top"/>
          </w:tcPr>
          <w:p w14:paraId="5D6DED2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0977036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188D62D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苏州易科新创科学仪器有限公司</w:t>
            </w:r>
          </w:p>
        </w:tc>
        <w:tc>
          <w:tcPr>
            <w:tcW w:w="1962" w:type="dxa"/>
            <w:tcBorders>
              <w:tl2br w:val="nil"/>
              <w:tr2bl w:val="nil"/>
            </w:tcBorders>
            <w:shd w:val="clear" w:color="auto" w:fill="auto"/>
            <w:noWrap/>
            <w:vAlign w:val="top"/>
          </w:tcPr>
          <w:p w14:paraId="7B51800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20B478F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1.92 </w:t>
            </w:r>
          </w:p>
        </w:tc>
        <w:tc>
          <w:tcPr>
            <w:tcW w:w="1256" w:type="dxa"/>
            <w:tcBorders>
              <w:tl2br w:val="nil"/>
              <w:tr2bl w:val="nil"/>
            </w:tcBorders>
            <w:shd w:val="clear" w:color="auto" w:fill="auto"/>
            <w:noWrap/>
            <w:vAlign w:val="top"/>
          </w:tcPr>
          <w:p w14:paraId="63B2F17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06B4B96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56D7288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工控智能科技（广州）有限公司</w:t>
            </w:r>
          </w:p>
        </w:tc>
        <w:tc>
          <w:tcPr>
            <w:tcW w:w="1962" w:type="dxa"/>
            <w:tcBorders>
              <w:tl2br w:val="nil"/>
              <w:tr2bl w:val="nil"/>
            </w:tcBorders>
            <w:shd w:val="clear" w:color="auto" w:fill="auto"/>
            <w:noWrap/>
            <w:vAlign w:val="top"/>
          </w:tcPr>
          <w:p w14:paraId="2676B5B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5F1DE4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0.84 </w:t>
            </w:r>
          </w:p>
        </w:tc>
        <w:tc>
          <w:tcPr>
            <w:tcW w:w="1256" w:type="dxa"/>
            <w:tcBorders>
              <w:tl2br w:val="nil"/>
              <w:tr2bl w:val="nil"/>
            </w:tcBorders>
            <w:shd w:val="clear" w:color="auto" w:fill="auto"/>
            <w:noWrap/>
            <w:vAlign w:val="top"/>
          </w:tcPr>
          <w:p w14:paraId="05E96F3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6B1A421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472A274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乐清市铭变电气有限公司</w:t>
            </w:r>
          </w:p>
        </w:tc>
        <w:tc>
          <w:tcPr>
            <w:tcW w:w="1962" w:type="dxa"/>
            <w:tcBorders>
              <w:tl2br w:val="nil"/>
              <w:tr2bl w:val="nil"/>
            </w:tcBorders>
            <w:shd w:val="clear" w:color="auto" w:fill="auto"/>
            <w:noWrap/>
            <w:vAlign w:val="top"/>
          </w:tcPr>
          <w:p w14:paraId="37C314B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712" w:type="dxa"/>
            <w:tcBorders>
              <w:tl2br w:val="nil"/>
              <w:tr2bl w:val="nil"/>
            </w:tcBorders>
            <w:shd w:val="clear" w:color="auto" w:fill="auto"/>
            <w:noWrap/>
            <w:vAlign w:val="top"/>
          </w:tcPr>
          <w:p w14:paraId="3BE6636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0.65 </w:t>
            </w:r>
          </w:p>
        </w:tc>
        <w:tc>
          <w:tcPr>
            <w:tcW w:w="1256" w:type="dxa"/>
            <w:tcBorders>
              <w:tl2br w:val="nil"/>
              <w:tr2bl w:val="nil"/>
            </w:tcBorders>
            <w:shd w:val="clear" w:color="auto" w:fill="auto"/>
            <w:noWrap/>
            <w:vAlign w:val="top"/>
          </w:tcPr>
          <w:p w14:paraId="5263869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003AABAA">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0468F3D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广州市桐晖药业有限公司</w:t>
            </w:r>
          </w:p>
        </w:tc>
        <w:tc>
          <w:tcPr>
            <w:tcW w:w="1962" w:type="dxa"/>
            <w:tcBorders>
              <w:tl2br w:val="nil"/>
              <w:tr2bl w:val="nil"/>
            </w:tcBorders>
            <w:shd w:val="clear" w:color="auto" w:fill="auto"/>
            <w:noWrap/>
            <w:vAlign w:val="top"/>
          </w:tcPr>
          <w:p w14:paraId="15541AD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5.40 </w:t>
            </w:r>
          </w:p>
        </w:tc>
        <w:tc>
          <w:tcPr>
            <w:tcW w:w="1712" w:type="dxa"/>
            <w:tcBorders>
              <w:tl2br w:val="nil"/>
              <w:tr2bl w:val="nil"/>
            </w:tcBorders>
            <w:shd w:val="clear" w:color="auto" w:fill="auto"/>
            <w:noWrap/>
            <w:vAlign w:val="top"/>
          </w:tcPr>
          <w:p w14:paraId="2170E0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61C07E6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7B57593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718477B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青岛为研生物科技有限公司</w:t>
            </w:r>
          </w:p>
        </w:tc>
        <w:tc>
          <w:tcPr>
            <w:tcW w:w="1962" w:type="dxa"/>
            <w:tcBorders>
              <w:tl2br w:val="nil"/>
              <w:tr2bl w:val="nil"/>
            </w:tcBorders>
            <w:shd w:val="clear" w:color="auto" w:fill="auto"/>
            <w:noWrap/>
            <w:vAlign w:val="top"/>
          </w:tcPr>
          <w:p w14:paraId="21EABAF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2.50 </w:t>
            </w:r>
          </w:p>
        </w:tc>
        <w:tc>
          <w:tcPr>
            <w:tcW w:w="1712" w:type="dxa"/>
            <w:tcBorders>
              <w:tl2br w:val="nil"/>
              <w:tr2bl w:val="nil"/>
            </w:tcBorders>
            <w:shd w:val="clear" w:color="auto" w:fill="auto"/>
            <w:noWrap/>
            <w:vAlign w:val="top"/>
          </w:tcPr>
          <w:p w14:paraId="7EEFA72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5F82F0F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3360CEF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51DF458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浙江步丹工贸有限公司</w:t>
            </w:r>
          </w:p>
        </w:tc>
        <w:tc>
          <w:tcPr>
            <w:tcW w:w="1962" w:type="dxa"/>
            <w:tcBorders>
              <w:tl2br w:val="nil"/>
              <w:tr2bl w:val="nil"/>
            </w:tcBorders>
            <w:shd w:val="clear" w:color="auto" w:fill="auto"/>
            <w:noWrap/>
            <w:vAlign w:val="top"/>
          </w:tcPr>
          <w:p w14:paraId="019D6DB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1.30 </w:t>
            </w:r>
          </w:p>
        </w:tc>
        <w:tc>
          <w:tcPr>
            <w:tcW w:w="1712" w:type="dxa"/>
            <w:tcBorders>
              <w:tl2br w:val="nil"/>
              <w:tr2bl w:val="nil"/>
            </w:tcBorders>
            <w:shd w:val="clear" w:color="auto" w:fill="auto"/>
            <w:noWrap/>
            <w:vAlign w:val="top"/>
          </w:tcPr>
          <w:p w14:paraId="33A301F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256" w:type="dxa"/>
            <w:tcBorders>
              <w:tl2br w:val="nil"/>
              <w:tr2bl w:val="nil"/>
            </w:tcBorders>
            <w:shd w:val="clear" w:color="auto" w:fill="auto"/>
            <w:noWrap/>
            <w:vAlign w:val="top"/>
          </w:tcPr>
          <w:p w14:paraId="7FE6B5C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7854501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1A8476C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其他</w:t>
            </w:r>
          </w:p>
        </w:tc>
        <w:tc>
          <w:tcPr>
            <w:tcW w:w="1962" w:type="dxa"/>
            <w:tcBorders>
              <w:tl2br w:val="nil"/>
              <w:tr2bl w:val="nil"/>
            </w:tcBorders>
            <w:shd w:val="clear" w:color="auto" w:fill="auto"/>
            <w:noWrap/>
            <w:vAlign w:val="top"/>
          </w:tcPr>
          <w:p w14:paraId="1547BDA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12.45 </w:t>
            </w:r>
          </w:p>
        </w:tc>
        <w:tc>
          <w:tcPr>
            <w:tcW w:w="1712" w:type="dxa"/>
            <w:tcBorders>
              <w:tl2br w:val="nil"/>
              <w:tr2bl w:val="nil"/>
            </w:tcBorders>
            <w:shd w:val="clear" w:color="auto" w:fill="auto"/>
            <w:noWrap/>
            <w:vAlign w:val="top"/>
          </w:tcPr>
          <w:p w14:paraId="3CE2B5F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10.12 </w:t>
            </w:r>
          </w:p>
        </w:tc>
        <w:tc>
          <w:tcPr>
            <w:tcW w:w="1256" w:type="dxa"/>
            <w:tcBorders>
              <w:tl2br w:val="nil"/>
              <w:tr2bl w:val="nil"/>
            </w:tcBorders>
            <w:shd w:val="clear" w:color="auto" w:fill="auto"/>
            <w:noWrap/>
            <w:vAlign w:val="top"/>
          </w:tcPr>
          <w:p w14:paraId="16BBFE1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4.03 </w:t>
            </w:r>
          </w:p>
        </w:tc>
      </w:tr>
      <w:tr w14:paraId="38920093">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0" w:hRule="atLeast"/>
        </w:trPr>
        <w:tc>
          <w:tcPr>
            <w:tcW w:w="3584" w:type="dxa"/>
            <w:tcBorders>
              <w:tl2br w:val="nil"/>
              <w:tr2bl w:val="nil"/>
            </w:tcBorders>
            <w:shd w:val="clear" w:color="auto" w:fill="auto"/>
            <w:noWrap/>
            <w:vAlign w:val="top"/>
          </w:tcPr>
          <w:p w14:paraId="2CE98DC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962" w:type="dxa"/>
            <w:tcBorders>
              <w:tl2br w:val="nil"/>
              <w:tr2bl w:val="nil"/>
            </w:tcBorders>
            <w:shd w:val="clear" w:color="auto" w:fill="auto"/>
            <w:noWrap/>
            <w:vAlign w:val="top"/>
          </w:tcPr>
          <w:p w14:paraId="33EF4F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26.62 </w:t>
            </w:r>
          </w:p>
        </w:tc>
        <w:tc>
          <w:tcPr>
            <w:tcW w:w="1712" w:type="dxa"/>
            <w:tcBorders>
              <w:tl2br w:val="nil"/>
              <w:tr2bl w:val="nil"/>
            </w:tcBorders>
            <w:shd w:val="clear" w:color="auto" w:fill="auto"/>
            <w:noWrap/>
            <w:vAlign w:val="top"/>
          </w:tcPr>
          <w:p w14:paraId="2D33654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104.39 </w:t>
            </w:r>
          </w:p>
        </w:tc>
        <w:tc>
          <w:tcPr>
            <w:tcW w:w="1256" w:type="dxa"/>
            <w:tcBorders>
              <w:tl2br w:val="nil"/>
              <w:tr2bl w:val="nil"/>
            </w:tcBorders>
            <w:shd w:val="clear" w:color="auto" w:fill="auto"/>
            <w:noWrap/>
            <w:vAlign w:val="top"/>
          </w:tcPr>
          <w:p w14:paraId="74A8B1F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91.62 </w:t>
            </w:r>
          </w:p>
        </w:tc>
      </w:tr>
    </w:tbl>
    <w:p w14:paraId="028196CF">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textAlignment w:val="auto"/>
        <w:rPr>
          <w:rFonts w:hint="default" w:ascii="Times New Roman" w:hAnsi="Times New Roman" w:eastAsia="宋体" w:cs="Times New Roman"/>
        </w:rPr>
      </w:pPr>
    </w:p>
    <w:p w14:paraId="408D2096">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8" w:name="_Toc25471"/>
      <w:r>
        <w:rPr>
          <w:rFonts w:hint="default" w:ascii="Times New Roman" w:hAnsi="Times New Roman" w:eastAsia="宋体" w:cs="Times New Roman"/>
          <w:lang w:val="en-US" w:eastAsia="zh-CN"/>
        </w:rPr>
        <w:t>存货</w:t>
      </w:r>
      <w:bookmarkEnd w:id="18"/>
    </w:p>
    <w:tbl>
      <w:tblPr>
        <w:tblStyle w:val="35"/>
        <w:tblW w:w="4998" w:type="pct"/>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3078"/>
        <w:gridCol w:w="1703"/>
        <w:gridCol w:w="1768"/>
        <w:gridCol w:w="1965"/>
      </w:tblGrid>
      <w:tr w14:paraId="749D47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0" w:hRule="atLeast"/>
        </w:trPr>
        <w:tc>
          <w:tcPr>
            <w:tcW w:w="3078" w:type="dxa"/>
            <w:tcBorders>
              <w:tl2br w:val="nil"/>
              <w:tr2bl w:val="nil"/>
            </w:tcBorders>
            <w:shd w:val="clear" w:color="auto" w:fill="auto"/>
            <w:noWrap/>
            <w:vAlign w:val="center"/>
          </w:tcPr>
          <w:p w14:paraId="4EDF6EAA">
            <w:pPr>
              <w:widowControl/>
              <w:adjustRightInd/>
              <w:snapToGrid/>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703" w:type="dxa"/>
            <w:tcBorders>
              <w:tl2br w:val="nil"/>
              <w:tr2bl w:val="nil"/>
            </w:tcBorders>
            <w:shd w:val="clear" w:color="auto" w:fill="auto"/>
            <w:vAlign w:val="center"/>
          </w:tcPr>
          <w:p w14:paraId="223B89C8">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768" w:type="dxa"/>
            <w:tcBorders>
              <w:tl2br w:val="nil"/>
              <w:tr2bl w:val="nil"/>
            </w:tcBorders>
            <w:shd w:val="clear" w:color="auto" w:fill="auto"/>
            <w:vAlign w:val="center"/>
          </w:tcPr>
          <w:p w14:paraId="4F404791">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965" w:type="dxa"/>
            <w:tcBorders>
              <w:tl2br w:val="nil"/>
              <w:tr2bl w:val="nil"/>
            </w:tcBorders>
            <w:shd w:val="clear" w:color="auto" w:fill="auto"/>
            <w:vAlign w:val="center"/>
          </w:tcPr>
          <w:p w14:paraId="0E376C55">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49FB346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0" w:hRule="atLeast"/>
        </w:trPr>
        <w:tc>
          <w:tcPr>
            <w:tcW w:w="1807" w:type="pct"/>
            <w:tcBorders>
              <w:tl2br w:val="nil"/>
              <w:tr2bl w:val="nil"/>
            </w:tcBorders>
            <w:shd w:val="clear" w:color="auto" w:fill="auto"/>
            <w:vAlign w:val="center"/>
          </w:tcPr>
          <w:p w14:paraId="75E3566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14:ligatures w14:val="none"/>
              </w:rPr>
              <w:t xml:space="preserve">原材料 </w:t>
            </w:r>
          </w:p>
        </w:tc>
        <w:tc>
          <w:tcPr>
            <w:tcW w:w="1703" w:type="dxa"/>
            <w:tcBorders>
              <w:tl2br w:val="nil"/>
              <w:tr2bl w:val="nil"/>
            </w:tcBorders>
            <w:shd w:val="clear" w:color="auto" w:fill="auto"/>
            <w:noWrap/>
            <w:vAlign w:val="top"/>
          </w:tcPr>
          <w:p w14:paraId="2D05CCE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1,584.45 </w:t>
            </w:r>
          </w:p>
        </w:tc>
        <w:tc>
          <w:tcPr>
            <w:tcW w:w="1768" w:type="dxa"/>
            <w:tcBorders>
              <w:tl2br w:val="nil"/>
              <w:tr2bl w:val="nil"/>
            </w:tcBorders>
            <w:shd w:val="clear" w:color="auto" w:fill="auto"/>
            <w:noWrap/>
            <w:vAlign w:val="top"/>
          </w:tcPr>
          <w:p w14:paraId="7908C8F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3,743.86 </w:t>
            </w:r>
          </w:p>
        </w:tc>
        <w:tc>
          <w:tcPr>
            <w:tcW w:w="1965" w:type="dxa"/>
            <w:tcBorders>
              <w:tl2br w:val="nil"/>
              <w:tr2bl w:val="nil"/>
            </w:tcBorders>
            <w:shd w:val="clear" w:color="auto" w:fill="auto"/>
            <w:noWrap/>
            <w:vAlign w:val="top"/>
          </w:tcPr>
          <w:p w14:paraId="6E2FEA5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3,120.09 </w:t>
            </w:r>
          </w:p>
        </w:tc>
      </w:tr>
      <w:tr w14:paraId="2DDA8FE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807" w:type="pct"/>
            <w:tcBorders>
              <w:tl2br w:val="nil"/>
              <w:tr2bl w:val="nil"/>
            </w:tcBorders>
            <w:shd w:val="clear" w:color="auto" w:fill="auto"/>
            <w:vAlign w:val="center"/>
          </w:tcPr>
          <w:p w14:paraId="65DF0E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center"/>
              <w:rPr>
                <w:rFonts w:hint="default" w:ascii="Times New Roman" w:hAnsi="Times New Roman" w:eastAsia="宋体" w:cs="Times New Roman"/>
                <w:i w:val="0"/>
                <w:iCs w:val="0"/>
                <w:color w:val="auto"/>
                <w:sz w:val="21"/>
                <w:szCs w:val="21"/>
                <w:u w:val="none"/>
                <w:lang w:val="en-US" w:eastAsia="zh-CN"/>
              </w:rPr>
            </w:pPr>
            <w:r>
              <w:rPr>
                <w:rFonts w:hint="default" w:ascii="Times New Roman" w:hAnsi="Times New Roman" w:cs="Times New Roman"/>
                <w:i w:val="0"/>
                <w:iCs w:val="0"/>
                <w:color w:val="auto"/>
                <w:sz w:val="21"/>
                <w:szCs w:val="21"/>
                <w:u w:val="none"/>
                <w:lang w:val="en-US" w:eastAsia="zh-CN"/>
              </w:rPr>
              <w:t>周转材料</w:t>
            </w:r>
          </w:p>
        </w:tc>
        <w:tc>
          <w:tcPr>
            <w:tcW w:w="1703" w:type="dxa"/>
            <w:tcBorders>
              <w:tl2br w:val="nil"/>
              <w:tr2bl w:val="nil"/>
            </w:tcBorders>
            <w:shd w:val="clear" w:color="auto" w:fill="auto"/>
            <w:noWrap/>
            <w:vAlign w:val="top"/>
          </w:tcPr>
          <w:p w14:paraId="35686CF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768" w:type="dxa"/>
            <w:tcBorders>
              <w:tl2br w:val="nil"/>
              <w:tr2bl w:val="nil"/>
            </w:tcBorders>
            <w:shd w:val="clear" w:color="auto" w:fill="auto"/>
            <w:noWrap/>
            <w:vAlign w:val="top"/>
          </w:tcPr>
          <w:p w14:paraId="7C9CB36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0.88 </w:t>
            </w:r>
          </w:p>
        </w:tc>
        <w:tc>
          <w:tcPr>
            <w:tcW w:w="1965" w:type="dxa"/>
            <w:tcBorders>
              <w:tl2br w:val="nil"/>
              <w:tr2bl w:val="nil"/>
            </w:tcBorders>
            <w:shd w:val="clear" w:color="auto" w:fill="auto"/>
            <w:noWrap/>
            <w:vAlign w:val="top"/>
          </w:tcPr>
          <w:p w14:paraId="4F99726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1.58 </w:t>
            </w:r>
          </w:p>
        </w:tc>
      </w:tr>
      <w:tr w14:paraId="509A673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90" w:hRule="atLeast"/>
        </w:trPr>
        <w:tc>
          <w:tcPr>
            <w:tcW w:w="1807" w:type="pct"/>
            <w:tcBorders>
              <w:tl2br w:val="nil"/>
              <w:tr2bl w:val="nil"/>
            </w:tcBorders>
            <w:shd w:val="clear" w:color="auto" w:fill="auto"/>
            <w:vAlign w:val="center"/>
          </w:tcPr>
          <w:p w14:paraId="22DCE50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14:ligatures w14:val="none"/>
              </w:rPr>
              <w:t>在产品</w:t>
            </w:r>
          </w:p>
        </w:tc>
        <w:tc>
          <w:tcPr>
            <w:tcW w:w="1703" w:type="dxa"/>
            <w:tcBorders>
              <w:tl2br w:val="nil"/>
              <w:tr2bl w:val="nil"/>
            </w:tcBorders>
            <w:shd w:val="clear" w:color="auto" w:fill="auto"/>
            <w:noWrap/>
            <w:vAlign w:val="top"/>
          </w:tcPr>
          <w:p w14:paraId="0D04123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74.32 </w:t>
            </w:r>
          </w:p>
        </w:tc>
        <w:tc>
          <w:tcPr>
            <w:tcW w:w="1768" w:type="dxa"/>
            <w:tcBorders>
              <w:tl2br w:val="nil"/>
              <w:tr2bl w:val="nil"/>
            </w:tcBorders>
            <w:shd w:val="clear" w:color="auto" w:fill="auto"/>
            <w:noWrap/>
            <w:vAlign w:val="top"/>
          </w:tcPr>
          <w:p w14:paraId="0B4D609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89.01 </w:t>
            </w:r>
          </w:p>
        </w:tc>
        <w:tc>
          <w:tcPr>
            <w:tcW w:w="1965" w:type="dxa"/>
            <w:tcBorders>
              <w:tl2br w:val="nil"/>
              <w:tr2bl w:val="nil"/>
            </w:tcBorders>
            <w:shd w:val="clear" w:color="auto" w:fill="auto"/>
            <w:noWrap/>
            <w:vAlign w:val="top"/>
          </w:tcPr>
          <w:p w14:paraId="301A262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211.69 </w:t>
            </w:r>
          </w:p>
        </w:tc>
      </w:tr>
      <w:tr w14:paraId="0D99A4A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807" w:type="pct"/>
            <w:tcBorders>
              <w:tl2br w:val="nil"/>
              <w:tr2bl w:val="nil"/>
            </w:tcBorders>
            <w:shd w:val="clear" w:color="auto" w:fill="auto"/>
            <w:vAlign w:val="center"/>
          </w:tcPr>
          <w:p w14:paraId="276DDEE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center"/>
              <w:rPr>
                <w:rFonts w:hint="default" w:ascii="Times New Roman" w:hAnsi="Times New Roman" w:eastAsia="宋体" w:cs="Times New Roman"/>
                <w:i w:val="0"/>
                <w:iCs w:val="0"/>
                <w:color w:val="auto"/>
                <w:sz w:val="21"/>
                <w:szCs w:val="21"/>
                <w:u w:val="none"/>
              </w:rPr>
            </w:pPr>
            <w:r>
              <w:rPr>
                <w:rFonts w:hint="default" w:ascii="Times New Roman" w:hAnsi="Times New Roman" w:eastAsia="宋体" w:cs="Times New Roman"/>
                <w:i w:val="0"/>
                <w:iCs w:val="0"/>
                <w:color w:val="auto"/>
                <w:kern w:val="0"/>
                <w:sz w:val="21"/>
                <w:szCs w:val="21"/>
                <w:u w:val="none"/>
                <w:lang w:val="en-US" w:eastAsia="zh-CN" w:bidi="ar"/>
                <w14:ligatures w14:val="none"/>
              </w:rPr>
              <w:t>库存商品</w:t>
            </w:r>
          </w:p>
        </w:tc>
        <w:tc>
          <w:tcPr>
            <w:tcW w:w="1703" w:type="dxa"/>
            <w:tcBorders>
              <w:tl2br w:val="nil"/>
              <w:tr2bl w:val="nil"/>
            </w:tcBorders>
            <w:shd w:val="clear" w:color="auto" w:fill="auto"/>
            <w:noWrap/>
            <w:vAlign w:val="top"/>
          </w:tcPr>
          <w:p w14:paraId="7FC3543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768" w:type="dxa"/>
            <w:tcBorders>
              <w:tl2br w:val="nil"/>
              <w:tr2bl w:val="nil"/>
            </w:tcBorders>
            <w:shd w:val="clear" w:color="auto" w:fill="auto"/>
            <w:noWrap/>
            <w:vAlign w:val="top"/>
          </w:tcPr>
          <w:p w14:paraId="663B3CF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965" w:type="dxa"/>
            <w:tcBorders>
              <w:tl2br w:val="nil"/>
              <w:tr2bl w:val="nil"/>
            </w:tcBorders>
            <w:shd w:val="clear" w:color="auto" w:fill="auto"/>
            <w:noWrap/>
            <w:vAlign w:val="top"/>
          </w:tcPr>
          <w:p w14:paraId="457E290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395EF1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90" w:hRule="atLeast"/>
        </w:trPr>
        <w:tc>
          <w:tcPr>
            <w:tcW w:w="1807" w:type="pct"/>
            <w:tcBorders>
              <w:tl2br w:val="nil"/>
              <w:tr2bl w:val="nil"/>
            </w:tcBorders>
            <w:shd w:val="clear" w:color="auto" w:fill="auto"/>
            <w:vAlign w:val="top"/>
          </w:tcPr>
          <w:p w14:paraId="2B507D5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i w:val="0"/>
                <w:iCs w:val="0"/>
                <w:color w:val="auto"/>
                <w:kern w:val="0"/>
                <w:sz w:val="21"/>
                <w:szCs w:val="21"/>
                <w:u w:val="none"/>
                <w:lang w:val="en-US" w:eastAsia="zh-CN" w:bidi="ar"/>
                <w14:ligatures w14:val="none"/>
              </w:rPr>
              <w:t>合计</w:t>
            </w:r>
          </w:p>
        </w:tc>
        <w:tc>
          <w:tcPr>
            <w:tcW w:w="1703" w:type="dxa"/>
            <w:tcBorders>
              <w:tl2br w:val="nil"/>
              <w:tr2bl w:val="nil"/>
            </w:tcBorders>
            <w:shd w:val="clear" w:color="auto" w:fill="auto"/>
            <w:noWrap/>
            <w:vAlign w:val="top"/>
          </w:tcPr>
          <w:p w14:paraId="3377875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1,658.77 </w:t>
            </w:r>
          </w:p>
        </w:tc>
        <w:tc>
          <w:tcPr>
            <w:tcW w:w="1768" w:type="dxa"/>
            <w:tcBorders>
              <w:tl2br w:val="nil"/>
              <w:tr2bl w:val="nil"/>
            </w:tcBorders>
            <w:shd w:val="clear" w:color="auto" w:fill="auto"/>
            <w:noWrap/>
            <w:vAlign w:val="top"/>
          </w:tcPr>
          <w:p w14:paraId="0F51783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3,833.75 </w:t>
            </w:r>
          </w:p>
        </w:tc>
        <w:tc>
          <w:tcPr>
            <w:tcW w:w="1965" w:type="dxa"/>
            <w:tcBorders>
              <w:tl2br w:val="nil"/>
              <w:tr2bl w:val="nil"/>
            </w:tcBorders>
            <w:shd w:val="clear" w:color="auto" w:fill="auto"/>
            <w:noWrap/>
            <w:vAlign w:val="top"/>
          </w:tcPr>
          <w:p w14:paraId="3E2EFD9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3,333.36 </w:t>
            </w:r>
          </w:p>
        </w:tc>
      </w:tr>
    </w:tbl>
    <w:p w14:paraId="65E4B6B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lang w:val="en-US" w:eastAsia="zh-CN"/>
        </w:rPr>
      </w:pPr>
      <w:r>
        <w:rPr>
          <w:rFonts w:hint="default" w:ascii="Times New Roman" w:hAnsi="Times New Roman" w:eastAsia="宋体" w:cs="Times New Roman"/>
        </w:rPr>
        <w:t>公司存货几乎全部为“放射性同位素试剂”</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包括</w:t>
      </w:r>
      <w:r>
        <w:rPr>
          <w:rFonts w:hint="default" w:ascii="Times New Roman" w:hAnsi="Times New Roman" w:eastAsia="宋体" w:cs="Times New Roman"/>
        </w:rPr>
        <w:t>碳酸钡-14C</w:t>
      </w:r>
      <w:r>
        <w:rPr>
          <w:rFonts w:hint="default" w:ascii="Times New Roman" w:hAnsi="Times New Roman" w:eastAsia="宋体" w:cs="Times New Roman"/>
          <w:lang w:eastAsia="zh-CN"/>
        </w:rPr>
        <w:t>、</w:t>
      </w:r>
      <w:r>
        <w:rPr>
          <w:rFonts w:hint="default" w:ascii="Times New Roman" w:hAnsi="Times New Roman" w:eastAsia="宋体" w:cs="Times New Roman"/>
        </w:rPr>
        <w:t>氰化钾-14C</w:t>
      </w:r>
      <w:r>
        <w:rPr>
          <w:rFonts w:hint="default" w:ascii="Times New Roman" w:hAnsi="Times New Roman" w:eastAsia="宋体" w:cs="Times New Roman"/>
          <w:lang w:val="en-US" w:eastAsia="zh-CN"/>
        </w:rPr>
        <w:t>等，</w:t>
      </w:r>
      <w:r>
        <w:rPr>
          <w:rFonts w:hint="default" w:ascii="Times New Roman" w:hAnsi="Times New Roman" w:cs="Times New Roman"/>
          <w:lang w:val="en-US" w:eastAsia="zh-CN"/>
        </w:rPr>
        <w:t>这批存货主要于2022、2023年从俄罗斯进口而来，主要原因是全球14C原材料的供应主要来自于俄罗斯，2022年俄乌战争爆发，西方主要国家对俄罗斯施加制裁，导致俄罗斯对西方国家禁售14C原材料。公司担心原材料的稳定供应，故集中采购了超40居里原材料，作为战略储备。公司这批放射性同位素试剂库龄已超过1.5年，未对存货计提减值。管理层表示原材料存货性质稳定，减值风险较低。</w:t>
      </w:r>
    </w:p>
    <w:p w14:paraId="41CB16E8">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lang w:val="en-US" w:eastAsia="zh-CN"/>
        </w:rPr>
      </w:pPr>
    </w:p>
    <w:p w14:paraId="51963284">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19" w:name="_Toc16365"/>
      <w:r>
        <w:rPr>
          <w:rFonts w:hint="default" w:ascii="Times New Roman" w:hAnsi="Times New Roman" w:eastAsia="宋体" w:cs="Times New Roman"/>
          <w:lang w:val="en-US" w:eastAsia="zh-CN"/>
        </w:rPr>
        <w:t>固定资产</w:t>
      </w:r>
      <w:bookmarkEnd w:id="19"/>
    </w:p>
    <w:tbl>
      <w:tblPr>
        <w:tblStyle w:val="35"/>
        <w:tblW w:w="4998"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autofit"/>
        <w:tblCellMar>
          <w:top w:w="0" w:type="dxa"/>
          <w:left w:w="108" w:type="dxa"/>
          <w:bottom w:w="0" w:type="dxa"/>
          <w:right w:w="108" w:type="dxa"/>
        </w:tblCellMar>
      </w:tblPr>
      <w:tblGrid>
        <w:gridCol w:w="2925"/>
        <w:gridCol w:w="1743"/>
        <w:gridCol w:w="1923"/>
        <w:gridCol w:w="1923"/>
      </w:tblGrid>
      <w:tr w14:paraId="45F2DA4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25" w:type="dxa"/>
            <w:tcBorders>
              <w:tl2br w:val="nil"/>
              <w:tr2bl w:val="nil"/>
            </w:tcBorders>
            <w:shd w:val="clear" w:color="auto" w:fill="auto"/>
            <w:noWrap/>
            <w:vAlign w:val="center"/>
          </w:tcPr>
          <w:p w14:paraId="16E54918">
            <w:pPr>
              <w:widowControl/>
              <w:adjustRightInd/>
              <w:snapToGrid/>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743" w:type="dxa"/>
            <w:tcBorders>
              <w:tl2br w:val="nil"/>
              <w:tr2bl w:val="nil"/>
            </w:tcBorders>
            <w:shd w:val="clear" w:color="auto" w:fill="auto"/>
            <w:vAlign w:val="center"/>
          </w:tcPr>
          <w:p w14:paraId="31648D9F">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923" w:type="dxa"/>
            <w:tcBorders>
              <w:tl2br w:val="nil"/>
              <w:tr2bl w:val="nil"/>
            </w:tcBorders>
            <w:shd w:val="clear" w:color="auto" w:fill="auto"/>
            <w:vAlign w:val="center"/>
          </w:tcPr>
          <w:p w14:paraId="6CE5B8BB">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923" w:type="dxa"/>
            <w:tcBorders>
              <w:tl2br w:val="nil"/>
              <w:tr2bl w:val="nil"/>
            </w:tcBorders>
            <w:shd w:val="clear" w:color="auto" w:fill="auto"/>
            <w:vAlign w:val="center"/>
          </w:tcPr>
          <w:p w14:paraId="200E7A5F">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3D8485F1">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25" w:type="dxa"/>
            <w:tcBorders>
              <w:tl2br w:val="nil"/>
              <w:tr2bl w:val="nil"/>
            </w:tcBorders>
            <w:shd w:val="clear" w:color="auto" w:fill="auto"/>
            <w:noWrap/>
            <w:vAlign w:val="center"/>
          </w:tcPr>
          <w:p w14:paraId="7D3F4B9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房屋建筑物</w:t>
            </w:r>
          </w:p>
        </w:tc>
        <w:tc>
          <w:tcPr>
            <w:tcW w:w="1743" w:type="dxa"/>
            <w:tcBorders>
              <w:tl2br w:val="nil"/>
              <w:tr2bl w:val="nil"/>
            </w:tcBorders>
            <w:shd w:val="clear" w:color="auto" w:fill="auto"/>
            <w:noWrap/>
            <w:vAlign w:val="center"/>
          </w:tcPr>
          <w:p w14:paraId="2C8D322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2,141.79 </w:t>
            </w:r>
          </w:p>
        </w:tc>
        <w:tc>
          <w:tcPr>
            <w:tcW w:w="1923" w:type="dxa"/>
            <w:tcBorders>
              <w:tl2br w:val="nil"/>
              <w:tr2bl w:val="nil"/>
            </w:tcBorders>
            <w:shd w:val="clear" w:color="auto" w:fill="auto"/>
            <w:noWrap/>
            <w:vAlign w:val="center"/>
          </w:tcPr>
          <w:p w14:paraId="5B3AE98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2,035.00 </w:t>
            </w:r>
          </w:p>
        </w:tc>
        <w:tc>
          <w:tcPr>
            <w:tcW w:w="1923" w:type="dxa"/>
            <w:tcBorders>
              <w:tl2br w:val="nil"/>
              <w:tr2bl w:val="nil"/>
            </w:tcBorders>
            <w:shd w:val="clear" w:color="auto" w:fill="auto"/>
            <w:noWrap/>
            <w:vAlign w:val="center"/>
          </w:tcPr>
          <w:p w14:paraId="657777C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1,928.21 </w:t>
            </w:r>
          </w:p>
        </w:tc>
      </w:tr>
      <w:tr w14:paraId="509FABC9">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25" w:type="dxa"/>
            <w:tcBorders>
              <w:tl2br w:val="nil"/>
              <w:tr2bl w:val="nil"/>
            </w:tcBorders>
            <w:shd w:val="clear" w:color="auto" w:fill="auto"/>
            <w:noWrap/>
            <w:vAlign w:val="center"/>
          </w:tcPr>
          <w:p w14:paraId="0353954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办公及电子设备</w:t>
            </w:r>
          </w:p>
        </w:tc>
        <w:tc>
          <w:tcPr>
            <w:tcW w:w="1743" w:type="dxa"/>
            <w:tcBorders>
              <w:tl2br w:val="nil"/>
              <w:tr2bl w:val="nil"/>
            </w:tcBorders>
            <w:shd w:val="clear" w:color="auto" w:fill="auto"/>
            <w:noWrap/>
            <w:vAlign w:val="center"/>
          </w:tcPr>
          <w:p w14:paraId="4DE3B3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40.74 </w:t>
            </w:r>
          </w:p>
        </w:tc>
        <w:tc>
          <w:tcPr>
            <w:tcW w:w="1923" w:type="dxa"/>
            <w:tcBorders>
              <w:tl2br w:val="nil"/>
              <w:tr2bl w:val="nil"/>
            </w:tcBorders>
            <w:shd w:val="clear" w:color="auto" w:fill="auto"/>
            <w:noWrap/>
            <w:vAlign w:val="center"/>
          </w:tcPr>
          <w:p w14:paraId="39F1843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60.14 </w:t>
            </w:r>
          </w:p>
        </w:tc>
        <w:tc>
          <w:tcPr>
            <w:tcW w:w="1923" w:type="dxa"/>
            <w:tcBorders>
              <w:tl2br w:val="nil"/>
              <w:tr2bl w:val="nil"/>
            </w:tcBorders>
            <w:shd w:val="clear" w:color="auto" w:fill="auto"/>
            <w:noWrap/>
            <w:vAlign w:val="center"/>
          </w:tcPr>
          <w:p w14:paraId="50B354A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58.85 </w:t>
            </w:r>
          </w:p>
        </w:tc>
      </w:tr>
      <w:tr w14:paraId="6C2142D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25" w:type="dxa"/>
            <w:tcBorders>
              <w:tl2br w:val="nil"/>
              <w:tr2bl w:val="nil"/>
            </w:tcBorders>
            <w:shd w:val="clear" w:color="auto" w:fill="auto"/>
            <w:noWrap/>
            <w:vAlign w:val="center"/>
          </w:tcPr>
          <w:p w14:paraId="4DF5863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运输设备</w:t>
            </w:r>
          </w:p>
        </w:tc>
        <w:tc>
          <w:tcPr>
            <w:tcW w:w="1743" w:type="dxa"/>
            <w:tcBorders>
              <w:tl2br w:val="nil"/>
              <w:tr2bl w:val="nil"/>
            </w:tcBorders>
            <w:shd w:val="clear" w:color="auto" w:fill="auto"/>
            <w:noWrap/>
            <w:vAlign w:val="center"/>
          </w:tcPr>
          <w:p w14:paraId="5DD0698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30.47 </w:t>
            </w:r>
          </w:p>
        </w:tc>
        <w:tc>
          <w:tcPr>
            <w:tcW w:w="1923" w:type="dxa"/>
            <w:tcBorders>
              <w:tl2br w:val="nil"/>
              <w:tr2bl w:val="nil"/>
            </w:tcBorders>
            <w:shd w:val="clear" w:color="auto" w:fill="auto"/>
            <w:noWrap/>
            <w:vAlign w:val="center"/>
          </w:tcPr>
          <w:p w14:paraId="5FC2A09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27.78 </w:t>
            </w:r>
          </w:p>
        </w:tc>
        <w:tc>
          <w:tcPr>
            <w:tcW w:w="1923" w:type="dxa"/>
            <w:tcBorders>
              <w:tl2br w:val="nil"/>
              <w:tr2bl w:val="nil"/>
            </w:tcBorders>
            <w:shd w:val="clear" w:color="auto" w:fill="auto"/>
            <w:noWrap/>
            <w:vAlign w:val="center"/>
          </w:tcPr>
          <w:p w14:paraId="70CB759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25.08 </w:t>
            </w:r>
          </w:p>
        </w:tc>
      </w:tr>
      <w:tr w14:paraId="6BB0A6F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2925" w:type="dxa"/>
            <w:tcBorders>
              <w:tl2br w:val="nil"/>
              <w:tr2bl w:val="nil"/>
            </w:tcBorders>
            <w:shd w:val="clear" w:color="auto" w:fill="auto"/>
            <w:noWrap/>
            <w:vAlign w:val="center"/>
          </w:tcPr>
          <w:p w14:paraId="5268892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机器设备</w:t>
            </w:r>
          </w:p>
        </w:tc>
        <w:tc>
          <w:tcPr>
            <w:tcW w:w="1743" w:type="dxa"/>
            <w:tcBorders>
              <w:tl2br w:val="nil"/>
              <w:tr2bl w:val="nil"/>
            </w:tcBorders>
            <w:shd w:val="clear" w:color="auto" w:fill="auto"/>
            <w:noWrap/>
            <w:vAlign w:val="center"/>
          </w:tcPr>
          <w:p w14:paraId="095A34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805.91 </w:t>
            </w:r>
          </w:p>
        </w:tc>
        <w:tc>
          <w:tcPr>
            <w:tcW w:w="1923" w:type="dxa"/>
            <w:tcBorders>
              <w:tl2br w:val="nil"/>
              <w:tr2bl w:val="nil"/>
            </w:tcBorders>
            <w:shd w:val="clear" w:color="auto" w:fill="auto"/>
            <w:noWrap/>
            <w:vAlign w:val="center"/>
          </w:tcPr>
          <w:p w14:paraId="0919B50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934.73 </w:t>
            </w:r>
          </w:p>
        </w:tc>
        <w:tc>
          <w:tcPr>
            <w:tcW w:w="1923" w:type="dxa"/>
            <w:tcBorders>
              <w:tl2br w:val="nil"/>
              <w:tr2bl w:val="nil"/>
            </w:tcBorders>
            <w:shd w:val="clear" w:color="auto" w:fill="auto"/>
            <w:noWrap/>
            <w:vAlign w:val="center"/>
          </w:tcPr>
          <w:p w14:paraId="5D89EE5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972.83 </w:t>
            </w:r>
          </w:p>
        </w:tc>
      </w:tr>
      <w:tr w14:paraId="737A4A5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center"/>
          </w:tcPr>
          <w:p w14:paraId="7DEA0A4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合计 </w:t>
            </w:r>
          </w:p>
        </w:tc>
        <w:tc>
          <w:tcPr>
            <w:tcW w:w="1743" w:type="dxa"/>
            <w:tcBorders>
              <w:tl2br w:val="nil"/>
              <w:tr2bl w:val="nil"/>
            </w:tcBorders>
            <w:shd w:val="clear" w:color="auto" w:fill="auto"/>
            <w:noWrap/>
            <w:vAlign w:val="center"/>
          </w:tcPr>
          <w:p w14:paraId="66BE082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3,018.92 </w:t>
            </w:r>
          </w:p>
        </w:tc>
        <w:tc>
          <w:tcPr>
            <w:tcW w:w="1923" w:type="dxa"/>
            <w:tcBorders>
              <w:tl2br w:val="nil"/>
              <w:tr2bl w:val="nil"/>
            </w:tcBorders>
            <w:shd w:val="clear" w:color="auto" w:fill="auto"/>
            <w:noWrap/>
            <w:vAlign w:val="center"/>
          </w:tcPr>
          <w:p w14:paraId="3B7503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3,057.65 </w:t>
            </w:r>
          </w:p>
        </w:tc>
        <w:tc>
          <w:tcPr>
            <w:tcW w:w="1923" w:type="dxa"/>
            <w:tcBorders>
              <w:tl2br w:val="nil"/>
              <w:tr2bl w:val="nil"/>
            </w:tcBorders>
            <w:shd w:val="clear" w:color="auto" w:fill="auto"/>
            <w:noWrap/>
            <w:vAlign w:val="center"/>
          </w:tcPr>
          <w:p w14:paraId="16A845B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2,984.98 </w:t>
            </w:r>
          </w:p>
        </w:tc>
      </w:tr>
    </w:tbl>
    <w:p w14:paraId="39951E37">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宋体" w:cs="Times New Roman"/>
        </w:rPr>
      </w:pPr>
      <w:r>
        <w:rPr>
          <w:rFonts w:hint="default" w:ascii="Times New Roman" w:hAnsi="Times New Roman" w:cs="Times New Roman"/>
          <w:lang w:val="en-US" w:eastAsia="zh-CN"/>
        </w:rPr>
        <w:t>公司</w:t>
      </w:r>
      <w:r>
        <w:rPr>
          <w:rFonts w:hint="default" w:ascii="Times New Roman" w:hAnsi="Times New Roman" w:eastAsia="宋体" w:cs="Times New Roman"/>
        </w:rPr>
        <w:t>固定资产涵盖房屋建筑物、机器设备、电子及办公设备、运输设备等多个类别，这些资产构成了公司开展生产经营活动的重要物质基础。固定资产中房屋建筑物占比最大，机器设备呈逐年增长趋势。</w:t>
      </w:r>
    </w:p>
    <w:p w14:paraId="56AF782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宋体" w:cs="Times New Roman"/>
        </w:rPr>
      </w:pPr>
    </w:p>
    <w:p w14:paraId="555BDFAC">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20" w:name="_Toc20367"/>
      <w:r>
        <w:rPr>
          <w:rFonts w:hint="default" w:ascii="Times New Roman" w:hAnsi="Times New Roman" w:eastAsia="宋体" w:cs="Times New Roman"/>
          <w:lang w:val="en-US" w:eastAsia="zh-CN"/>
        </w:rPr>
        <w:t>合同负债</w:t>
      </w:r>
      <w:bookmarkEnd w:id="20"/>
    </w:p>
    <w:tbl>
      <w:tblPr>
        <w:tblStyle w:val="35"/>
        <w:tblW w:w="4998" w:type="pct"/>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Layout w:type="autofit"/>
        <w:tblCellMar>
          <w:top w:w="0" w:type="dxa"/>
          <w:left w:w="108" w:type="dxa"/>
          <w:bottom w:w="0" w:type="dxa"/>
          <w:right w:w="108" w:type="dxa"/>
        </w:tblCellMar>
      </w:tblPr>
      <w:tblGrid>
        <w:gridCol w:w="4626"/>
        <w:gridCol w:w="1279"/>
        <w:gridCol w:w="1279"/>
        <w:gridCol w:w="1330"/>
      </w:tblGrid>
      <w:tr w14:paraId="0A11C555">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blHeader/>
        </w:trPr>
        <w:tc>
          <w:tcPr>
            <w:tcW w:w="1717" w:type="pct"/>
            <w:tcBorders>
              <w:tl2br w:val="nil"/>
              <w:tr2bl w:val="nil"/>
            </w:tcBorders>
            <w:shd w:val="clear" w:color="auto" w:fill="auto"/>
            <w:noWrap/>
            <w:vAlign w:val="center"/>
          </w:tcPr>
          <w:p w14:paraId="2F0DE55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084" w:type="pct"/>
            <w:tcBorders>
              <w:tl2br w:val="nil"/>
              <w:tr2bl w:val="nil"/>
            </w:tcBorders>
            <w:shd w:val="clear" w:color="auto" w:fill="auto"/>
            <w:vAlign w:val="center"/>
          </w:tcPr>
          <w:p w14:paraId="778C2CB6">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084" w:type="pct"/>
            <w:tcBorders>
              <w:tl2br w:val="nil"/>
              <w:tr2bl w:val="nil"/>
            </w:tcBorders>
            <w:shd w:val="clear" w:color="auto" w:fill="auto"/>
            <w:vAlign w:val="center"/>
          </w:tcPr>
          <w:p w14:paraId="43327B4B">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1114" w:type="pct"/>
            <w:tcBorders>
              <w:tl2br w:val="nil"/>
              <w:tr2bl w:val="nil"/>
            </w:tcBorders>
            <w:shd w:val="clear" w:color="auto" w:fill="auto"/>
            <w:noWrap/>
            <w:vAlign w:val="center"/>
          </w:tcPr>
          <w:p w14:paraId="7942A832">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443A6FD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597C667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上海亲合力生物医药科技股份有限公司</w:t>
            </w:r>
          </w:p>
        </w:tc>
        <w:tc>
          <w:tcPr>
            <w:tcW w:w="1084" w:type="pct"/>
            <w:tcBorders>
              <w:tl2br w:val="nil"/>
              <w:tr2bl w:val="nil"/>
            </w:tcBorders>
            <w:shd w:val="clear" w:color="auto" w:fill="auto"/>
            <w:noWrap/>
            <w:vAlign w:val="top"/>
          </w:tcPr>
          <w:p w14:paraId="17AD480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0C34440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5249B1F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20.38 </w:t>
            </w:r>
          </w:p>
        </w:tc>
      </w:tr>
      <w:tr w14:paraId="6F1A036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7CB1116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中美华世通生物医药科技（武汉）股份有限公司</w:t>
            </w:r>
          </w:p>
        </w:tc>
        <w:tc>
          <w:tcPr>
            <w:tcW w:w="1084" w:type="pct"/>
            <w:tcBorders>
              <w:tl2br w:val="nil"/>
              <w:tr2bl w:val="nil"/>
            </w:tcBorders>
            <w:shd w:val="clear" w:color="auto" w:fill="auto"/>
            <w:noWrap/>
            <w:vAlign w:val="top"/>
          </w:tcPr>
          <w:p w14:paraId="0D0B85D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4052DCD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4474CA0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9.06 </w:t>
            </w:r>
          </w:p>
        </w:tc>
      </w:tr>
      <w:tr w14:paraId="2E3892B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7931C9A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福州福瑞医学检验实验室有限公司</w:t>
            </w:r>
          </w:p>
        </w:tc>
        <w:tc>
          <w:tcPr>
            <w:tcW w:w="1084" w:type="pct"/>
            <w:tcBorders>
              <w:tl2br w:val="nil"/>
              <w:tr2bl w:val="nil"/>
            </w:tcBorders>
            <w:shd w:val="clear" w:color="auto" w:fill="auto"/>
            <w:noWrap/>
            <w:vAlign w:val="top"/>
          </w:tcPr>
          <w:p w14:paraId="1DF0DF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72289B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230AA27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8.05 </w:t>
            </w:r>
          </w:p>
        </w:tc>
      </w:tr>
      <w:tr w14:paraId="6F99ADD2">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70C3300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杭州浩博医药有限公司</w:t>
            </w:r>
          </w:p>
        </w:tc>
        <w:tc>
          <w:tcPr>
            <w:tcW w:w="1084" w:type="pct"/>
            <w:tcBorders>
              <w:tl2br w:val="nil"/>
              <w:tr2bl w:val="nil"/>
            </w:tcBorders>
            <w:shd w:val="clear" w:color="auto" w:fill="auto"/>
            <w:noWrap/>
            <w:vAlign w:val="top"/>
          </w:tcPr>
          <w:p w14:paraId="6E2882B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50AA305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197F523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4.95 </w:t>
            </w:r>
          </w:p>
        </w:tc>
      </w:tr>
      <w:tr w14:paraId="2423EA3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26145E4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江苏万略医药科技有限公司</w:t>
            </w:r>
          </w:p>
        </w:tc>
        <w:tc>
          <w:tcPr>
            <w:tcW w:w="1084" w:type="pct"/>
            <w:tcBorders>
              <w:tl2br w:val="nil"/>
              <w:tr2bl w:val="nil"/>
            </w:tcBorders>
            <w:shd w:val="clear" w:color="auto" w:fill="auto"/>
            <w:noWrap/>
            <w:vAlign w:val="top"/>
          </w:tcPr>
          <w:p w14:paraId="23B4F8E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1556176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26.99 </w:t>
            </w:r>
          </w:p>
        </w:tc>
        <w:tc>
          <w:tcPr>
            <w:tcW w:w="1114" w:type="pct"/>
            <w:tcBorders>
              <w:tl2br w:val="nil"/>
              <w:tr2bl w:val="nil"/>
            </w:tcBorders>
            <w:shd w:val="clear" w:color="auto" w:fill="auto"/>
            <w:noWrap/>
            <w:vAlign w:val="top"/>
          </w:tcPr>
          <w:p w14:paraId="4D4EE19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7C9D3398">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2A9533B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重庆复创医药研究有限公司</w:t>
            </w:r>
          </w:p>
        </w:tc>
        <w:tc>
          <w:tcPr>
            <w:tcW w:w="1084" w:type="pct"/>
            <w:tcBorders>
              <w:tl2br w:val="nil"/>
              <w:tr2bl w:val="nil"/>
            </w:tcBorders>
            <w:shd w:val="clear" w:color="auto" w:fill="auto"/>
            <w:noWrap/>
            <w:vAlign w:val="top"/>
          </w:tcPr>
          <w:p w14:paraId="5F0F252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7D56DB3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9.24 </w:t>
            </w:r>
          </w:p>
        </w:tc>
        <w:tc>
          <w:tcPr>
            <w:tcW w:w="1114" w:type="pct"/>
            <w:tcBorders>
              <w:tl2br w:val="nil"/>
              <w:tr2bl w:val="nil"/>
            </w:tcBorders>
            <w:shd w:val="clear" w:color="auto" w:fill="auto"/>
            <w:noWrap/>
            <w:vAlign w:val="top"/>
          </w:tcPr>
          <w:p w14:paraId="0A5648D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06414F26">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6F20991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杭州奥默医药股份有限公司</w:t>
            </w:r>
          </w:p>
        </w:tc>
        <w:tc>
          <w:tcPr>
            <w:tcW w:w="1084" w:type="pct"/>
            <w:tcBorders>
              <w:tl2br w:val="nil"/>
              <w:tr2bl w:val="nil"/>
            </w:tcBorders>
            <w:shd w:val="clear" w:color="auto" w:fill="auto"/>
            <w:noWrap/>
            <w:vAlign w:val="top"/>
          </w:tcPr>
          <w:p w14:paraId="09B415D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52CC512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7.90 </w:t>
            </w:r>
          </w:p>
        </w:tc>
        <w:tc>
          <w:tcPr>
            <w:tcW w:w="1114" w:type="pct"/>
            <w:tcBorders>
              <w:tl2br w:val="nil"/>
              <w:tr2bl w:val="nil"/>
            </w:tcBorders>
            <w:shd w:val="clear" w:color="auto" w:fill="auto"/>
            <w:noWrap/>
            <w:vAlign w:val="top"/>
          </w:tcPr>
          <w:p w14:paraId="4825D5B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5186CDBD">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593112B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上海翰森生物医药科技有限公司</w:t>
            </w:r>
          </w:p>
        </w:tc>
        <w:tc>
          <w:tcPr>
            <w:tcW w:w="1084" w:type="pct"/>
            <w:tcBorders>
              <w:tl2br w:val="nil"/>
              <w:tr2bl w:val="nil"/>
            </w:tcBorders>
            <w:shd w:val="clear" w:color="auto" w:fill="auto"/>
            <w:noWrap/>
            <w:vAlign w:val="top"/>
          </w:tcPr>
          <w:p w14:paraId="040B779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2539897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5.41 </w:t>
            </w:r>
          </w:p>
        </w:tc>
        <w:tc>
          <w:tcPr>
            <w:tcW w:w="1114" w:type="pct"/>
            <w:tcBorders>
              <w:tl2br w:val="nil"/>
              <w:tr2bl w:val="nil"/>
            </w:tcBorders>
            <w:shd w:val="clear" w:color="auto" w:fill="auto"/>
            <w:noWrap/>
            <w:vAlign w:val="top"/>
          </w:tcPr>
          <w:p w14:paraId="30092D3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64D024F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noWrap/>
            <w:vAlign w:val="top"/>
          </w:tcPr>
          <w:p w14:paraId="013ECDE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四川科伦博泰生物医药股份有限公司</w:t>
            </w:r>
          </w:p>
        </w:tc>
        <w:tc>
          <w:tcPr>
            <w:tcW w:w="1084" w:type="pct"/>
            <w:tcBorders>
              <w:tl2br w:val="nil"/>
              <w:tr2bl w:val="nil"/>
            </w:tcBorders>
            <w:shd w:val="clear" w:color="auto" w:fill="auto"/>
            <w:noWrap/>
            <w:vAlign w:val="top"/>
          </w:tcPr>
          <w:p w14:paraId="58A57FC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084" w:type="pct"/>
            <w:tcBorders>
              <w:tl2br w:val="nil"/>
              <w:tr2bl w:val="nil"/>
            </w:tcBorders>
            <w:shd w:val="clear" w:color="auto" w:fill="auto"/>
            <w:noWrap/>
            <w:vAlign w:val="top"/>
          </w:tcPr>
          <w:p w14:paraId="7741F96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3.77 </w:t>
            </w:r>
          </w:p>
        </w:tc>
        <w:tc>
          <w:tcPr>
            <w:tcW w:w="1114" w:type="pct"/>
            <w:tcBorders>
              <w:tl2br w:val="nil"/>
              <w:tr2bl w:val="nil"/>
            </w:tcBorders>
            <w:shd w:val="clear" w:color="auto" w:fill="auto"/>
            <w:noWrap/>
            <w:vAlign w:val="top"/>
          </w:tcPr>
          <w:p w14:paraId="6917E9C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025D7EA7">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48F6657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安领生物医药(苏州)有限公司</w:t>
            </w:r>
          </w:p>
        </w:tc>
        <w:tc>
          <w:tcPr>
            <w:tcW w:w="1084" w:type="pct"/>
            <w:tcBorders>
              <w:tl2br w:val="nil"/>
              <w:tr2bl w:val="nil"/>
            </w:tcBorders>
            <w:shd w:val="clear" w:color="auto" w:fill="auto"/>
            <w:noWrap/>
            <w:vAlign w:val="top"/>
          </w:tcPr>
          <w:p w14:paraId="270744C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13.21 </w:t>
            </w:r>
          </w:p>
        </w:tc>
        <w:tc>
          <w:tcPr>
            <w:tcW w:w="1084" w:type="pct"/>
            <w:tcBorders>
              <w:tl2br w:val="nil"/>
              <w:tr2bl w:val="nil"/>
            </w:tcBorders>
            <w:shd w:val="clear" w:color="auto" w:fill="auto"/>
            <w:noWrap/>
            <w:vAlign w:val="top"/>
          </w:tcPr>
          <w:p w14:paraId="19534D3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21EF854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471B116B">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588D7F3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江苏联环药业股份有限公司</w:t>
            </w:r>
          </w:p>
        </w:tc>
        <w:tc>
          <w:tcPr>
            <w:tcW w:w="1084" w:type="pct"/>
            <w:tcBorders>
              <w:tl2br w:val="nil"/>
              <w:tr2bl w:val="nil"/>
            </w:tcBorders>
            <w:shd w:val="clear" w:color="auto" w:fill="auto"/>
            <w:noWrap/>
            <w:vAlign w:val="top"/>
          </w:tcPr>
          <w:p w14:paraId="4E4118A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12.11 </w:t>
            </w:r>
          </w:p>
        </w:tc>
        <w:tc>
          <w:tcPr>
            <w:tcW w:w="1084" w:type="pct"/>
            <w:tcBorders>
              <w:tl2br w:val="nil"/>
              <w:tr2bl w:val="nil"/>
            </w:tcBorders>
            <w:shd w:val="clear" w:color="auto" w:fill="auto"/>
            <w:noWrap/>
            <w:vAlign w:val="top"/>
          </w:tcPr>
          <w:p w14:paraId="5C0B225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21AF90A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59DF2970">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26935A7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江苏苏中药业集团股份有限公司</w:t>
            </w:r>
          </w:p>
        </w:tc>
        <w:tc>
          <w:tcPr>
            <w:tcW w:w="1084" w:type="pct"/>
            <w:tcBorders>
              <w:tl2br w:val="nil"/>
              <w:tr2bl w:val="nil"/>
            </w:tcBorders>
            <w:shd w:val="clear" w:color="auto" w:fill="auto"/>
            <w:noWrap/>
            <w:vAlign w:val="top"/>
          </w:tcPr>
          <w:p w14:paraId="726F283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11.99 </w:t>
            </w:r>
          </w:p>
        </w:tc>
        <w:tc>
          <w:tcPr>
            <w:tcW w:w="1084" w:type="pct"/>
            <w:tcBorders>
              <w:tl2br w:val="nil"/>
              <w:tr2bl w:val="nil"/>
            </w:tcBorders>
            <w:shd w:val="clear" w:color="auto" w:fill="auto"/>
            <w:noWrap/>
            <w:vAlign w:val="top"/>
          </w:tcPr>
          <w:p w14:paraId="786A834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0F7813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2933A63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744BC96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广州麓鹏制药有限公司</w:t>
            </w:r>
          </w:p>
        </w:tc>
        <w:tc>
          <w:tcPr>
            <w:tcW w:w="1084" w:type="pct"/>
            <w:tcBorders>
              <w:tl2br w:val="nil"/>
              <w:tr2bl w:val="nil"/>
            </w:tcBorders>
            <w:shd w:val="clear" w:color="auto" w:fill="auto"/>
            <w:noWrap/>
            <w:vAlign w:val="top"/>
          </w:tcPr>
          <w:p w14:paraId="2C3915F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11.67 </w:t>
            </w:r>
          </w:p>
        </w:tc>
        <w:tc>
          <w:tcPr>
            <w:tcW w:w="1084" w:type="pct"/>
            <w:tcBorders>
              <w:tl2br w:val="nil"/>
              <w:tr2bl w:val="nil"/>
            </w:tcBorders>
            <w:shd w:val="clear" w:color="auto" w:fill="auto"/>
            <w:noWrap/>
            <w:vAlign w:val="top"/>
          </w:tcPr>
          <w:p w14:paraId="5471ADB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4F25AD3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79865F9F">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7855D23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天津尚德药缘科技股份有限公司</w:t>
            </w:r>
          </w:p>
        </w:tc>
        <w:tc>
          <w:tcPr>
            <w:tcW w:w="1084" w:type="pct"/>
            <w:tcBorders>
              <w:tl2br w:val="nil"/>
              <w:tr2bl w:val="nil"/>
            </w:tcBorders>
            <w:shd w:val="clear" w:color="auto" w:fill="auto"/>
            <w:noWrap/>
            <w:vAlign w:val="top"/>
          </w:tcPr>
          <w:p w14:paraId="0608DBF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11.56 </w:t>
            </w:r>
          </w:p>
        </w:tc>
        <w:tc>
          <w:tcPr>
            <w:tcW w:w="1084" w:type="pct"/>
            <w:tcBorders>
              <w:tl2br w:val="nil"/>
              <w:tr2bl w:val="nil"/>
            </w:tcBorders>
            <w:shd w:val="clear" w:color="auto" w:fill="auto"/>
            <w:noWrap/>
            <w:vAlign w:val="top"/>
          </w:tcPr>
          <w:p w14:paraId="5D82851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c>
          <w:tcPr>
            <w:tcW w:w="1114" w:type="pct"/>
            <w:tcBorders>
              <w:tl2br w:val="nil"/>
              <w:tr2bl w:val="nil"/>
            </w:tcBorders>
            <w:shd w:val="clear" w:color="auto" w:fill="auto"/>
            <w:noWrap/>
            <w:vAlign w:val="top"/>
          </w:tcPr>
          <w:p w14:paraId="4667E9A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p>
        </w:tc>
      </w:tr>
      <w:tr w14:paraId="183608D4">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4B98056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其他</w:t>
            </w:r>
          </w:p>
        </w:tc>
        <w:tc>
          <w:tcPr>
            <w:tcW w:w="1084" w:type="pct"/>
            <w:tcBorders>
              <w:tl2br w:val="nil"/>
              <w:tr2bl w:val="nil"/>
            </w:tcBorders>
            <w:shd w:val="clear" w:color="auto" w:fill="auto"/>
            <w:noWrap/>
            <w:vAlign w:val="top"/>
          </w:tcPr>
          <w:p w14:paraId="4B30A1D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74.41 </w:t>
            </w:r>
          </w:p>
        </w:tc>
        <w:tc>
          <w:tcPr>
            <w:tcW w:w="1084" w:type="pct"/>
            <w:tcBorders>
              <w:tl2br w:val="nil"/>
              <w:tr2bl w:val="nil"/>
            </w:tcBorders>
            <w:shd w:val="clear" w:color="auto" w:fill="auto"/>
            <w:noWrap/>
            <w:vAlign w:val="top"/>
          </w:tcPr>
          <w:p w14:paraId="4990195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3.77 </w:t>
            </w:r>
          </w:p>
        </w:tc>
        <w:tc>
          <w:tcPr>
            <w:tcW w:w="1114" w:type="pct"/>
            <w:tcBorders>
              <w:tl2br w:val="nil"/>
              <w:tr2bl w:val="nil"/>
            </w:tcBorders>
            <w:shd w:val="clear" w:color="auto" w:fill="auto"/>
            <w:noWrap/>
            <w:vAlign w:val="top"/>
          </w:tcPr>
          <w:p w14:paraId="4B289BA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0266D69C">
        <w:tblPrEx>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4" w:space="0"/>
            <w:insideV w:val="single" w:color="000000" w:themeColor="text1" w:sz="4" w:space="0"/>
          </w:tblBorders>
          <w:shd w:val="clear" w:color="auto" w:fill="auto"/>
          <w:tblCellMar>
            <w:top w:w="0" w:type="dxa"/>
            <w:left w:w="108" w:type="dxa"/>
            <w:bottom w:w="0" w:type="dxa"/>
            <w:right w:w="108" w:type="dxa"/>
          </w:tblCellMar>
        </w:tblPrEx>
        <w:trPr>
          <w:trHeight w:val="290" w:hRule="atLeast"/>
        </w:trPr>
        <w:tc>
          <w:tcPr>
            <w:tcW w:w="1717" w:type="pct"/>
            <w:tcBorders>
              <w:tl2br w:val="nil"/>
              <w:tr2bl w:val="nil"/>
            </w:tcBorders>
            <w:shd w:val="clear" w:color="auto" w:fill="auto"/>
            <w:vAlign w:val="top"/>
          </w:tcPr>
          <w:p w14:paraId="7E9B4A3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084" w:type="pct"/>
            <w:tcBorders>
              <w:tl2br w:val="nil"/>
              <w:tr2bl w:val="nil"/>
            </w:tcBorders>
            <w:shd w:val="clear" w:color="auto" w:fill="auto"/>
            <w:noWrap/>
            <w:vAlign w:val="top"/>
          </w:tcPr>
          <w:p w14:paraId="1C127A0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134.96 </w:t>
            </w:r>
          </w:p>
        </w:tc>
        <w:tc>
          <w:tcPr>
            <w:tcW w:w="1084" w:type="pct"/>
            <w:tcBorders>
              <w:tl2br w:val="nil"/>
              <w:tr2bl w:val="nil"/>
            </w:tcBorders>
            <w:shd w:val="clear" w:color="auto" w:fill="auto"/>
            <w:noWrap/>
            <w:vAlign w:val="top"/>
          </w:tcPr>
          <w:p w14:paraId="2592939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57.08 </w:t>
            </w:r>
          </w:p>
        </w:tc>
        <w:tc>
          <w:tcPr>
            <w:tcW w:w="1114" w:type="pct"/>
            <w:tcBorders>
              <w:tl2br w:val="nil"/>
              <w:tr2bl w:val="nil"/>
            </w:tcBorders>
            <w:shd w:val="clear" w:color="auto" w:fill="auto"/>
            <w:noWrap/>
            <w:vAlign w:val="top"/>
          </w:tcPr>
          <w:p w14:paraId="193AA72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42.44 </w:t>
            </w:r>
          </w:p>
        </w:tc>
      </w:tr>
    </w:tbl>
    <w:p w14:paraId="7AC6608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宋体" w:cs="Times New Roman"/>
        </w:rPr>
      </w:pPr>
      <w:r>
        <w:rPr>
          <w:rFonts w:hint="default" w:ascii="Times New Roman" w:hAnsi="Times New Roman" w:cs="Times New Roman"/>
          <w:lang w:val="en-US" w:eastAsia="zh-CN"/>
        </w:rPr>
        <w:t>公司项目通常会收20%-30%预收款</w:t>
      </w:r>
      <w:r>
        <w:rPr>
          <w:rFonts w:hint="default" w:ascii="Times New Roman" w:hAnsi="Times New Roman" w:eastAsia="宋体" w:cs="Times New Roman"/>
        </w:rPr>
        <w:t>。</w:t>
      </w:r>
    </w:p>
    <w:p w14:paraId="158D247A">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textAlignment w:val="auto"/>
        <w:rPr>
          <w:rFonts w:hint="default" w:ascii="Times New Roman" w:hAnsi="Times New Roman" w:eastAsia="宋体" w:cs="Times New Roman"/>
        </w:rPr>
      </w:pPr>
    </w:p>
    <w:p w14:paraId="098F76E2">
      <w:pPr>
        <w:pStyle w:val="68"/>
        <w:keepNext/>
        <w:keepLines/>
        <w:pageBreakBefore w:val="0"/>
        <w:widowControl w:val="0"/>
        <w:numPr>
          <w:ilvl w:val="0"/>
          <w:numId w:val="6"/>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rPr>
      </w:pPr>
      <w:bookmarkStart w:id="21" w:name="_Toc7642"/>
      <w:r>
        <w:rPr>
          <w:rFonts w:hint="default" w:ascii="Times New Roman" w:hAnsi="Times New Roman" w:eastAsia="宋体" w:cs="Times New Roman"/>
          <w:lang w:val="en-US" w:eastAsia="zh-CN"/>
        </w:rPr>
        <w:t>应付账款</w:t>
      </w:r>
      <w:bookmarkEnd w:id="21"/>
    </w:p>
    <w:tbl>
      <w:tblPr>
        <w:tblStyle w:val="35"/>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914"/>
        <w:gridCol w:w="1320"/>
        <w:gridCol w:w="1867"/>
        <w:gridCol w:w="2413"/>
      </w:tblGrid>
      <w:tr w14:paraId="5EDFFE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noWrap/>
            <w:vAlign w:val="center"/>
          </w:tcPr>
          <w:p w14:paraId="525A79B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center"/>
              <w:rPr>
                <w:rFonts w:hint="default" w:ascii="Times New Roman" w:hAnsi="Times New Roman" w:eastAsia="宋体" w:cs="Times New Roman"/>
                <w:b/>
                <w:bCs/>
                <w:i/>
                <w:iCs/>
                <w:color w:val="auto"/>
                <w:sz w:val="21"/>
                <w:szCs w:val="21"/>
                <w:u w:val="none"/>
              </w:rPr>
            </w:pPr>
            <w:r>
              <w:rPr>
                <w:rFonts w:hint="default" w:ascii="Times New Roman" w:hAnsi="Times New Roman" w:eastAsia="宋体" w:cs="Times New Roman"/>
                <w:b/>
                <w:bCs/>
                <w:i/>
                <w:iCs/>
                <w:color w:val="auto"/>
                <w:kern w:val="0"/>
                <w:sz w:val="21"/>
                <w:szCs w:val="21"/>
                <w:u w:val="none"/>
                <w:lang w:val="en-US" w:eastAsia="zh-CN" w:bidi="ar"/>
                <w14:ligatures w14:val="none"/>
              </w:rPr>
              <w:t>人民币</w:t>
            </w:r>
            <w:r>
              <w:rPr>
                <w:rFonts w:hint="default" w:ascii="Times New Roman" w:hAnsi="Times New Roman" w:cs="Times New Roman"/>
                <w:b/>
                <w:bCs/>
                <w:i/>
                <w:iCs/>
                <w:color w:val="auto"/>
                <w:kern w:val="0"/>
                <w:sz w:val="21"/>
                <w:szCs w:val="21"/>
                <w:u w:val="none"/>
                <w:lang w:val="en-US" w:eastAsia="zh-CN" w:bidi="ar"/>
                <w14:ligatures w14:val="none"/>
              </w:rPr>
              <w:t>万</w:t>
            </w:r>
            <w:r>
              <w:rPr>
                <w:rFonts w:hint="default" w:ascii="Times New Roman" w:hAnsi="Times New Roman" w:eastAsia="宋体" w:cs="Times New Roman"/>
                <w:b/>
                <w:bCs/>
                <w:i/>
                <w:iCs/>
                <w:color w:val="auto"/>
                <w:kern w:val="0"/>
                <w:sz w:val="21"/>
                <w:szCs w:val="21"/>
                <w:u w:val="none"/>
                <w:lang w:val="en-US" w:eastAsia="zh-CN" w:bidi="ar"/>
                <w14:ligatures w14:val="none"/>
              </w:rPr>
              <w:t>元</w:t>
            </w:r>
          </w:p>
        </w:tc>
        <w:tc>
          <w:tcPr>
            <w:tcW w:w="1320" w:type="dxa"/>
            <w:tcBorders>
              <w:tl2br w:val="nil"/>
              <w:tr2bl w:val="nil"/>
            </w:tcBorders>
            <w:shd w:val="clear" w:color="auto" w:fill="auto"/>
            <w:vAlign w:val="center"/>
          </w:tcPr>
          <w:p w14:paraId="634BDC00">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2022年度</w:t>
            </w:r>
          </w:p>
        </w:tc>
        <w:tc>
          <w:tcPr>
            <w:tcW w:w="1867" w:type="dxa"/>
            <w:tcBorders>
              <w:tl2br w:val="nil"/>
              <w:tr2bl w:val="nil"/>
            </w:tcBorders>
            <w:shd w:val="clear" w:color="auto" w:fill="auto"/>
            <w:vAlign w:val="center"/>
          </w:tcPr>
          <w:p w14:paraId="65B46BC6">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2023年度</w:t>
            </w:r>
          </w:p>
        </w:tc>
        <w:tc>
          <w:tcPr>
            <w:tcW w:w="2413" w:type="dxa"/>
            <w:tcBorders>
              <w:tl2br w:val="nil"/>
              <w:tr2bl w:val="nil"/>
            </w:tcBorders>
            <w:shd w:val="clear" w:color="auto" w:fill="auto"/>
            <w:vAlign w:val="center"/>
          </w:tcPr>
          <w:p w14:paraId="4DABD50B">
            <w:pPr>
              <w:widowControl/>
              <w:adjustRightInd/>
              <w:snapToGrid/>
              <w:spacing w:line="240" w:lineRule="auto"/>
              <w:ind w:firstLine="0" w:firstLineChars="0"/>
              <w:jc w:val="center"/>
              <w:textAlignment w:val="center"/>
              <w:rPr>
                <w:rFonts w:hint="default" w:ascii="Times New Roman" w:hAnsi="Times New Roman" w:eastAsia="宋体" w:cs="Times New Roman"/>
                <w:b/>
                <w:bCs/>
                <w:i w:val="0"/>
                <w:iCs w:val="0"/>
                <w:color w:val="auto"/>
                <w:sz w:val="21"/>
                <w:szCs w:val="21"/>
                <w:u w:val="none"/>
              </w:rPr>
            </w:pPr>
            <w:r>
              <w:rPr>
                <w:rFonts w:hint="default" w:ascii="Times New Roman" w:hAnsi="Times New Roman" w:eastAsia="宋体" w:cs="Times New Roman"/>
                <w:b/>
                <w:bCs/>
                <w:color w:val="000000"/>
                <w:spacing w:val="-6"/>
                <w:kern w:val="0"/>
                <w:sz w:val="21"/>
                <w:szCs w:val="21"/>
                <w:lang w:val="en-US" w:eastAsia="zh-CN" w:bidi="ar"/>
                <w14:ligatures w14:val="none"/>
              </w:rPr>
              <w:t>2024年度</w:t>
            </w:r>
          </w:p>
        </w:tc>
      </w:tr>
      <w:tr w14:paraId="55AC57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0AC04D6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苏州森科净化钢构工程有限公司</w:t>
            </w:r>
          </w:p>
        </w:tc>
        <w:tc>
          <w:tcPr>
            <w:tcW w:w="1320" w:type="dxa"/>
            <w:tcBorders>
              <w:tl2br w:val="nil"/>
              <w:tr2bl w:val="nil"/>
            </w:tcBorders>
            <w:shd w:val="clear" w:color="auto" w:fill="auto"/>
            <w:noWrap/>
            <w:vAlign w:val="top"/>
          </w:tcPr>
          <w:p w14:paraId="5343573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7ADDD67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87.60 </w:t>
            </w:r>
          </w:p>
        </w:tc>
        <w:tc>
          <w:tcPr>
            <w:tcW w:w="2413" w:type="dxa"/>
            <w:tcBorders>
              <w:tl2br w:val="nil"/>
              <w:tr2bl w:val="nil"/>
            </w:tcBorders>
            <w:shd w:val="clear" w:color="auto" w:fill="auto"/>
            <w:noWrap/>
            <w:vAlign w:val="top"/>
          </w:tcPr>
          <w:p w14:paraId="193C2B9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11.88 </w:t>
            </w:r>
          </w:p>
        </w:tc>
      </w:tr>
      <w:tr w14:paraId="69C7657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6C08FB6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菁棠木装饰工程江阴有限公司</w:t>
            </w:r>
          </w:p>
        </w:tc>
        <w:tc>
          <w:tcPr>
            <w:tcW w:w="1320" w:type="dxa"/>
            <w:tcBorders>
              <w:tl2br w:val="nil"/>
              <w:tr2bl w:val="nil"/>
            </w:tcBorders>
            <w:shd w:val="clear" w:color="auto" w:fill="auto"/>
            <w:noWrap/>
            <w:vAlign w:val="top"/>
          </w:tcPr>
          <w:p w14:paraId="63895FF1">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6EA92C3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2413" w:type="dxa"/>
            <w:tcBorders>
              <w:tl2br w:val="nil"/>
              <w:tr2bl w:val="nil"/>
            </w:tcBorders>
            <w:shd w:val="clear" w:color="auto" w:fill="auto"/>
            <w:noWrap/>
            <w:vAlign w:val="top"/>
          </w:tcPr>
          <w:p w14:paraId="43C362D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4.80 </w:t>
            </w:r>
          </w:p>
        </w:tc>
      </w:tr>
      <w:tr w14:paraId="4A9A2C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58189AE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浙江天宏机械有限公司</w:t>
            </w:r>
          </w:p>
        </w:tc>
        <w:tc>
          <w:tcPr>
            <w:tcW w:w="1320" w:type="dxa"/>
            <w:tcBorders>
              <w:tl2br w:val="nil"/>
              <w:tr2bl w:val="nil"/>
            </w:tcBorders>
            <w:shd w:val="clear" w:color="auto" w:fill="auto"/>
            <w:noWrap/>
            <w:vAlign w:val="top"/>
          </w:tcPr>
          <w:p w14:paraId="7ECE697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14E1734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2413" w:type="dxa"/>
            <w:tcBorders>
              <w:tl2br w:val="nil"/>
              <w:tr2bl w:val="nil"/>
            </w:tcBorders>
            <w:shd w:val="clear" w:color="auto" w:fill="auto"/>
            <w:noWrap/>
            <w:vAlign w:val="top"/>
          </w:tcPr>
          <w:p w14:paraId="19A96F1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3.10 </w:t>
            </w:r>
          </w:p>
        </w:tc>
      </w:tr>
      <w:tr w14:paraId="193EF8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158DC81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上海明核仪器有限公司</w:t>
            </w:r>
          </w:p>
        </w:tc>
        <w:tc>
          <w:tcPr>
            <w:tcW w:w="1320" w:type="dxa"/>
            <w:tcBorders>
              <w:tl2br w:val="nil"/>
              <w:tr2bl w:val="nil"/>
            </w:tcBorders>
            <w:shd w:val="clear" w:color="auto" w:fill="auto"/>
            <w:noWrap/>
            <w:vAlign w:val="top"/>
          </w:tcPr>
          <w:p w14:paraId="61A69E6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2.07 </w:t>
            </w:r>
          </w:p>
        </w:tc>
        <w:tc>
          <w:tcPr>
            <w:tcW w:w="1867" w:type="dxa"/>
            <w:tcBorders>
              <w:tl2br w:val="nil"/>
              <w:tr2bl w:val="nil"/>
            </w:tcBorders>
            <w:shd w:val="clear" w:color="auto" w:fill="auto"/>
            <w:noWrap/>
            <w:vAlign w:val="top"/>
          </w:tcPr>
          <w:p w14:paraId="37DC196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2.07 </w:t>
            </w:r>
          </w:p>
        </w:tc>
        <w:tc>
          <w:tcPr>
            <w:tcW w:w="2413" w:type="dxa"/>
            <w:tcBorders>
              <w:tl2br w:val="nil"/>
              <w:tr2bl w:val="nil"/>
            </w:tcBorders>
            <w:shd w:val="clear" w:color="auto" w:fill="auto"/>
            <w:noWrap/>
            <w:vAlign w:val="top"/>
          </w:tcPr>
          <w:p w14:paraId="3EF42FE3">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2.07 </w:t>
            </w:r>
          </w:p>
        </w:tc>
      </w:tr>
      <w:tr w14:paraId="3D3F7F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5D0CCCD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无锡楼兰仪器系统有限公司</w:t>
            </w:r>
          </w:p>
        </w:tc>
        <w:tc>
          <w:tcPr>
            <w:tcW w:w="1320" w:type="dxa"/>
            <w:tcBorders>
              <w:tl2br w:val="nil"/>
              <w:tr2bl w:val="nil"/>
            </w:tcBorders>
            <w:shd w:val="clear" w:color="auto" w:fill="auto"/>
            <w:noWrap/>
            <w:vAlign w:val="top"/>
          </w:tcPr>
          <w:p w14:paraId="6E004E8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1659829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2413" w:type="dxa"/>
            <w:tcBorders>
              <w:tl2br w:val="nil"/>
              <w:tr2bl w:val="nil"/>
            </w:tcBorders>
            <w:shd w:val="clear" w:color="auto" w:fill="auto"/>
            <w:noWrap/>
            <w:vAlign w:val="top"/>
          </w:tcPr>
          <w:p w14:paraId="3FA764D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1.43 </w:t>
            </w:r>
          </w:p>
        </w:tc>
      </w:tr>
      <w:tr w14:paraId="290C0D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1432049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江阴扬子江创智投资发展有限公司</w:t>
            </w:r>
          </w:p>
        </w:tc>
        <w:tc>
          <w:tcPr>
            <w:tcW w:w="1320" w:type="dxa"/>
            <w:tcBorders>
              <w:tl2br w:val="nil"/>
              <w:tr2bl w:val="nil"/>
            </w:tcBorders>
            <w:shd w:val="clear" w:color="auto" w:fill="auto"/>
            <w:noWrap/>
            <w:vAlign w:val="top"/>
          </w:tcPr>
          <w:p w14:paraId="6815F53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7C60B5B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15.45 </w:t>
            </w:r>
          </w:p>
        </w:tc>
        <w:tc>
          <w:tcPr>
            <w:tcW w:w="2413" w:type="dxa"/>
            <w:tcBorders>
              <w:tl2br w:val="nil"/>
              <w:tr2bl w:val="nil"/>
            </w:tcBorders>
            <w:shd w:val="clear" w:color="auto" w:fill="auto"/>
            <w:noWrap/>
            <w:vAlign w:val="top"/>
          </w:tcPr>
          <w:p w14:paraId="212AE74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5C6756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207717C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湖南奥立龙现代实验室设备有限公司</w:t>
            </w:r>
          </w:p>
        </w:tc>
        <w:tc>
          <w:tcPr>
            <w:tcW w:w="1320" w:type="dxa"/>
            <w:tcBorders>
              <w:tl2br w:val="nil"/>
              <w:tr2bl w:val="nil"/>
            </w:tcBorders>
            <w:shd w:val="clear" w:color="auto" w:fill="auto"/>
            <w:noWrap/>
            <w:vAlign w:val="top"/>
          </w:tcPr>
          <w:p w14:paraId="7D1EF59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1E6FCA2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10.17 </w:t>
            </w:r>
          </w:p>
        </w:tc>
        <w:tc>
          <w:tcPr>
            <w:tcW w:w="2413" w:type="dxa"/>
            <w:tcBorders>
              <w:tl2br w:val="nil"/>
              <w:tr2bl w:val="nil"/>
            </w:tcBorders>
            <w:shd w:val="clear" w:color="auto" w:fill="auto"/>
            <w:noWrap/>
            <w:vAlign w:val="top"/>
          </w:tcPr>
          <w:p w14:paraId="3C3ADB2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6D1648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285F39F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扬州谨信仪器设备有限公司</w:t>
            </w:r>
          </w:p>
        </w:tc>
        <w:tc>
          <w:tcPr>
            <w:tcW w:w="1320" w:type="dxa"/>
            <w:tcBorders>
              <w:tl2br w:val="nil"/>
              <w:tr2bl w:val="nil"/>
            </w:tcBorders>
            <w:shd w:val="clear" w:color="auto" w:fill="auto"/>
            <w:noWrap/>
            <w:vAlign w:val="top"/>
          </w:tcPr>
          <w:p w14:paraId="6D6B9BB9">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1867" w:type="dxa"/>
            <w:tcBorders>
              <w:tl2br w:val="nil"/>
              <w:tr2bl w:val="nil"/>
            </w:tcBorders>
            <w:shd w:val="clear" w:color="auto" w:fill="auto"/>
            <w:noWrap/>
            <w:vAlign w:val="top"/>
          </w:tcPr>
          <w:p w14:paraId="33C3E52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0.92 </w:t>
            </w:r>
          </w:p>
        </w:tc>
        <w:tc>
          <w:tcPr>
            <w:tcW w:w="2413" w:type="dxa"/>
            <w:tcBorders>
              <w:tl2br w:val="nil"/>
              <w:tr2bl w:val="nil"/>
            </w:tcBorders>
            <w:shd w:val="clear" w:color="auto" w:fill="auto"/>
            <w:noWrap/>
            <w:vAlign w:val="top"/>
          </w:tcPr>
          <w:p w14:paraId="0502EB6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4977EB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1DD4329F">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无锡普力斯特实验室设备科技有限公司</w:t>
            </w:r>
          </w:p>
        </w:tc>
        <w:tc>
          <w:tcPr>
            <w:tcW w:w="1320" w:type="dxa"/>
            <w:tcBorders>
              <w:tl2br w:val="nil"/>
              <w:tr2bl w:val="nil"/>
            </w:tcBorders>
            <w:shd w:val="clear" w:color="auto" w:fill="auto"/>
            <w:noWrap/>
            <w:vAlign w:val="top"/>
          </w:tcPr>
          <w:p w14:paraId="0FC8EE9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3.50 </w:t>
            </w:r>
          </w:p>
        </w:tc>
        <w:tc>
          <w:tcPr>
            <w:tcW w:w="1867" w:type="dxa"/>
            <w:tcBorders>
              <w:tl2br w:val="nil"/>
              <w:tr2bl w:val="nil"/>
            </w:tcBorders>
            <w:shd w:val="clear" w:color="auto" w:fill="auto"/>
            <w:noWrap/>
            <w:vAlign w:val="top"/>
          </w:tcPr>
          <w:p w14:paraId="0CA5559B">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2413" w:type="dxa"/>
            <w:tcBorders>
              <w:tl2br w:val="nil"/>
              <w:tr2bl w:val="nil"/>
            </w:tcBorders>
            <w:shd w:val="clear" w:color="auto" w:fill="auto"/>
            <w:noWrap/>
            <w:vAlign w:val="top"/>
          </w:tcPr>
          <w:p w14:paraId="103FE4E6">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2AF606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0F014FF7">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安徽泽升科技有限公司</w:t>
            </w:r>
          </w:p>
        </w:tc>
        <w:tc>
          <w:tcPr>
            <w:tcW w:w="1320" w:type="dxa"/>
            <w:tcBorders>
              <w:tl2br w:val="nil"/>
              <w:tr2bl w:val="nil"/>
            </w:tcBorders>
            <w:shd w:val="clear" w:color="auto" w:fill="auto"/>
            <w:noWrap/>
            <w:vAlign w:val="top"/>
          </w:tcPr>
          <w:p w14:paraId="6D46CEF4">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0.04 </w:t>
            </w:r>
          </w:p>
        </w:tc>
        <w:tc>
          <w:tcPr>
            <w:tcW w:w="1867" w:type="dxa"/>
            <w:tcBorders>
              <w:tl2br w:val="nil"/>
              <w:tr2bl w:val="nil"/>
            </w:tcBorders>
            <w:shd w:val="clear" w:color="auto" w:fill="auto"/>
            <w:noWrap/>
            <w:vAlign w:val="top"/>
          </w:tcPr>
          <w:p w14:paraId="6D5BF00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c>
          <w:tcPr>
            <w:tcW w:w="2413" w:type="dxa"/>
            <w:tcBorders>
              <w:tl2br w:val="nil"/>
              <w:tr2bl w:val="nil"/>
            </w:tcBorders>
            <w:shd w:val="clear" w:color="auto" w:fill="auto"/>
            <w:noWrap/>
            <w:vAlign w:val="top"/>
          </w:tcPr>
          <w:p w14:paraId="5BDAC04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   </w:t>
            </w:r>
          </w:p>
        </w:tc>
      </w:tr>
      <w:tr w14:paraId="7F8766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4A47EFD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其他</w:t>
            </w:r>
          </w:p>
        </w:tc>
        <w:tc>
          <w:tcPr>
            <w:tcW w:w="1320" w:type="dxa"/>
            <w:tcBorders>
              <w:tl2br w:val="nil"/>
              <w:tr2bl w:val="nil"/>
            </w:tcBorders>
            <w:shd w:val="clear" w:color="auto" w:fill="auto"/>
            <w:noWrap/>
            <w:vAlign w:val="top"/>
          </w:tcPr>
          <w:p w14:paraId="0EEFB47A">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0.14 </w:t>
            </w:r>
          </w:p>
        </w:tc>
        <w:tc>
          <w:tcPr>
            <w:tcW w:w="1867" w:type="dxa"/>
            <w:tcBorders>
              <w:tl2br w:val="nil"/>
              <w:tr2bl w:val="nil"/>
            </w:tcBorders>
            <w:shd w:val="clear" w:color="auto" w:fill="auto"/>
            <w:noWrap/>
            <w:vAlign w:val="top"/>
          </w:tcPr>
          <w:p w14:paraId="1B12653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12.47 </w:t>
            </w:r>
          </w:p>
        </w:tc>
        <w:tc>
          <w:tcPr>
            <w:tcW w:w="2413" w:type="dxa"/>
            <w:tcBorders>
              <w:tl2br w:val="nil"/>
              <w:tr2bl w:val="nil"/>
            </w:tcBorders>
            <w:shd w:val="clear" w:color="auto" w:fill="auto"/>
            <w:noWrap/>
            <w:vAlign w:val="top"/>
          </w:tcPr>
          <w:p w14:paraId="6A3936E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color w:val="auto"/>
                <w:sz w:val="21"/>
                <w:szCs w:val="21"/>
                <w:lang w:val="en-US" w:eastAsia="zh-CN" w:bidi="ar"/>
              </w:rPr>
            </w:pPr>
            <w:r>
              <w:rPr>
                <w:rStyle w:val="110"/>
                <w:rFonts w:hint="default" w:ascii="Times New Roman" w:hAnsi="Times New Roman" w:eastAsia="宋体" w:cs="Times New Roman"/>
                <w:color w:val="auto"/>
                <w:sz w:val="21"/>
                <w:szCs w:val="21"/>
                <w:lang w:val="en-US" w:eastAsia="zh-CN" w:bidi="ar"/>
              </w:rPr>
              <w:t xml:space="preserve"> 3.83 </w:t>
            </w:r>
          </w:p>
        </w:tc>
      </w:tr>
      <w:tr w14:paraId="481783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40" w:hRule="atLeast"/>
        </w:trPr>
        <w:tc>
          <w:tcPr>
            <w:tcW w:w="2914" w:type="dxa"/>
            <w:tcBorders>
              <w:tl2br w:val="nil"/>
              <w:tr2bl w:val="nil"/>
            </w:tcBorders>
            <w:shd w:val="clear" w:color="auto" w:fill="auto"/>
            <w:vAlign w:val="top"/>
          </w:tcPr>
          <w:p w14:paraId="65508485">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lef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合计</w:t>
            </w:r>
          </w:p>
        </w:tc>
        <w:tc>
          <w:tcPr>
            <w:tcW w:w="1320" w:type="dxa"/>
            <w:tcBorders>
              <w:tl2br w:val="nil"/>
              <w:tr2bl w:val="nil"/>
            </w:tcBorders>
            <w:shd w:val="clear" w:color="auto" w:fill="auto"/>
            <w:noWrap/>
            <w:vAlign w:val="top"/>
          </w:tcPr>
          <w:p w14:paraId="6C039A5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5.75 </w:t>
            </w:r>
          </w:p>
        </w:tc>
        <w:tc>
          <w:tcPr>
            <w:tcW w:w="1867" w:type="dxa"/>
            <w:tcBorders>
              <w:tl2br w:val="nil"/>
              <w:tr2bl w:val="nil"/>
            </w:tcBorders>
            <w:shd w:val="clear" w:color="auto" w:fill="auto"/>
            <w:noWrap/>
            <w:vAlign w:val="top"/>
          </w:tcPr>
          <w:p w14:paraId="46A12692">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128.67 </w:t>
            </w:r>
          </w:p>
        </w:tc>
        <w:tc>
          <w:tcPr>
            <w:tcW w:w="2413" w:type="dxa"/>
            <w:tcBorders>
              <w:tl2br w:val="nil"/>
              <w:tr2bl w:val="nil"/>
            </w:tcBorders>
            <w:shd w:val="clear" w:color="auto" w:fill="auto"/>
            <w:noWrap/>
            <w:vAlign w:val="top"/>
          </w:tcPr>
          <w:p w14:paraId="73BACFEE">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right"/>
              <w:textAlignment w:val="top"/>
              <w:rPr>
                <w:rStyle w:val="110"/>
                <w:rFonts w:hint="default" w:ascii="Times New Roman" w:hAnsi="Times New Roman" w:eastAsia="宋体" w:cs="Times New Roman"/>
                <w:b/>
                <w:bCs/>
                <w:color w:val="auto"/>
                <w:sz w:val="21"/>
                <w:szCs w:val="21"/>
                <w:lang w:val="en-US" w:eastAsia="zh-CN" w:bidi="ar"/>
              </w:rPr>
            </w:pPr>
            <w:r>
              <w:rPr>
                <w:rStyle w:val="110"/>
                <w:rFonts w:hint="default" w:ascii="Times New Roman" w:hAnsi="Times New Roman" w:eastAsia="宋体" w:cs="Times New Roman"/>
                <w:b/>
                <w:bCs/>
                <w:color w:val="auto"/>
                <w:sz w:val="21"/>
                <w:szCs w:val="21"/>
                <w:lang w:val="en-US" w:eastAsia="zh-CN" w:bidi="ar"/>
              </w:rPr>
              <w:t xml:space="preserve"> 27.10 </w:t>
            </w:r>
          </w:p>
        </w:tc>
      </w:tr>
    </w:tbl>
    <w:p w14:paraId="7A57D692">
      <w:pPr>
        <w:pStyle w:val="68"/>
        <w:keepNext/>
        <w:keepLines/>
        <w:pageBreakBefore w:val="0"/>
        <w:widowControl w:val="0"/>
        <w:numPr>
          <w:ilvl w:val="0"/>
          <w:numId w:val="0"/>
        </w:numPr>
        <w:kinsoku/>
        <w:wordWrap/>
        <w:overflowPunct/>
        <w:topLinePunct w:val="0"/>
        <w:autoSpaceDE/>
        <w:autoSpaceDN/>
        <w:bidi w:val="0"/>
        <w:adjustRightInd w:val="0"/>
        <w:snapToGrid w:val="0"/>
        <w:spacing w:before="0" w:beforeLines="0" w:after="0" w:afterLines="0"/>
        <w:textAlignment w:val="auto"/>
        <w:rPr>
          <w:rFonts w:hint="default" w:ascii="Times New Roman" w:hAnsi="Times New Roman" w:eastAsia="宋体" w:cs="Times New Roman"/>
        </w:rPr>
      </w:pPr>
    </w:p>
    <w:p w14:paraId="37FAFFFE">
      <w:pPr>
        <w:pStyle w:val="67"/>
        <w:pageBreakBefore w:val="0"/>
        <w:widowControl w:val="0"/>
        <w:numPr>
          <w:ilvl w:val="0"/>
          <w:numId w:val="1"/>
        </w:numPr>
        <w:kinsoku/>
        <w:wordWrap/>
        <w:overflowPunct/>
        <w:topLinePunct w:val="0"/>
        <w:autoSpaceDE/>
        <w:autoSpaceDN/>
        <w:bidi w:val="0"/>
        <w:adjustRightInd w:val="0"/>
        <w:snapToGrid w:val="0"/>
        <w:spacing w:before="0" w:beforeLines="0" w:after="0" w:afterLines="0" w:line="360" w:lineRule="auto"/>
        <w:ind w:left="0" w:leftChars="0" w:firstLine="420" w:firstLineChars="0"/>
        <w:rPr>
          <w:rFonts w:hint="default" w:ascii="Times New Roman" w:hAnsi="Times New Roman" w:eastAsia="宋体" w:cs="Times New Roman"/>
        </w:rPr>
      </w:pPr>
      <w:bookmarkStart w:id="22" w:name="_Toc14229"/>
      <w:r>
        <w:rPr>
          <w:rFonts w:hint="default" w:ascii="Times New Roman" w:hAnsi="Times New Roman" w:eastAsia="宋体" w:cs="Times New Roman"/>
          <w:lang w:val="en-US" w:eastAsia="zh-CN"/>
        </w:rPr>
        <w:t>财务尽调发现的主要问题及风险揭示</w:t>
      </w:r>
      <w:bookmarkEnd w:id="22"/>
    </w:p>
    <w:p w14:paraId="05219E56">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ascii="Times New Roman" w:hAnsi="Times New Roman" w:eastAsia="宋体" w:cs="Times New Roman"/>
          <w:b/>
          <w:bCs/>
          <w:szCs w:val="21"/>
        </w:rPr>
      </w:pPr>
      <w:bookmarkStart w:id="23" w:name="_Toc10239"/>
      <w:r>
        <w:rPr>
          <w:rFonts w:hint="default" w:ascii="Times New Roman" w:hAnsi="Times New Roman" w:eastAsia="宋体" w:cs="Times New Roman"/>
          <w:b/>
          <w:bCs/>
          <w:szCs w:val="21"/>
          <w:lang w:bidi="ar"/>
        </w:rPr>
        <w:t>股权转让及增资税费缴纳核查及风险提示</w:t>
      </w:r>
      <w:bookmarkEnd w:id="23"/>
    </w:p>
    <w:p w14:paraId="75C3F72C">
      <w:pPr>
        <w:autoSpaceDE w:val="0"/>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截至本次尽调基准日，无锡贝塔历次增资及股转需承担代扣代缴义务涉及的个税、印花税税费总计约959.01万元(含已缴纳税费367.67万元)，仅李刚在第五次、第九次、第十一次股权转让中涉及的个人所得税(共计约367.19万元)及对应印花税(共计约0.48万元)已完成缴纳</w:t>
      </w:r>
      <w:r>
        <w:rPr>
          <w:rFonts w:hint="default" w:ascii="Times New Roman" w:hAnsi="Times New Roman" w:cs="Times New Roman"/>
          <w:szCs w:val="21"/>
          <w:lang w:eastAsia="zh-CN" w:bidi="ar"/>
        </w:rPr>
        <w:t>，</w:t>
      </w:r>
      <w:r>
        <w:rPr>
          <w:rFonts w:hint="default" w:ascii="Times New Roman" w:hAnsi="Times New Roman" w:eastAsia="宋体" w:cs="Times New Roman"/>
          <w:szCs w:val="21"/>
          <w:lang w:bidi="ar"/>
        </w:rPr>
        <w:t>其余应缴税费591.34万元的实际缴纳情况基于现有资料，无法证实是否已足额、按时缴纳，可能涉及滞纳金、罚款等税务责任，对无锡贝塔股权清晰性及合规经营状态构成影响，需相关主体进一步补充提供对应的法定完税凭证，或就该等环节税费实际缴纳情况提供详细、真实、有效的书面说明并确保说明内容与主管税务机关征管信息可相互印证。</w:t>
      </w:r>
    </w:p>
    <w:p w14:paraId="79EE3A15">
      <w:pPr>
        <w:autoSpaceDE w:val="0"/>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经核查，长沙贝塔截至本次尽调基准日，通过对长沙贝塔提供的税费缴纳资料进行核查，应缴纳267.0</w:t>
      </w:r>
      <w:r>
        <w:rPr>
          <w:rFonts w:hint="default" w:ascii="Times New Roman" w:hAnsi="Times New Roman" w:cs="Times New Roman"/>
          <w:szCs w:val="21"/>
          <w:lang w:val="en-US" w:eastAsia="zh-CN" w:bidi="ar"/>
        </w:rPr>
        <w:t>9</w:t>
      </w:r>
      <w:r>
        <w:rPr>
          <w:rFonts w:hint="default" w:ascii="Times New Roman" w:hAnsi="Times New Roman" w:eastAsia="宋体" w:cs="Times New Roman"/>
          <w:szCs w:val="21"/>
          <w:lang w:bidi="ar"/>
        </w:rPr>
        <w:t>万元税费，其中仅第一次增资及第三次增资已缴纳印花税0.83万元，剩余266.2</w:t>
      </w:r>
      <w:r>
        <w:rPr>
          <w:rFonts w:hint="default" w:ascii="Times New Roman" w:hAnsi="Times New Roman" w:cs="Times New Roman"/>
          <w:szCs w:val="21"/>
          <w:lang w:val="en-US" w:eastAsia="zh-CN" w:bidi="ar"/>
        </w:rPr>
        <w:t>6</w:t>
      </w:r>
      <w:r>
        <w:rPr>
          <w:rFonts w:hint="default" w:ascii="Times New Roman" w:hAnsi="Times New Roman" w:eastAsia="宋体" w:cs="Times New Roman"/>
          <w:szCs w:val="21"/>
          <w:lang w:bidi="ar"/>
        </w:rPr>
        <w:t>万元基于现有资料无法证实公司是否进行代扣代缴义务。</w:t>
      </w:r>
    </w:p>
    <w:p w14:paraId="4337356F">
      <w:pPr>
        <w:keepNext w:val="0"/>
        <w:keepLines w:val="0"/>
        <w:widowControl/>
        <w:suppressLineNumbers w:val="0"/>
        <w:jc w:val="left"/>
        <w:rPr>
          <w:rFonts w:hint="default" w:ascii="Times New Roman" w:hAnsi="Times New Roman" w:cs="Times New Roman"/>
          <w:szCs w:val="21"/>
          <w:lang w:val="en-US" w:eastAsia="zh-CN" w:bidi="ar"/>
        </w:rPr>
      </w:pPr>
      <w:r>
        <w:rPr>
          <w:rFonts w:hint="default" w:ascii="Times New Roman" w:hAnsi="Times New Roman" w:cs="Times New Roman"/>
          <w:szCs w:val="21"/>
          <w:lang w:val="en-US" w:eastAsia="zh-CN" w:bidi="ar"/>
        </w:rPr>
        <w:t>应对：建议公司及时与税务部门沟通，将标的公司及实际控制人李刚完成纳税义务并取得税务主管部门确认文件作为标的公司及实际控制人完成本轮的交割后承诺事项。如未能完成纳税义务导致标的公司上市受阻的，标的公司及实际控制人需承担回购义务。</w:t>
      </w:r>
    </w:p>
    <w:p w14:paraId="3809BC44">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24" w:name="_Toc31648"/>
      <w:r>
        <w:rPr>
          <w:rFonts w:hint="default" w:ascii="Times New Roman" w:hAnsi="Times New Roman" w:eastAsia="宋体" w:cs="Times New Roman"/>
          <w:b/>
          <w:bCs/>
          <w:szCs w:val="21"/>
          <w:lang w:bidi="ar"/>
        </w:rPr>
        <w:t>股权转让协议签署日期与工商底档不一致</w:t>
      </w:r>
      <w:bookmarkEnd w:id="24"/>
    </w:p>
    <w:p w14:paraId="2C924F44">
      <w:pPr>
        <w:autoSpaceDE w:val="0"/>
        <w:spacing w:line="360" w:lineRule="auto"/>
        <w:ind w:firstLine="480" w:firstLineChars="200"/>
        <w:rPr>
          <w:rFonts w:ascii="Times New Roman" w:hAnsi="Times New Roman" w:eastAsia="宋体" w:cs="Times New Roman"/>
          <w:szCs w:val="21"/>
        </w:rPr>
      </w:pPr>
      <w:r>
        <w:rPr>
          <w:rFonts w:hint="default" w:ascii="Times New Roman" w:hAnsi="Times New Roman" w:eastAsia="宋体" w:cs="Times New Roman"/>
          <w:szCs w:val="21"/>
          <w:lang w:bidi="ar"/>
        </w:rPr>
        <w:t>在审计尽调过程中，核查《股权转让协议》股东会决议、章程修正案及工商变更申请材料等关键资料。经比对发现，无锡贝塔提供的《股权转让协议》存在未签署日期及签署日期与工商底档记录不一致的情况。签署日期作为法律文件的关键要素，其不一致可能引发对协议签署流程合规性、文件真实性的疑问。</w:t>
      </w:r>
    </w:p>
    <w:p w14:paraId="03F7B933">
      <w:pPr>
        <w:autoSpaceDE w:val="0"/>
        <w:spacing w:line="360" w:lineRule="auto"/>
        <w:ind w:firstLine="480" w:firstLineChars="200"/>
        <w:rPr>
          <w:rFonts w:hint="default" w:ascii="Times New Roman" w:hAnsi="Times New Roman" w:eastAsia="宋体" w:cs="Times New Roman"/>
          <w:b/>
          <w:bCs/>
          <w:szCs w:val="21"/>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公司完善内部档案管理，梳理历史股权转让档案，将协议原件、内部决策文件、资金流、完税证明、工商备案资料按交易批次归档，避免后续资料丢失或版本混乱；建立相关台账，记录每笔增资或转让的签署日期、履行情况、备案日期，确保时序可追溯。工商变更完成后，及时调取底档资料，与公司自持版本核对，发现差异立即向工商部门申请更正，确保企业档案与工商底档完全一致。</w:t>
      </w:r>
    </w:p>
    <w:p w14:paraId="17CA494F">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25" w:name="_Toc14613"/>
      <w:r>
        <w:rPr>
          <w:rFonts w:hint="default" w:ascii="Times New Roman" w:hAnsi="Times New Roman" w:eastAsia="宋体" w:cs="Times New Roman"/>
          <w:b/>
          <w:bCs/>
          <w:szCs w:val="21"/>
          <w:lang w:bidi="ar"/>
        </w:rPr>
        <w:t>激励对象资格合规性存疑</w:t>
      </w:r>
      <w:bookmarkEnd w:id="25"/>
    </w:p>
    <w:p w14:paraId="14154451">
      <w:pPr>
        <w:autoSpaceDE w:val="0"/>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尽调过程通过核查长沙碳鑫（员工持股平台）第一、第二期员工激励计划激励对象名单，根据公司提供的员工花名册，发现第二期激励对象张志勇的劳动关系情况存在需关注事项：根据无锡贝塔《员工激励计划》明确约定，激励对象需以“在计划有效期内与无锡贝塔或其子公司存在劳动关系”为首要资格前提，同时需满足“在公司或子公司任职、认同公司价值观、愿意为公司发展做出贡献并经公司审核通过” 的条件。经审计尽调进一步核查确认，激励对象张志勇未与无锡贝塔及其子公司签订劳动合同，仅签订顾问协议，且未通过</w:t>
      </w:r>
      <w:r>
        <w:rPr>
          <w:rFonts w:hint="default" w:ascii="Times New Roman" w:hAnsi="Times New Roman" w:eastAsia="宋体" w:cs="Times New Roman"/>
          <w:szCs w:val="21"/>
          <w:lang w:eastAsia="zh" w:bidi="ar"/>
        </w:rPr>
        <w:t>无锡贝塔</w:t>
      </w:r>
      <w:r>
        <w:rPr>
          <w:rFonts w:hint="default" w:ascii="Times New Roman" w:hAnsi="Times New Roman" w:eastAsia="宋体" w:cs="Times New Roman"/>
          <w:szCs w:val="21"/>
          <w:lang w:bidi="ar"/>
        </w:rPr>
        <w:t>或其子公司缴纳社会保险，上述情况不符合激励计划核心资格标准股。</w:t>
      </w:r>
    </w:p>
    <w:p w14:paraId="3AEC333E">
      <w:pPr>
        <w:autoSpaceDE w:val="0"/>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建议公司</w:t>
      </w:r>
      <w:r>
        <w:rPr>
          <w:rFonts w:hint="default" w:ascii="Times New Roman" w:hAnsi="Times New Roman" w:cs="Times New Roman"/>
          <w:szCs w:val="21"/>
          <w:lang w:val="en-US" w:eastAsia="zh-CN" w:bidi="ar"/>
        </w:rPr>
        <w:t>依照相应制度对员工进行激励</w:t>
      </w:r>
      <w:r>
        <w:rPr>
          <w:rFonts w:hint="default" w:ascii="Times New Roman" w:hAnsi="Times New Roman" w:eastAsia="宋体" w:cs="Times New Roman"/>
          <w:szCs w:val="21"/>
          <w:lang w:bidi="ar"/>
        </w:rPr>
        <w:t>。</w:t>
      </w:r>
    </w:p>
    <w:p w14:paraId="0EEA8D4D">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bidi="ar"/>
        </w:rPr>
      </w:pPr>
      <w:bookmarkStart w:id="26" w:name="_Toc8922"/>
      <w:r>
        <w:rPr>
          <w:rFonts w:hint="default" w:ascii="Times New Roman" w:hAnsi="Times New Roman" w:eastAsia="宋体" w:cs="Times New Roman"/>
          <w:b/>
          <w:bCs/>
          <w:szCs w:val="21"/>
          <w:lang w:eastAsia="zh" w:bidi="ar"/>
        </w:rPr>
        <w:t>股份</w:t>
      </w:r>
      <w:r>
        <w:rPr>
          <w:rFonts w:hint="default" w:ascii="Times New Roman" w:hAnsi="Times New Roman" w:eastAsia="宋体" w:cs="Times New Roman"/>
          <w:b/>
          <w:bCs/>
          <w:szCs w:val="21"/>
          <w:lang w:bidi="ar"/>
        </w:rPr>
        <w:t>支付费用计提不充分</w:t>
      </w:r>
      <w:bookmarkEnd w:id="26"/>
    </w:p>
    <w:p w14:paraId="573B8D73">
      <w:pPr>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在尽职调查过程中，我们对</w:t>
      </w:r>
      <w:r>
        <w:rPr>
          <w:rFonts w:hint="default" w:ascii="Times New Roman" w:hAnsi="Times New Roman" w:eastAsia="宋体" w:cs="Times New Roman"/>
          <w:szCs w:val="21"/>
          <w:lang w:eastAsia="zh" w:bidi="ar"/>
        </w:rPr>
        <w:t>公司</w:t>
      </w:r>
      <w:r>
        <w:rPr>
          <w:rFonts w:hint="default" w:ascii="Times New Roman" w:hAnsi="Times New Roman" w:eastAsia="宋体" w:cs="Times New Roman"/>
          <w:szCs w:val="21"/>
          <w:lang w:bidi="ar"/>
        </w:rPr>
        <w:t>确认的股份支付费用进行了复核。我们注意到，公司虽</w:t>
      </w:r>
      <w:r>
        <w:rPr>
          <w:rFonts w:hint="default" w:ascii="Times New Roman" w:hAnsi="Times New Roman" w:eastAsia="宋体" w:cs="Times New Roman"/>
          <w:szCs w:val="21"/>
          <w:lang w:eastAsia="zh" w:bidi="ar"/>
        </w:rPr>
        <w:t>已</w:t>
      </w:r>
      <w:r>
        <w:rPr>
          <w:rFonts w:hint="default" w:ascii="Times New Roman" w:hAnsi="Times New Roman" w:eastAsia="宋体" w:cs="Times New Roman"/>
          <w:szCs w:val="21"/>
          <w:lang w:bidi="ar"/>
        </w:rPr>
        <w:t>对</w:t>
      </w:r>
      <w:r>
        <w:rPr>
          <w:rFonts w:hint="default" w:ascii="Times New Roman" w:hAnsi="Times New Roman" w:eastAsia="宋体" w:cs="Times New Roman"/>
          <w:szCs w:val="21"/>
          <w:lang w:eastAsia="zh" w:bidi="ar"/>
        </w:rPr>
        <w:t>两次员工</w:t>
      </w:r>
      <w:r>
        <w:rPr>
          <w:rFonts w:hint="default" w:ascii="Times New Roman" w:hAnsi="Times New Roman" w:eastAsia="宋体" w:cs="Times New Roman"/>
          <w:szCs w:val="21"/>
          <w:lang w:bidi="ar"/>
        </w:rPr>
        <w:t>股权激励计划计提了股份支付费用，但</w:t>
      </w:r>
      <w:r>
        <w:rPr>
          <w:rFonts w:hint="default" w:ascii="Times New Roman" w:hAnsi="Times New Roman" w:eastAsia="宋体" w:cs="Times New Roman"/>
          <w:szCs w:val="21"/>
          <w:lang w:eastAsia="zh" w:bidi="ar"/>
        </w:rPr>
        <w:t>我们</w:t>
      </w:r>
      <w:r>
        <w:rPr>
          <w:rFonts w:hint="default" w:ascii="Times New Roman" w:hAnsi="Times New Roman" w:eastAsia="宋体" w:cs="Times New Roman"/>
          <w:szCs w:val="21"/>
          <w:lang w:bidi="ar"/>
        </w:rPr>
        <w:t>独立测算金额与公司账面计提金额存在</w:t>
      </w:r>
      <w:r>
        <w:rPr>
          <w:rFonts w:hint="default" w:ascii="Times New Roman" w:hAnsi="Times New Roman" w:eastAsia="宋体" w:cs="Times New Roman"/>
          <w:szCs w:val="21"/>
          <w:lang w:eastAsia="zh" w:bidi="ar"/>
        </w:rPr>
        <w:t>较大</w:t>
      </w:r>
      <w:r>
        <w:rPr>
          <w:rFonts w:hint="default" w:ascii="Times New Roman" w:hAnsi="Times New Roman" w:eastAsia="宋体" w:cs="Times New Roman"/>
          <w:szCs w:val="21"/>
          <w:lang w:bidi="ar"/>
        </w:rPr>
        <w:t>差异。</w:t>
      </w:r>
    </w:p>
    <w:p w14:paraId="497904B8">
      <w:pPr>
        <w:spacing w:line="360" w:lineRule="auto"/>
        <w:ind w:firstLine="480" w:firstLineChars="200"/>
        <w:rPr>
          <w:rFonts w:hint="default" w:ascii="Times New Roman" w:hAnsi="Times New Roman" w:eastAsia="宋体" w:cs="Times New Roman"/>
          <w:szCs w:val="21"/>
          <w:lang w:val="en-US" w:eastAsia="zh-CN" w:bidi="ar"/>
        </w:rPr>
      </w:pPr>
      <w:r>
        <w:rPr>
          <w:rFonts w:hint="default" w:ascii="Times New Roman" w:hAnsi="Times New Roman" w:cs="Times New Roman"/>
          <w:szCs w:val="21"/>
          <w:lang w:val="en-US" w:eastAsia="zh-CN" w:bidi="ar"/>
        </w:rPr>
        <w:t>应对：建立规范流程，制定一套完整、规范的股份支付会计核算流程，明确从股份支付计划的批准、授予、等待期到行权等各个环节的会计处理方法和时间节点。</w:t>
      </w:r>
    </w:p>
    <w:p w14:paraId="72AF87B7">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27" w:name="_Toc23948"/>
      <w:r>
        <w:rPr>
          <w:rFonts w:hint="default" w:ascii="Times New Roman" w:hAnsi="Times New Roman" w:eastAsia="宋体" w:cs="Times New Roman"/>
          <w:b/>
          <w:bCs/>
          <w:szCs w:val="21"/>
          <w:lang w:eastAsia="zh" w:bidi="ar"/>
        </w:rPr>
        <w:t>大股东资金占用</w:t>
      </w:r>
      <w:bookmarkEnd w:id="27"/>
    </w:p>
    <w:p w14:paraId="6A07A396">
      <w:pPr>
        <w:autoSpaceDE w:val="0"/>
        <w:spacing w:line="360" w:lineRule="auto"/>
        <w:ind w:firstLine="480" w:firstLineChars="200"/>
        <w:rPr>
          <w:rFonts w:hint="default" w:ascii="Times New Roman" w:hAnsi="Times New Roman" w:cs="Times New Roman"/>
          <w:szCs w:val="21"/>
          <w:lang w:val="en-US" w:eastAsia="zh-CN" w:bidi="ar"/>
        </w:rPr>
      </w:pPr>
      <w:r>
        <w:rPr>
          <w:rFonts w:hint="default" w:ascii="Times New Roman" w:hAnsi="Times New Roman" w:cs="Times New Roman"/>
          <w:szCs w:val="21"/>
          <w:lang w:eastAsia="zh-CN" w:bidi="ar"/>
        </w:rPr>
        <w:t>2021年7月20日</w:t>
      </w:r>
      <w:r>
        <w:rPr>
          <w:rFonts w:hint="default" w:ascii="Times New Roman" w:hAnsi="Times New Roman" w:eastAsia="宋体" w:cs="Times New Roman"/>
          <w:szCs w:val="21"/>
          <w:lang w:bidi="ar"/>
        </w:rPr>
        <w:t>无锡贝塔与滨江澄源签订的股权转让协议-补充协议，协议约定无锡贝塔于2024年12月31日之前完成首次公开发行股票申请并被受理，由于公司2024年12月31日未完成该项对赌条款，触发回购条款，由实际控制人李刚履行股权回购义务，回购利率10%/年；</w:t>
      </w:r>
      <w:r>
        <w:rPr>
          <w:rFonts w:hint="default" w:ascii="Times New Roman" w:hAnsi="Times New Roman" w:cs="Times New Roman"/>
          <w:szCs w:val="21"/>
          <w:lang w:eastAsia="zh-CN" w:bidi="ar"/>
        </w:rPr>
        <w:t>2025年1月</w:t>
      </w:r>
      <w:r>
        <w:rPr>
          <w:rFonts w:hint="default" w:ascii="Times New Roman" w:hAnsi="Times New Roman" w:eastAsia="宋体" w:cs="Times New Roman"/>
          <w:szCs w:val="21"/>
          <w:lang w:bidi="ar"/>
        </w:rPr>
        <w:t>依据无锡贝塔与滨江澄源、李刚、江阴锦阳企业管理合伙企业（有限合伙）（以下简称江阴锦阳）签订的《四方协议书》，无锡贝塔代李刚个人支付滨江澄源回购履约保证金1,313.80万元。截至尽调基准日，未完成回购义务，形成资金占用。经企业人员反映，滨江澄源将继续持有无锡贝塔2.479%股份，不再要求实控人进行回购。</w:t>
      </w:r>
      <w:r>
        <w:rPr>
          <w:rFonts w:hint="default" w:ascii="Times New Roman" w:hAnsi="Times New Roman" w:cs="Times New Roman"/>
          <w:szCs w:val="21"/>
          <w:lang w:val="en-US" w:eastAsia="zh-CN" w:bidi="ar"/>
        </w:rPr>
        <w:tab/>
      </w:r>
    </w:p>
    <w:p w14:paraId="0BA131DF">
      <w:pPr>
        <w:autoSpaceDE w:val="0"/>
        <w:spacing w:line="360" w:lineRule="auto"/>
        <w:ind w:firstLine="480" w:firstLineChars="200"/>
        <w:rPr>
          <w:rFonts w:hint="default" w:ascii="Times New Roman" w:hAnsi="Times New Roman" w:cs="Times New Roman"/>
          <w:szCs w:val="21"/>
          <w:lang w:val="en-US" w:eastAsia="zh-CN" w:bidi="ar"/>
        </w:rPr>
      </w:pPr>
      <w:r>
        <w:rPr>
          <w:rFonts w:hint="default" w:ascii="Times New Roman" w:hAnsi="Times New Roman" w:cs="Times New Roman"/>
          <w:szCs w:val="21"/>
          <w:lang w:val="en-US" w:eastAsia="zh-CN" w:bidi="ar"/>
        </w:rPr>
        <w:t>应对：李刚在收回该笔</w:t>
      </w:r>
      <w:r>
        <w:rPr>
          <w:rFonts w:hint="default" w:ascii="Times New Roman" w:hAnsi="Times New Roman" w:eastAsia="宋体" w:cs="Times New Roman"/>
          <w:szCs w:val="21"/>
          <w:lang w:bidi="ar"/>
        </w:rPr>
        <w:t>保证金退款</w:t>
      </w:r>
      <w:r>
        <w:rPr>
          <w:rFonts w:hint="default" w:ascii="Times New Roman" w:hAnsi="Times New Roman" w:cs="Times New Roman"/>
          <w:szCs w:val="21"/>
          <w:lang w:val="en-US" w:eastAsia="zh-CN" w:bidi="ar"/>
        </w:rPr>
        <w:t>后将归还公司款项，建议将解除大股东资金占用作为交割先决条件。</w:t>
      </w:r>
    </w:p>
    <w:p w14:paraId="286DB66D">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28" w:name="_Toc27171"/>
      <w:r>
        <w:rPr>
          <w:rFonts w:hint="default" w:ascii="Times New Roman" w:hAnsi="Times New Roman" w:eastAsia="宋体" w:cs="Times New Roman"/>
          <w:b/>
          <w:bCs/>
          <w:szCs w:val="21"/>
          <w:lang w:eastAsia="zh" w:bidi="ar"/>
        </w:rPr>
        <w:t>股东控制人存在关联关系</w:t>
      </w:r>
      <w:bookmarkEnd w:id="28"/>
    </w:p>
    <w:p w14:paraId="13FC40DA">
      <w:pPr>
        <w:autoSpaceDE w:val="0"/>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通过“天眼查”等公开网站，我们查询到上海凯天实业、共青城嘉皓、共青城逸晟存在以实际控制人为核心的关联关系，共青城逸晟与共青城嘉皓的电话（021-63845349）与地址（江西省九江市共青城市基金小镇内）是一致的。其中上海凯天实业由邓涵尹（持股70%）、邓又瑄（持股30%）共同控制，邓涵尹为该公司实际控制人，共青城嘉皓作为邓涵尹控制的共青城系投资平台之一，其认缴出资1,400万元（占比35%），为最大单一股东，执行事务合伙人为邓方俊；共青城逸晟与前述主体同属邓涵尹实际控制的投资平台体系，核心控制及管理架构与共青城嘉皓投资具有一致性，三者通过实际控制人交叉控制及共青城系投资平台协同形成关联关系。且共青城嘉皓存在股权冻结，存在风险。</w:t>
      </w:r>
    </w:p>
    <w:p w14:paraId="481C91D9">
      <w:pPr>
        <w:autoSpaceDE w:val="0"/>
        <w:spacing w:line="360" w:lineRule="auto"/>
        <w:ind w:firstLine="480" w:firstLineChars="200"/>
        <w:rPr>
          <w:rFonts w:hint="default" w:ascii="Times New Roman" w:hAnsi="Times New Roman" w:eastAsia="宋体" w:cs="Times New Roman"/>
          <w:szCs w:val="21"/>
          <w:lang w:bidi="ar"/>
        </w:rPr>
      </w:pPr>
      <w:r>
        <w:rPr>
          <w:rFonts w:hint="default" w:ascii="Times New Roman" w:hAnsi="Times New Roman" w:cs="Times New Roman"/>
          <w:szCs w:val="21"/>
          <w:lang w:val="en-US" w:eastAsia="zh-CN" w:bidi="ar"/>
        </w:rPr>
        <w:t>应对：公司近期通过股东会，</w:t>
      </w:r>
      <w:r>
        <w:rPr>
          <w:rFonts w:hint="default" w:ascii="Times New Roman" w:hAnsi="Times New Roman" w:eastAsia="宋体" w:cs="Times New Roman"/>
          <w:szCs w:val="21"/>
          <w:lang w:bidi="ar"/>
        </w:rPr>
        <w:t>同意共青城嘉皓投资合伙企业（有限合伙）以人民币4460.851233万元的价格转让无锡贝塔医药科技有限公司10.4730%股权给长沙碳森企业管理合伙企业（有限合伙）。</w:t>
      </w:r>
      <w:r>
        <w:rPr>
          <w:rFonts w:hint="default" w:ascii="Times New Roman" w:hAnsi="Times New Roman" w:cs="Times New Roman"/>
          <w:szCs w:val="21"/>
          <w:lang w:val="en-US" w:eastAsia="zh-CN" w:bidi="ar"/>
        </w:rPr>
        <w:t>该次转让将化解</w:t>
      </w:r>
      <w:r>
        <w:rPr>
          <w:rFonts w:hint="default" w:ascii="Times New Roman" w:hAnsi="Times New Roman" w:eastAsia="宋体" w:cs="Times New Roman"/>
          <w:szCs w:val="21"/>
          <w:lang w:bidi="ar"/>
        </w:rPr>
        <w:t>共青城嘉皓</w:t>
      </w:r>
      <w:r>
        <w:rPr>
          <w:rFonts w:hint="default" w:ascii="Times New Roman" w:hAnsi="Times New Roman" w:cs="Times New Roman"/>
          <w:szCs w:val="21"/>
          <w:lang w:val="en-US" w:eastAsia="zh-CN" w:bidi="ar"/>
        </w:rPr>
        <w:t>的</w:t>
      </w:r>
      <w:r>
        <w:rPr>
          <w:rFonts w:hint="default" w:ascii="Times New Roman" w:hAnsi="Times New Roman" w:eastAsia="宋体" w:cs="Times New Roman"/>
          <w:szCs w:val="21"/>
          <w:lang w:bidi="ar"/>
        </w:rPr>
        <w:t>股权冻结风险</w:t>
      </w:r>
      <w:r>
        <w:rPr>
          <w:rFonts w:hint="default" w:ascii="Times New Roman" w:hAnsi="Times New Roman" w:cs="Times New Roman"/>
          <w:szCs w:val="21"/>
          <w:lang w:eastAsia="zh-CN" w:bidi="ar"/>
        </w:rPr>
        <w:t>。</w:t>
      </w:r>
    </w:p>
    <w:p w14:paraId="4F50A916">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29" w:name="_Toc24649"/>
      <w:r>
        <w:rPr>
          <w:rFonts w:hint="default" w:ascii="Times New Roman" w:hAnsi="Times New Roman" w:eastAsia="宋体" w:cs="Times New Roman"/>
          <w:b/>
          <w:bCs/>
          <w:szCs w:val="21"/>
          <w:lang w:eastAsia="zh" w:bidi="ar"/>
        </w:rPr>
        <w:t>股东结构的不确定性</w:t>
      </w:r>
      <w:bookmarkEnd w:id="29"/>
      <w:r>
        <w:rPr>
          <w:rFonts w:hint="default" w:ascii="Times New Roman" w:hAnsi="Times New Roman" w:eastAsia="宋体" w:cs="Times New Roman"/>
          <w:b/>
          <w:bCs/>
          <w:szCs w:val="21"/>
          <w:lang w:val="en-US" w:eastAsia="zh-CN" w:bidi="ar"/>
        </w:rPr>
        <w:t xml:space="preserve"> </w:t>
      </w:r>
    </w:p>
    <w:p w14:paraId="64738C2E">
      <w:pPr>
        <w:numPr>
          <w:ilvl w:val="0"/>
          <w:numId w:val="8"/>
        </w:numPr>
        <w:autoSpaceDE w:val="0"/>
        <w:spacing w:line="360" w:lineRule="auto"/>
        <w:outlineLvl w:val="9"/>
        <w:rPr>
          <w:rFonts w:hint="default" w:ascii="Times New Roman" w:hAnsi="Times New Roman" w:eastAsia="宋体" w:cs="Times New Roman"/>
          <w:b/>
          <w:bCs/>
          <w:szCs w:val="21"/>
          <w:lang w:bidi="ar"/>
        </w:rPr>
      </w:pPr>
      <w:r>
        <w:rPr>
          <w:rFonts w:hint="default" w:ascii="Times New Roman" w:hAnsi="Times New Roman" w:eastAsia="宋体" w:cs="Times New Roman"/>
          <w:b/>
          <w:bCs/>
          <w:szCs w:val="21"/>
          <w:lang w:bidi="ar"/>
        </w:rPr>
        <w:t>股东南方建设集团</w:t>
      </w:r>
      <w:r>
        <w:rPr>
          <w:rFonts w:hint="default" w:ascii="Times New Roman" w:hAnsi="Times New Roman" w:eastAsia="宋体" w:cs="Times New Roman"/>
          <w:b/>
          <w:bCs/>
          <w:szCs w:val="21"/>
          <w:lang w:val="en-US" w:eastAsia="zh-CN" w:bidi="ar"/>
        </w:rPr>
        <w:t>正在破产清算</w:t>
      </w:r>
      <w:r>
        <w:rPr>
          <w:rFonts w:hint="default" w:ascii="Times New Roman" w:hAnsi="Times New Roman" w:eastAsia="宋体" w:cs="Times New Roman"/>
          <w:b/>
          <w:bCs/>
          <w:szCs w:val="21"/>
          <w:lang w:bidi="ar"/>
        </w:rPr>
        <w:t>与司法拍卖</w:t>
      </w:r>
    </w:p>
    <w:p w14:paraId="3FD59CB9">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经查询国家企业信用信息公示系统及人民法院诉讼资讯网，无锡贝塔股东</w:t>
      </w:r>
      <w:r>
        <w:rPr>
          <w:rFonts w:hint="default" w:ascii="Times New Roman" w:hAnsi="Times New Roman" w:eastAsia="宋体" w:cs="Times New Roman"/>
          <w:szCs w:val="21"/>
          <w:lang w:eastAsia="zh" w:bidi="ar"/>
        </w:rPr>
        <w:t>“</w:t>
      </w:r>
      <w:r>
        <w:rPr>
          <w:rFonts w:hint="default" w:ascii="Times New Roman" w:hAnsi="Times New Roman" w:eastAsia="宋体" w:cs="Times New Roman"/>
          <w:szCs w:val="21"/>
          <w:lang w:bidi="ar"/>
        </w:rPr>
        <w:t>江阴南方建设集团有限公司</w:t>
      </w:r>
      <w:r>
        <w:rPr>
          <w:rFonts w:hint="default" w:ascii="Times New Roman" w:hAnsi="Times New Roman" w:eastAsia="宋体" w:cs="Times New Roman"/>
          <w:szCs w:val="21"/>
          <w:lang w:eastAsia="zh" w:bidi="ar"/>
        </w:rPr>
        <w:t>”</w:t>
      </w:r>
      <w:r>
        <w:rPr>
          <w:rFonts w:hint="default" w:ascii="Times New Roman" w:hAnsi="Times New Roman" w:eastAsia="宋体" w:cs="Times New Roman"/>
          <w:szCs w:val="21"/>
          <w:lang w:bidi="ar"/>
        </w:rPr>
        <w:t>于</w:t>
      </w:r>
      <w:r>
        <w:rPr>
          <w:rFonts w:hint="default" w:ascii="Times New Roman" w:hAnsi="Times New Roman" w:cs="Times New Roman"/>
          <w:szCs w:val="21"/>
          <w:lang w:eastAsia="zh-CN" w:bidi="ar"/>
        </w:rPr>
        <w:t>1992年8月24日</w:t>
      </w:r>
      <w:r>
        <w:rPr>
          <w:rFonts w:hint="default" w:ascii="Times New Roman" w:hAnsi="Times New Roman" w:eastAsia="宋体" w:cs="Times New Roman"/>
          <w:szCs w:val="21"/>
          <w:lang w:bidi="ar"/>
        </w:rPr>
        <w:t>成立，营业期限至</w:t>
      </w:r>
      <w:r>
        <w:rPr>
          <w:rFonts w:hint="default" w:ascii="Times New Roman" w:hAnsi="Times New Roman" w:cs="Times New Roman"/>
          <w:szCs w:val="21"/>
          <w:lang w:eastAsia="zh-CN" w:bidi="ar"/>
        </w:rPr>
        <w:t>2023年1月7日</w:t>
      </w:r>
      <w:r>
        <w:rPr>
          <w:rFonts w:hint="default" w:ascii="Times New Roman" w:hAnsi="Times New Roman" w:eastAsia="宋体" w:cs="Times New Roman"/>
          <w:szCs w:val="21"/>
          <w:lang w:bidi="ar"/>
        </w:rPr>
        <w:t>，已于</w:t>
      </w:r>
      <w:r>
        <w:rPr>
          <w:rFonts w:hint="default" w:ascii="Times New Roman" w:hAnsi="Times New Roman" w:cs="Times New Roman"/>
          <w:szCs w:val="21"/>
          <w:lang w:eastAsia="zh-CN" w:bidi="ar"/>
        </w:rPr>
        <w:t>2023年1月16日</w:t>
      </w:r>
      <w:r>
        <w:rPr>
          <w:rFonts w:hint="default" w:ascii="Times New Roman" w:hAnsi="Times New Roman" w:eastAsia="宋体" w:cs="Times New Roman"/>
          <w:szCs w:val="21"/>
          <w:lang w:bidi="ar"/>
        </w:rPr>
        <w:t>清算备案，</w:t>
      </w:r>
      <w:r>
        <w:rPr>
          <w:rFonts w:hint="default" w:ascii="Times New Roman" w:hAnsi="Times New Roman" w:cs="Times New Roman"/>
          <w:szCs w:val="21"/>
          <w:lang w:eastAsia="zh-CN" w:bidi="ar"/>
        </w:rPr>
        <w:t>2025年6月3日</w:t>
      </w:r>
      <w:r>
        <w:rPr>
          <w:rFonts w:hint="default" w:ascii="Times New Roman" w:hAnsi="Times New Roman" w:eastAsia="宋体" w:cs="Times New Roman"/>
          <w:szCs w:val="21"/>
          <w:lang w:bidi="ar"/>
        </w:rPr>
        <w:t>发布破产拍卖公告，已进入破产清算程序。江阴南方持有的1.0211%股权目前公开渠道未查询到相关处置方式，该部分股权的最终归属存在不确定性。</w:t>
      </w:r>
    </w:p>
    <w:p w14:paraId="1FC7B1B3">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cs="Times New Roman"/>
          <w:szCs w:val="21"/>
          <w:lang w:val="en-US" w:eastAsia="zh-CN" w:bidi="ar"/>
        </w:rPr>
        <w:t>应对：公司近期通过股东会，</w:t>
      </w:r>
      <w:r>
        <w:rPr>
          <w:rFonts w:hint="default" w:ascii="Times New Roman" w:hAnsi="Times New Roman" w:eastAsia="宋体" w:cs="Times New Roman"/>
          <w:szCs w:val="21"/>
          <w:lang w:bidi="ar"/>
        </w:rPr>
        <w:t>同意股东江阴南方建设集团有限公司以人民币400万元的价格转让无锡贝塔医药科技有限公司1.0108%股权给江阴三众企业管理合伙企业（有限合伙）。</w:t>
      </w:r>
      <w:r>
        <w:rPr>
          <w:rFonts w:hint="default" w:ascii="Times New Roman" w:hAnsi="Times New Roman" w:cs="Times New Roman"/>
          <w:szCs w:val="21"/>
          <w:lang w:val="en-US" w:eastAsia="zh-CN" w:bidi="ar"/>
        </w:rPr>
        <w:t>该次转让将化解南方建设集团清算导致的</w:t>
      </w:r>
      <w:r>
        <w:rPr>
          <w:rFonts w:hint="default" w:ascii="Times New Roman" w:hAnsi="Times New Roman" w:eastAsia="宋体" w:cs="Times New Roman"/>
          <w:szCs w:val="21"/>
          <w:lang w:bidi="ar"/>
        </w:rPr>
        <w:t>股权</w:t>
      </w:r>
      <w:r>
        <w:rPr>
          <w:rFonts w:hint="default" w:ascii="Times New Roman" w:hAnsi="Times New Roman" w:cs="Times New Roman"/>
          <w:szCs w:val="21"/>
          <w:lang w:eastAsia="zh-CN" w:bidi="ar"/>
        </w:rPr>
        <w:t>。</w:t>
      </w:r>
    </w:p>
    <w:p w14:paraId="00EA4126">
      <w:pPr>
        <w:numPr>
          <w:ilvl w:val="0"/>
          <w:numId w:val="8"/>
        </w:numPr>
        <w:autoSpaceDE w:val="0"/>
        <w:spacing w:line="360" w:lineRule="auto"/>
        <w:outlineLvl w:val="9"/>
        <w:rPr>
          <w:rFonts w:hint="default" w:ascii="Times New Roman" w:hAnsi="Times New Roman" w:eastAsia="宋体" w:cs="Times New Roman"/>
          <w:b/>
          <w:bCs/>
          <w:szCs w:val="21"/>
          <w:lang w:bidi="ar"/>
        </w:rPr>
      </w:pPr>
      <w:r>
        <w:rPr>
          <w:rFonts w:hint="default" w:ascii="Times New Roman" w:hAnsi="Times New Roman" w:eastAsia="宋体" w:cs="Times New Roman"/>
          <w:b/>
          <w:bCs/>
          <w:szCs w:val="21"/>
          <w:lang w:bidi="ar"/>
        </w:rPr>
        <w:t>东方汇富</w:t>
      </w:r>
      <w:r>
        <w:rPr>
          <w:rFonts w:hint="default" w:ascii="Times New Roman" w:hAnsi="Times New Roman" w:eastAsia="宋体" w:cs="Times New Roman"/>
          <w:b/>
          <w:bCs/>
          <w:szCs w:val="21"/>
          <w:lang w:val="en-US" w:eastAsia="zh-CN" w:bidi="ar"/>
        </w:rPr>
        <w:t>系股东可能存在代持</w:t>
      </w:r>
    </w:p>
    <w:p w14:paraId="35D1FD69">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eastAsia="zh" w:bidi="ar"/>
        </w:rPr>
        <w:t>东方汇富投资控股有限公司</w:t>
      </w:r>
      <w:r>
        <w:rPr>
          <w:rFonts w:hint="default" w:ascii="Times New Roman" w:hAnsi="Times New Roman" w:eastAsia="宋体" w:cs="Times New Roman"/>
          <w:szCs w:val="21"/>
          <w:lang w:bidi="ar"/>
        </w:rPr>
        <w:t>（以下简称“东方汇富”）</w:t>
      </w:r>
      <w:r>
        <w:rPr>
          <w:rFonts w:hint="default" w:ascii="Times New Roman" w:hAnsi="Times New Roman" w:eastAsia="宋体" w:cs="Times New Roman"/>
          <w:szCs w:val="21"/>
          <w:lang w:eastAsia="zh" w:bidi="ar"/>
        </w:rPr>
        <w:t>前</w:t>
      </w:r>
      <w:r>
        <w:rPr>
          <w:rFonts w:hint="default" w:ascii="Times New Roman" w:hAnsi="Times New Roman" w:eastAsia="宋体" w:cs="Times New Roman"/>
          <w:szCs w:val="21"/>
          <w:lang w:bidi="ar"/>
        </w:rPr>
        <w:t>法人兼</w:t>
      </w:r>
      <w:r>
        <w:rPr>
          <w:rFonts w:hint="default" w:ascii="Times New Roman" w:hAnsi="Times New Roman" w:eastAsia="宋体" w:cs="Times New Roman"/>
          <w:szCs w:val="21"/>
          <w:lang w:eastAsia="zh" w:bidi="ar"/>
        </w:rPr>
        <w:t>总经理项立平</w:t>
      </w:r>
      <w:r>
        <w:rPr>
          <w:rFonts w:hint="default" w:ascii="Times New Roman" w:hAnsi="Times New Roman" w:eastAsia="宋体" w:cs="Times New Roman"/>
          <w:szCs w:val="21"/>
          <w:lang w:bidi="ar"/>
        </w:rPr>
        <w:t>于2020年11月至2022年12月期间累计受让</w:t>
      </w:r>
      <w:r>
        <w:rPr>
          <w:rFonts w:hint="default" w:ascii="Times New Roman" w:hAnsi="Times New Roman" w:eastAsia="宋体" w:cs="Times New Roman"/>
          <w:szCs w:val="21"/>
          <w:lang w:eastAsia="zh" w:bidi="ar"/>
        </w:rPr>
        <w:t>贝塔</w:t>
      </w:r>
      <w:r>
        <w:rPr>
          <w:rFonts w:hint="default" w:ascii="Times New Roman" w:hAnsi="Times New Roman" w:eastAsia="宋体" w:cs="Times New Roman"/>
          <w:szCs w:val="21"/>
          <w:lang w:bidi="ar"/>
        </w:rPr>
        <w:t>医药</w:t>
      </w:r>
      <w:r>
        <w:rPr>
          <w:rFonts w:hint="default" w:ascii="Times New Roman" w:hAnsi="Times New Roman" w:eastAsia="宋体" w:cs="Times New Roman"/>
          <w:szCs w:val="21"/>
          <w:lang w:eastAsia="zh" w:bidi="ar"/>
        </w:rPr>
        <w:t>3.02951%</w:t>
      </w:r>
      <w:r>
        <w:rPr>
          <w:rFonts w:hint="default" w:ascii="Times New Roman" w:hAnsi="Times New Roman" w:eastAsia="宋体" w:cs="Times New Roman"/>
          <w:szCs w:val="21"/>
          <w:lang w:bidi="ar"/>
        </w:rPr>
        <w:t>的股权，在与管理层访谈中了解到项立平个人持股实为代持，被代持方未知</w:t>
      </w:r>
      <w:r>
        <w:rPr>
          <w:rFonts w:hint="default" w:ascii="Times New Roman" w:hAnsi="Times New Roman" w:eastAsia="宋体" w:cs="Times New Roman"/>
          <w:szCs w:val="21"/>
          <w:lang w:eastAsia="zh" w:bidi="ar"/>
        </w:rPr>
        <w:t>；东方汇富前监事邓方俊同时为共青城嘉皓的执行事务合伙人，共青城嘉皓对贝塔持股13.10056%；东方汇富曾作为北海瑞以祺的普通合伙人、执行事务合伙人，当前北海瑞以祺对贝塔持股2.04696%</w:t>
      </w:r>
      <w:r>
        <w:rPr>
          <w:rFonts w:hint="default" w:ascii="Times New Roman" w:hAnsi="Times New Roman" w:eastAsia="宋体" w:cs="Times New Roman"/>
          <w:szCs w:val="21"/>
          <w:lang w:bidi="ar"/>
        </w:rPr>
        <w:t>，</w:t>
      </w:r>
      <w:r>
        <w:rPr>
          <w:rFonts w:hint="default" w:ascii="Times New Roman" w:hAnsi="Times New Roman" w:eastAsia="宋体" w:cs="Times New Roman"/>
          <w:szCs w:val="21"/>
          <w:lang w:eastAsia="zh" w:bidi="ar"/>
        </w:rPr>
        <w:t>合计持股18.17703%</w:t>
      </w:r>
      <w:r>
        <w:rPr>
          <w:rFonts w:hint="default" w:ascii="Times New Roman" w:hAnsi="Times New Roman" w:eastAsia="宋体" w:cs="Times New Roman"/>
          <w:szCs w:val="21"/>
          <w:lang w:bidi="ar"/>
        </w:rPr>
        <w:t>。东方汇富目前涉及多起诉讼，且无可执行财产，下属基金公司对外投资股权于2023年5月至2024年8月期间陆续被冻结30余家。2023年8月18日项立平、</w:t>
      </w:r>
      <w:r>
        <w:rPr>
          <w:rFonts w:hint="default" w:ascii="Times New Roman" w:hAnsi="Times New Roman" w:eastAsia="宋体" w:cs="Times New Roman"/>
          <w:szCs w:val="21"/>
          <w:lang w:eastAsia="zh" w:bidi="ar"/>
        </w:rPr>
        <w:t>邓方俊</w:t>
      </w:r>
      <w:r>
        <w:rPr>
          <w:rFonts w:hint="default" w:ascii="Times New Roman" w:hAnsi="Times New Roman" w:eastAsia="宋体" w:cs="Times New Roman"/>
          <w:szCs w:val="21"/>
          <w:lang w:bidi="ar"/>
        </w:rPr>
        <w:t>二人于同时辞任东方汇富总经理、监事一职，此二人于任职期间内代持贝塔医药股份，鉴于东方汇富持有的其它股权存在陆续被冻结情况，其持有的贝塔医药股权疑似存在被冻结的风险。</w:t>
      </w:r>
    </w:p>
    <w:p w14:paraId="27864786">
      <w:pPr>
        <w:autoSpaceDE w:val="0"/>
        <w:spacing w:line="360" w:lineRule="auto"/>
        <w:ind w:firstLine="480" w:firstLineChars="200"/>
        <w:outlineLvl w:val="9"/>
        <w:rPr>
          <w:rFonts w:hint="default" w:ascii="Times New Roman" w:hAnsi="Times New Roman" w:eastAsia="宋体" w:cs="Times New Roman"/>
          <w:szCs w:val="21"/>
          <w:lang w:val="en-US" w:bidi="ar"/>
        </w:rPr>
      </w:pPr>
      <w:r>
        <w:rPr>
          <w:rFonts w:hint="default" w:ascii="Times New Roman" w:hAnsi="Times New Roman" w:cs="Times New Roman"/>
          <w:szCs w:val="21"/>
          <w:lang w:val="en-US" w:eastAsia="zh-CN" w:bidi="ar"/>
        </w:rPr>
        <w:t>应对：建议由公司及全体原股东承诺公司股权清晰，不存在股权代持。如因存在股权代持导致公司上市受阻的，公司及实际控制人需承担回购义务。</w:t>
      </w:r>
    </w:p>
    <w:p w14:paraId="61BEF60A">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30" w:name="_Toc29761"/>
      <w:r>
        <w:rPr>
          <w:rFonts w:hint="default" w:ascii="Times New Roman" w:hAnsi="Times New Roman" w:eastAsia="宋体" w:cs="Times New Roman"/>
          <w:b/>
          <w:bCs/>
          <w:szCs w:val="21"/>
          <w:lang w:val="en-US" w:eastAsia="zh-CN" w:bidi="ar"/>
        </w:rPr>
        <w:t>公司</w:t>
      </w:r>
      <w:r>
        <w:rPr>
          <w:rFonts w:hint="default" w:ascii="Times New Roman" w:hAnsi="Times New Roman" w:eastAsia="宋体" w:cs="Times New Roman"/>
          <w:b/>
          <w:bCs/>
          <w:szCs w:val="21"/>
          <w:lang w:eastAsia="zh" w:bidi="ar"/>
        </w:rPr>
        <w:t>账务处理</w:t>
      </w:r>
      <w:r>
        <w:rPr>
          <w:rFonts w:hint="default" w:ascii="Times New Roman" w:hAnsi="Times New Roman" w:eastAsia="宋体" w:cs="Times New Roman"/>
          <w:b/>
          <w:bCs/>
          <w:szCs w:val="21"/>
          <w:lang w:val="en-US" w:eastAsia="zh-CN" w:bidi="ar"/>
        </w:rPr>
        <w:t>错误</w:t>
      </w:r>
      <w:bookmarkEnd w:id="30"/>
    </w:p>
    <w:p w14:paraId="75F1BDC3">
      <w:pPr>
        <w:numPr>
          <w:ilvl w:val="0"/>
          <w:numId w:val="9"/>
        </w:numPr>
        <w:autoSpaceDE w:val="0"/>
        <w:spacing w:line="360" w:lineRule="auto"/>
        <w:outlineLvl w:val="9"/>
        <w:rPr>
          <w:rFonts w:hint="default" w:ascii="Times New Roman" w:hAnsi="Times New Roman" w:eastAsia="宋体" w:cs="Times New Roman"/>
          <w:b/>
          <w:bCs/>
          <w:szCs w:val="21"/>
          <w:lang w:bidi="ar"/>
        </w:rPr>
      </w:pPr>
      <w:r>
        <w:rPr>
          <w:rFonts w:hint="default" w:ascii="Times New Roman" w:hAnsi="Times New Roman" w:eastAsia="宋体" w:cs="Times New Roman"/>
          <w:b/>
          <w:bCs/>
          <w:szCs w:val="21"/>
          <w:lang w:bidi="ar"/>
        </w:rPr>
        <w:t>关联方交易会计差错</w:t>
      </w:r>
    </w:p>
    <w:p w14:paraId="5609E3C4">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经核查，2025年无锡贝塔与长沙贝塔之间的关联方交易未充分确认。无锡贝塔向长沙贝塔销售原材料的收入少计2,249,311.50元，相应成本少计2,249,310.89元。该差错导致双方财务报表中的关联交易收入、成本及应收应付项目均未能公允反映，对合并层面虽损益影响微小，但影响了交易的完整性与合规性披露。</w:t>
      </w:r>
    </w:p>
    <w:p w14:paraId="40674BC5">
      <w:pPr>
        <w:autoSpaceDE w:val="0"/>
        <w:spacing w:line="360" w:lineRule="auto"/>
        <w:ind w:firstLine="480" w:firstLineChars="200"/>
        <w:outlineLvl w:val="9"/>
        <w:rPr>
          <w:rFonts w:hint="default" w:ascii="Times New Roman" w:hAnsi="Times New Roman" w:eastAsia="宋体" w:cs="Times New Roman"/>
          <w:szCs w:val="21"/>
          <w:lang w:val="en-US" w:bidi="ar"/>
        </w:rPr>
      </w:pPr>
      <w:r>
        <w:rPr>
          <w:rFonts w:hint="default" w:ascii="Times New Roman" w:hAnsi="Times New Roman" w:cs="Times New Roman"/>
          <w:szCs w:val="21"/>
          <w:lang w:val="en-US" w:eastAsia="zh-CN" w:bidi="ar"/>
        </w:rPr>
        <w:t>应对：建议公司及时修正差错。</w:t>
      </w:r>
    </w:p>
    <w:p w14:paraId="5473AEB1">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存货核算</w:t>
      </w:r>
    </w:p>
    <w:p w14:paraId="7501A9FE">
      <w:pPr>
        <w:numPr>
          <w:ilvl w:val="0"/>
          <w:numId w:val="10"/>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库存商品存在异常借方余额</w:t>
      </w:r>
    </w:p>
    <w:p w14:paraId="5BE3727A">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无锡贝塔2025年6月</w:t>
      </w:r>
      <w:r>
        <w:rPr>
          <w:rFonts w:hint="default" w:ascii="Times New Roman" w:hAnsi="Times New Roman" w:cs="Times New Roman"/>
          <w:szCs w:val="21"/>
          <w:lang w:val="en-US" w:eastAsia="zh-CN" w:bidi="ar"/>
        </w:rPr>
        <w:t>末</w:t>
      </w:r>
      <w:r>
        <w:rPr>
          <w:rFonts w:hint="default" w:ascii="Times New Roman" w:hAnsi="Times New Roman" w:eastAsia="宋体" w:cs="Times New Roman"/>
          <w:szCs w:val="21"/>
          <w:lang w:bidi="ar"/>
        </w:rPr>
        <w:t>“库存商品”科目出现598,230.00元的异常借方（负数）余额。经查，此问题主要源于收入确认政策的执行，公司在收到客户预付款后确认了销售收入，并按照固定的79%毛利率暂估了相应成本。由于该毛利率可能高于实际销售实现时的真实毛利率（或在暂估时点尚未发生真实成本），导致结转的主营业务成本大于（暂估）入库的实际库存成本（或入库不及时/不足），最终形成库存商品的异常借方（负数）余额。该核算方式不仅造成存货账面值失真，且高估了毛利与利润。</w:t>
      </w:r>
    </w:p>
    <w:p w14:paraId="3FABA03E">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企业进行账务调整，将基于预付款确认的所有相关收入及暂估成本全部冲回。重分类负债，将对应的预收款正确计入“合同负债”科目，仅在控制权转移时点（如产品交付并客户签收）确认收入，并按照实际成本或加权平均成本结转成本。​</w:t>
      </w:r>
    </w:p>
    <w:p w14:paraId="362F2FE8">
      <w:pPr>
        <w:numPr>
          <w:ilvl w:val="0"/>
          <w:numId w:val="10"/>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原材料账实差异</w:t>
      </w:r>
    </w:p>
    <w:p w14:paraId="4B4DB8C3">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经过业务流穿透测试发现公司财务账面原材料结存与实物库存存在重大差异，短缺金额为2,249,895.80元。该差异主要由以下未及时或未入账的发出业务导致：①2025年1月，向关联方长沙贝塔医药科技有限公司销售氰化钾-14C（5.85g，金额1,941,186.01元），货物已发出但公司财务直至尽调日仍未确认此笔成本结转与销售收入，而客户方已于4月入账。②2025年3月，向同一关联方销售苯胺-14C（4.456g，金额541,032.27元），公司财务延迟至6月方才入账，导致3月末存货账实不符，属于跨期入账，而客户方已于4月入账。③2025年5月，向同一关联方销售商品（金额308,124.88元），货物已发出但财务未进行任何账务处理，客户方已于6月入账。④2025年6月采购比财务账相差584.91元。</w:t>
      </w:r>
    </w:p>
    <w:p w14:paraId="7FB5F6BD">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上述第1项与第3项未入账业务，直接导致公司2025年1-6月财务报表中存货成本少计2,249,310.89元；营业收入与营业成本均相应少计同等金额。此情况表明公司存在严重的财务内控缺陷，特别是关联方交易的截止性认定存在重大偏差，导致上半年财务报表未能真实、公允地反映期间的经营成果与期末的财务状况。</w:t>
      </w:r>
    </w:p>
    <w:p w14:paraId="02C7B211">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建议立即进行账务调整</w:t>
      </w:r>
      <w:r>
        <w:rPr>
          <w:rFonts w:hint="default" w:ascii="Times New Roman" w:hAnsi="Times New Roman" w:cs="Times New Roman"/>
          <w:szCs w:val="21"/>
          <w:lang w:eastAsia="zh-CN" w:bidi="ar"/>
        </w:rPr>
        <w:t>，</w:t>
      </w:r>
      <w:r>
        <w:rPr>
          <w:rFonts w:hint="default" w:ascii="Times New Roman" w:hAnsi="Times New Roman" w:eastAsia="宋体" w:cs="Times New Roman"/>
          <w:szCs w:val="21"/>
          <w:lang w:bidi="ar"/>
        </w:rPr>
        <w:t>立即补确认2025年1月及5月的销售收入与成本，并相应结转库存商品成本。调整2025年6月的采购入库记录。确保所有业务在正确的会计期间反映。建立关联交易专项流程，明确关联方交易的审批、发货、开票、对账和入账时限，强制要求业务部门在发货后立即将单据传递至财务。实施月度对账与截止性测试，每月末与所有关联方就当期交易进行对账，取得对方确认的交易明细，作为入账依据。将财务部门纳入出货流程，所有货物出库（尤其是关联方）必须有财务人员审核或收到通知。</w:t>
      </w:r>
    </w:p>
    <w:p w14:paraId="4206DDF7">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成本核算</w:t>
      </w:r>
    </w:p>
    <w:p w14:paraId="1C7E1185">
      <w:pPr>
        <w:numPr>
          <w:ilvl w:val="0"/>
          <w:numId w:val="11"/>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违反权责发生制原则</w:t>
      </w:r>
    </w:p>
    <w:p w14:paraId="2B72DC0E">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经查公司部分成本采用收到发票时确认成本的方法。例如，对于中国科学院上海应用物理研究所的服务，于收到其发票后确认成本26.41万元，而非在服务发生或接受的当期进行预提或暂估，该处理方法与权责发生制原则存在差异。</w:t>
      </w:r>
    </w:p>
    <w:p w14:paraId="7070DC86">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建议立即进行账务调整，对本次发现的26.41万元成本以及所有同类情况，进行追溯调整，计入其实际应归属的会计期间，以确保本期及以往各期财务报表的公允性。建立并严格执行期末暂估流程，制定《期末费用暂估管理办法》，作为一项强制性的结账程序。要求所有业务部门在期末提交《已发生未结算费用清单》，由财务部门审核后进行账务处理。</w:t>
      </w:r>
    </w:p>
    <w:p w14:paraId="34C8FFE9">
      <w:pPr>
        <w:numPr>
          <w:ilvl w:val="0"/>
          <w:numId w:val="11"/>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会计科目核算错误</w:t>
      </w:r>
    </w:p>
    <w:p w14:paraId="3694A2BF">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经查，公司2023年至2025年6月期间存在会计科目核算错误，将应计入“其他业务成本”的支出计入“主营业务成本”中，金额分别为2023年8,543.50元、2024年7,287.00元及2025年1-6月3,451.00元。</w:t>
      </w:r>
    </w:p>
    <w:p w14:paraId="2657B7BE">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建议进行重分类调整，以公允反映主营业务的实际盈利水平。</w:t>
      </w:r>
    </w:p>
    <w:p w14:paraId="0E30BD62">
      <w:pPr>
        <w:numPr>
          <w:ilvl w:val="0"/>
          <w:numId w:val="11"/>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成本核算不合规</w:t>
      </w:r>
    </w:p>
    <w:p w14:paraId="7EDE0568">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经查，公司未遵循成本会计的配比与对象化原则。2023年发生的运费38,403.13元及奖金739,514.90元、2024年发生的运费28,859.84元及红冲待摊费用-1,150.38元</w:t>
      </w:r>
      <w:r>
        <w:rPr>
          <w:rFonts w:hint="default" w:ascii="Times New Roman" w:hAnsi="Times New Roman" w:cs="Times New Roman"/>
          <w:szCs w:val="21"/>
          <w:lang w:eastAsia="zh-CN" w:bidi="ar"/>
        </w:rPr>
        <w:t>，以及</w:t>
      </w:r>
      <w:r>
        <w:rPr>
          <w:rFonts w:hint="default" w:ascii="Times New Roman" w:hAnsi="Times New Roman" w:eastAsia="宋体" w:cs="Times New Roman"/>
          <w:szCs w:val="21"/>
          <w:lang w:bidi="ar"/>
        </w:rPr>
        <w:t>2025年1-6月发生的运费76,289.03元，均被直接计入当期损益，未按受益产品进行归集与分配。该做法导致个别产品成本核算不准确。</w:t>
      </w:r>
    </w:p>
    <w:p w14:paraId="26825873">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如有可能，应尝试获取历史数据，按照正确的成本核算方法重新计算各主要产品的历史成本与毛利，以评估此问题对历史经营决策的实际影响程度。要求财务人员深入业务流程，了解费用发生的动因，确保成本核算的准确性。</w:t>
      </w:r>
    </w:p>
    <w:p w14:paraId="7187FC61">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研发支出资本化时点判断不当</w:t>
      </w:r>
    </w:p>
    <w:p w14:paraId="08EA15D2">
      <w:pPr>
        <w:numPr>
          <w:ilvl w:val="0"/>
          <w:numId w:val="12"/>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无锡贝塔研发费用计入“在产品”科目不当，存在高估资产及低估期间费用风险</w:t>
      </w:r>
      <w:r>
        <w:rPr>
          <w:rFonts w:hint="default" w:ascii="Times New Roman" w:hAnsi="Times New Roman" w:eastAsia="宋体" w:cs="Times New Roman"/>
          <w:szCs w:val="21"/>
          <w:lang w:eastAsia="zh" w:bidi="ar"/>
        </w:rPr>
        <w:t>。</w:t>
      </w:r>
    </w:p>
    <w:p w14:paraId="1753C114">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经查，截至2024年末“在产品”余额1,623,344.03元中，包含 1,440,027.24元的核药研发支出。截至2025年6月末“在产品”余额 5,787,159.90元中，包含 4,169,593.47元的核药研发支出。该部分核药研发支出的首次发生时间为2024年3月。</w:t>
      </w:r>
    </w:p>
    <w:tbl>
      <w:tblPr>
        <w:tblStyle w:val="35"/>
        <w:tblW w:w="4998" w:type="pct"/>
        <w:tblInd w:w="0" w:type="dxa"/>
        <w:tblLayout w:type="autofit"/>
        <w:tblCellMar>
          <w:top w:w="0" w:type="dxa"/>
          <w:left w:w="108" w:type="dxa"/>
          <w:bottom w:w="0" w:type="dxa"/>
          <w:right w:w="108" w:type="dxa"/>
        </w:tblCellMar>
      </w:tblPr>
      <w:tblGrid>
        <w:gridCol w:w="2570"/>
        <w:gridCol w:w="1809"/>
        <w:gridCol w:w="2148"/>
        <w:gridCol w:w="1987"/>
      </w:tblGrid>
      <w:tr w14:paraId="56A7497A">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22E10E">
            <w:pPr>
              <w:widowControl/>
              <w:jc w:val="center"/>
              <w:textAlignment w:val="center"/>
              <w:outlineLvl w:val="9"/>
              <w:rPr>
                <w:rFonts w:hint="default" w:ascii="Times New Roman" w:hAnsi="Times New Roman" w:eastAsia="宋体" w:cs="Times New Roman"/>
                <w:b/>
                <w:bCs/>
                <w:color w:val="000000"/>
                <w:sz w:val="18"/>
                <w:szCs w:val="18"/>
              </w:rPr>
            </w:pPr>
            <w:r>
              <w:rPr>
                <w:rFonts w:hint="default" w:ascii="Times New Roman" w:hAnsi="Times New Roman" w:eastAsia="宋体" w:cs="Times New Roman"/>
                <w:b/>
                <w:bCs/>
                <w:color w:val="000000"/>
                <w:kern w:val="0"/>
                <w:sz w:val="18"/>
                <w:szCs w:val="18"/>
                <w:lang w:bidi="ar"/>
              </w:rPr>
              <w:t>项目</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6C207FD2">
            <w:pPr>
              <w:widowControl/>
              <w:jc w:val="center"/>
              <w:textAlignment w:val="center"/>
              <w:outlineLvl w:val="9"/>
              <w:rPr>
                <w:rFonts w:hint="default" w:ascii="Times New Roman" w:hAnsi="Times New Roman" w:eastAsia="宋体" w:cs="Times New Roman"/>
                <w:b/>
                <w:bCs/>
                <w:color w:val="000000"/>
                <w:sz w:val="18"/>
                <w:szCs w:val="18"/>
              </w:rPr>
            </w:pPr>
            <w:r>
              <w:rPr>
                <w:rFonts w:hint="default" w:ascii="Times New Roman" w:hAnsi="Times New Roman" w:eastAsia="宋体" w:cs="Times New Roman"/>
                <w:b/>
                <w:bCs/>
                <w:color w:val="000000"/>
                <w:kern w:val="0"/>
                <w:sz w:val="18"/>
                <w:szCs w:val="18"/>
                <w:lang w:bidi="ar"/>
              </w:rPr>
              <w:t>2024年</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35D47BCD">
            <w:pPr>
              <w:widowControl/>
              <w:jc w:val="center"/>
              <w:textAlignment w:val="center"/>
              <w:outlineLvl w:val="9"/>
              <w:rPr>
                <w:rFonts w:hint="default" w:ascii="Times New Roman" w:hAnsi="Times New Roman" w:eastAsia="宋体" w:cs="Times New Roman"/>
                <w:b/>
                <w:bCs/>
                <w:color w:val="000000"/>
                <w:sz w:val="18"/>
                <w:szCs w:val="18"/>
              </w:rPr>
            </w:pPr>
            <w:r>
              <w:rPr>
                <w:rFonts w:hint="default" w:ascii="Times New Roman" w:hAnsi="Times New Roman" w:eastAsia="宋体" w:cs="Times New Roman"/>
                <w:b/>
                <w:bCs/>
                <w:color w:val="000000"/>
                <w:kern w:val="0"/>
                <w:sz w:val="18"/>
                <w:szCs w:val="18"/>
                <w:lang w:bidi="ar"/>
              </w:rPr>
              <w:t>2025年1-6月</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339E3014">
            <w:pPr>
              <w:widowControl/>
              <w:jc w:val="center"/>
              <w:textAlignment w:val="center"/>
              <w:outlineLvl w:val="9"/>
              <w:rPr>
                <w:rFonts w:hint="default" w:ascii="Times New Roman" w:hAnsi="Times New Roman" w:eastAsia="宋体" w:cs="Times New Roman"/>
                <w:b/>
                <w:bCs/>
                <w:color w:val="000000"/>
                <w:sz w:val="18"/>
                <w:szCs w:val="18"/>
              </w:rPr>
            </w:pPr>
            <w:r>
              <w:rPr>
                <w:rFonts w:hint="default" w:ascii="Times New Roman" w:hAnsi="Times New Roman" w:eastAsia="宋体" w:cs="Times New Roman"/>
                <w:b/>
                <w:bCs/>
                <w:color w:val="000000"/>
                <w:kern w:val="0"/>
                <w:sz w:val="18"/>
                <w:szCs w:val="18"/>
                <w:lang w:bidi="ar"/>
              </w:rPr>
              <w:t>合计</w:t>
            </w:r>
          </w:p>
        </w:tc>
      </w:tr>
      <w:tr w14:paraId="6543C588">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AC1D5">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直接材料</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19AAF387">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86,122.10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4E4D5224">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1,203,858.75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07550F97">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1,289,980.85 </w:t>
            </w:r>
          </w:p>
        </w:tc>
      </w:tr>
      <w:tr w14:paraId="18F6EEB5">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DDCA7">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直接人工</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6D06E23C">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896,717.53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3C220378">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852,238.25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7FEBED2E">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1,748,955.78 </w:t>
            </w:r>
          </w:p>
        </w:tc>
      </w:tr>
      <w:tr w14:paraId="7271D0A1">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045EF">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制造费用</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5AF7B3CB">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208,775.88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6BB96802">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159,889.81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42D7F8D5">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368,665.69 </w:t>
            </w:r>
          </w:p>
        </w:tc>
      </w:tr>
      <w:tr w14:paraId="002EF992">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D94BF">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待摊费</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08201837">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164,411.13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524DABA1">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359,376.48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08BE1B6E">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523,787.61 </w:t>
            </w:r>
          </w:p>
        </w:tc>
      </w:tr>
      <w:tr w14:paraId="3EB030C8">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908C4">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社保和公积金公司部分</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32421FEC">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84,000.60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2DCF64FF">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91,663.31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08625053">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175,663.91 </w:t>
            </w:r>
          </w:p>
        </w:tc>
      </w:tr>
      <w:tr w14:paraId="05A60E9D">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C3E14">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测试费/检测费</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6FF63B70">
            <w:pPr>
              <w:outlineLvl w:val="9"/>
              <w:rPr>
                <w:rFonts w:hint="default" w:ascii="Times New Roman" w:hAnsi="Times New Roman" w:eastAsia="宋体" w:cs="Times New Roman"/>
                <w:color w:val="000000"/>
                <w:sz w:val="18"/>
                <w:szCs w:val="18"/>
              </w:rPr>
            </w:pP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54531E0A">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62,539.63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13B4441F">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62,539.63 </w:t>
            </w:r>
          </w:p>
        </w:tc>
      </w:tr>
      <w:tr w14:paraId="40E314A3">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B5D19">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合计</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537F6D89">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1,440,027.24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5A99F85C">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2,729,566.23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5FD9C839">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4,169,593.47 </w:t>
            </w:r>
          </w:p>
        </w:tc>
      </w:tr>
      <w:tr w14:paraId="4B119C82">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B9A90">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收入</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06856EFE">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19,958,640.85 </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47FFB03C">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 xml:space="preserve">6,120,346.17 </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3718BCD9">
            <w:pPr>
              <w:jc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lang w:bidi="ar"/>
              </w:rPr>
              <w:t>/</w:t>
            </w:r>
          </w:p>
        </w:tc>
      </w:tr>
      <w:tr w14:paraId="0F75E0ED">
        <w:tblPrEx>
          <w:tblCellMar>
            <w:top w:w="0" w:type="dxa"/>
            <w:left w:w="108" w:type="dxa"/>
            <w:bottom w:w="0" w:type="dxa"/>
            <w:right w:w="108" w:type="dxa"/>
          </w:tblCellMar>
        </w:tblPrEx>
        <w:trPr>
          <w:trHeight w:val="288" w:hRule="atLeast"/>
        </w:trPr>
        <w:tc>
          <w:tcPr>
            <w:tcW w:w="150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E1298">
            <w:pPr>
              <w:widowControl/>
              <w:jc w:val="lef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占比</w:t>
            </w:r>
          </w:p>
        </w:tc>
        <w:tc>
          <w:tcPr>
            <w:tcW w:w="1062" w:type="pct"/>
            <w:tcBorders>
              <w:top w:val="single" w:color="000000" w:sz="4" w:space="0"/>
              <w:left w:val="nil"/>
              <w:bottom w:val="single" w:color="000000" w:sz="4" w:space="0"/>
              <w:right w:val="single" w:color="000000" w:sz="4" w:space="0"/>
            </w:tcBorders>
            <w:shd w:val="clear" w:color="auto" w:fill="auto"/>
            <w:noWrap/>
            <w:vAlign w:val="center"/>
          </w:tcPr>
          <w:p w14:paraId="1A0C5C97">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7.22%</w:t>
            </w:r>
          </w:p>
        </w:tc>
        <w:tc>
          <w:tcPr>
            <w:tcW w:w="1261" w:type="pct"/>
            <w:tcBorders>
              <w:top w:val="single" w:color="000000" w:sz="4" w:space="0"/>
              <w:left w:val="nil"/>
              <w:bottom w:val="single" w:color="000000" w:sz="4" w:space="0"/>
              <w:right w:val="single" w:color="000000" w:sz="4" w:space="0"/>
            </w:tcBorders>
            <w:shd w:val="clear" w:color="auto" w:fill="auto"/>
            <w:noWrap/>
            <w:vAlign w:val="center"/>
          </w:tcPr>
          <w:p w14:paraId="6748BAA2">
            <w:pPr>
              <w:widowControl/>
              <w:jc w:val="right"/>
              <w:textAlignment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kern w:val="0"/>
                <w:sz w:val="18"/>
                <w:szCs w:val="18"/>
                <w:lang w:bidi="ar"/>
              </w:rPr>
              <w:t>44.60%</w:t>
            </w:r>
          </w:p>
        </w:tc>
        <w:tc>
          <w:tcPr>
            <w:tcW w:w="1166" w:type="pct"/>
            <w:tcBorders>
              <w:top w:val="single" w:color="000000" w:sz="4" w:space="0"/>
              <w:left w:val="nil"/>
              <w:bottom w:val="single" w:color="000000" w:sz="4" w:space="0"/>
              <w:right w:val="single" w:color="000000" w:sz="4" w:space="0"/>
            </w:tcBorders>
            <w:shd w:val="clear" w:color="auto" w:fill="auto"/>
            <w:noWrap/>
            <w:vAlign w:val="center"/>
          </w:tcPr>
          <w:p w14:paraId="6C2CD861">
            <w:pPr>
              <w:jc w:val="center"/>
              <w:outlineLvl w:val="9"/>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lang w:bidi="ar"/>
              </w:rPr>
              <w:t>/</w:t>
            </w:r>
          </w:p>
        </w:tc>
      </w:tr>
    </w:tbl>
    <w:p w14:paraId="384295ED">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该核算处理不符合会计准则：核药研发项目支出，本质上属于企业内部研究开发活动的投入，不构成产品的直接生产成本。根据《企业会计准则》相关规定，研究阶段的支出应在发生时费用化计入当期损益；开发阶段的支出只有在满足严格资本化条件（如技术可行性、有意图完成且使用/出售、有能力使用/出售、产生未来经济利益的方式、可靠计量等）时，方可进行资本化处理。从提供信息判断，这些核药研发支出应作为“开发支出”核算。在满足资本化条件前发生的支出，应计入管理费用（研究阶段）或研发费用（开发阶段费用化部分）；仅当且仅当同时满足所有资本化条件时，方可计入“开发支出”科目并按期进行摊销。将其计入“在产品”科目，一方面虚增了存货资产价值，另一方面延迟了相关费用的确认（即将这些支出资本化计入资产而非直接费用化），导致期间费用核算不准确，最终导致资产与利润信息失真。</w:t>
      </w:r>
    </w:p>
    <w:p w14:paraId="6D7E76EB">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建议立即进行账务重分类与调整，将“在产品”科目中的全部研发支出余额调出，严格依据上述五项资本化条件，逐项判断其阶段（研究/开发）及开发支出是否满足资本化条件。对于不满足资本化条件的支出，全额调整计入“研发费用”或“管理费用”，并相应调减当期利润。对于满足资本化条件的支出，重分类至“开发支出”科目。此差错属于重大会计差错，可能对2024年度及2025年中期财务报表产生重大影响。建议对前期财务报表进行追溯重述，以确保会计信息的可比性和公允性。​</w:t>
      </w:r>
    </w:p>
    <w:p w14:paraId="27A4FCB3">
      <w:pPr>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br w:type="page"/>
      </w:r>
    </w:p>
    <w:p w14:paraId="7F7F2515">
      <w:pPr>
        <w:numPr>
          <w:ilvl w:val="0"/>
          <w:numId w:val="12"/>
        </w:numPr>
        <w:autoSpaceDE w:val="0"/>
        <w:spacing w:line="360" w:lineRule="auto"/>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江苏金伯奇：研发支出应予以费用化处理而非资本化</w:t>
      </w:r>
    </w:p>
    <w:p w14:paraId="4BBE9076">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经查“在产品”余额是“尿素-13C同位素诊断试剂”项目的累计归集人工成本823,342.40元。该项目已于GMP环境下完成三批工艺验证及制剂生产，当前正处于注册申报所必需的质量研究与稳定性研究阶段（需完成6个月稳定性考察，目前已进行3个月）。根据公司预计，该产品最早将于2027年下半年获批上市。尽管该研发活动已进入后期阶段，但基于《企业会计准则》的谨慎性原则和划分阶段标准，我们认为该项支出应予以费用化处理。核心判断依据如下：该产品的</w:t>
      </w:r>
      <w:r>
        <w:rPr>
          <w:rFonts w:hint="default" w:ascii="Times New Roman" w:hAnsi="Times New Roman" w:cs="Times New Roman"/>
          <w:szCs w:val="21"/>
          <w:lang w:eastAsia="zh-CN" w:bidi="ar"/>
        </w:rPr>
        <w:t>注册</w:t>
      </w:r>
      <w:r>
        <w:rPr>
          <w:rFonts w:hint="default" w:ascii="Times New Roman" w:hAnsi="Times New Roman" w:eastAsia="宋体" w:cs="Times New Roman"/>
          <w:szCs w:val="21"/>
          <w:lang w:bidi="ar"/>
        </w:rPr>
        <w:t>资料尚未提交，药品注册证书的获批具有重大不确定性。根据准则，开发阶段支出需在技术可行性已达成</w:t>
      </w:r>
      <w:r>
        <w:rPr>
          <w:rFonts w:hint="default" w:ascii="Times New Roman" w:hAnsi="Times New Roman" w:cs="Times New Roman"/>
          <w:szCs w:val="21"/>
          <w:lang w:eastAsia="zh-CN" w:bidi="ar"/>
        </w:rPr>
        <w:t>且</w:t>
      </w:r>
      <w:r>
        <w:rPr>
          <w:rFonts w:hint="default" w:ascii="Times New Roman" w:hAnsi="Times New Roman" w:eastAsia="宋体" w:cs="Times New Roman"/>
          <w:szCs w:val="21"/>
          <w:lang w:bidi="ar"/>
        </w:rPr>
        <w:t>未来经济利益很可能流入企业时方能资本化。目前，该项目仍处于为获取注册批准而进行的必要研究阶段，相关支出旨在证明产品的安全性与稳定性，而非开发完成后可直接销售的资产，尚未满足资本化条件。</w:t>
      </w:r>
    </w:p>
    <w:p w14:paraId="68B8E60B">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支出性质属于研究阶段，稳定性研究是药品注册前研究阶段的必要组成部分，其</w:t>
      </w:r>
      <w:r>
        <w:rPr>
          <w:rFonts w:hint="default" w:ascii="Times New Roman" w:hAnsi="Times New Roman" w:cs="Times New Roman"/>
          <w:szCs w:val="21"/>
          <w:lang w:eastAsia="zh-CN" w:bidi="ar"/>
        </w:rPr>
        <w:t>目的是</w:t>
      </w:r>
      <w:r>
        <w:rPr>
          <w:rFonts w:hint="default" w:ascii="Times New Roman" w:hAnsi="Times New Roman" w:eastAsia="宋体" w:cs="Times New Roman"/>
          <w:szCs w:val="21"/>
          <w:lang w:bidi="ar"/>
        </w:rPr>
        <w:t>获取监管机构的批准，而非创造一项具有可直接使用价值的无形资产。因此，相关人工成本应计入当期研发费用。</w:t>
      </w:r>
    </w:p>
    <w:p w14:paraId="185E1269">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建议公司将项目的累计支出计入损益，并进行必要的财务数据追溯调整，以确保财务报表的合规性与准确性。</w:t>
      </w:r>
    </w:p>
    <w:p w14:paraId="6BF4F486">
      <w:pPr>
        <w:numPr>
          <w:ilvl w:val="0"/>
          <w:numId w:val="12"/>
        </w:numPr>
        <w:autoSpaceDE w:val="0"/>
        <w:spacing w:line="360" w:lineRule="auto"/>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无锡贝塔：将研发成功并投入使用的自研设备的相关支出全部费用化处理</w:t>
      </w:r>
    </w:p>
    <w:p w14:paraId="2F55A33B">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经查，研发项目中有三项已经在公司投入使用：①甲级非密封性工作场所放射性废液处理设备的开发与研制BR2022-104（BJ032）、②甲级非密封性工作场所二层热实验室手套箱设备的开发与研制BR2023-103（BS089）、③甲级非密封性工作场所二层冷实验室设备的开发BS081。设备已成功研发完成（“小试生成已完成”）并投入公司自用（“已装配到实验室试用”），显然已满足资本化条件。当前的费用化处理低估了公司当期利润和资产价值，影响了财务报表的公允性。2024年三项研发费用合计100.28万元，2025年三项研发费用合计50.06万元。</w:t>
      </w:r>
    </w:p>
    <w:p w14:paraId="0363CD27">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建议：对符合资本化条件的研发支出，予以资本化。</w:t>
      </w:r>
    </w:p>
    <w:p w14:paraId="26C205EB">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eastAsia="zh"/>
        </w:rPr>
        <w:t>收入确认</w:t>
      </w:r>
    </w:p>
    <w:p w14:paraId="7C69DD69">
      <w:pPr>
        <w:numPr>
          <w:ilvl w:val="0"/>
          <w:numId w:val="13"/>
        </w:numPr>
        <w:autoSpaceDE w:val="0"/>
        <w:spacing w:line="360" w:lineRule="auto"/>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技术服务收入：缺失关键性证据</w:t>
      </w:r>
    </w:p>
    <w:p w14:paraId="04600B92">
      <w:pPr>
        <w:autoSpaceDE w:val="0"/>
        <w:spacing w:line="360" w:lineRule="auto"/>
        <w:ind w:firstLine="480" w:firstLineChars="200"/>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经核查，公司对于部分基于技术合同确认的收入，其支持性文件中缺失关键性的“实物交付”证据。合同约定的验收条件通常包含“实物交付”与“质量报告提交”双重标准，而公司目前仅以“质量报告”作为收入确认的凭证。该做法不符合收入确认的“谨慎性”原则，可能导致收入在未完全满足合同所有义务前被提前确认，存在高估报告期内收入与利润的风险。</w:t>
      </w:r>
    </w:p>
    <w:p w14:paraId="73A88E44">
      <w:pPr>
        <w:autoSpaceDE w:val="0"/>
        <w:spacing w:line="360" w:lineRule="auto"/>
        <w:ind w:firstLine="480" w:firstLineChars="200"/>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建议公司严格执行“货（实物）权（资产）转移”与“质量报告交付”双凭证确认原则。所有技术合同收入必须在取得经双方签署的《实物交付验收单》及《质量报告验收报告》后，方可确认收入。</w:t>
      </w:r>
    </w:p>
    <w:p w14:paraId="2466C9AE">
      <w:pPr>
        <w:numPr>
          <w:ilvl w:val="0"/>
          <w:numId w:val="13"/>
        </w:numPr>
        <w:autoSpaceDE w:val="0"/>
        <w:spacing w:line="360" w:lineRule="auto"/>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原材料销售：收入确认证据链不完整</w:t>
      </w:r>
    </w:p>
    <w:p w14:paraId="1653DF2C">
      <w:pPr>
        <w:autoSpaceDE w:val="0"/>
        <w:spacing w:line="360" w:lineRule="auto"/>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出口原材料销售：缺失国际货运提单或客户签收单。</w:t>
      </w:r>
    </w:p>
    <w:p w14:paraId="2AA54EFC">
      <w:pPr>
        <w:autoSpaceDE w:val="0"/>
        <w:spacing w:line="360" w:lineRule="auto"/>
        <w:ind w:firstLine="480" w:firstLineChars="200"/>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国内原材料销售：主要是关联方长沙贝塔，收入确认证据链不完整，缺乏关键单据运单及客户签收单，交易的真实性、定价的公允性及商业实质无法得到验证。公司当前收入确认流程存在内部控制缺陷，未能获取并归档证明产品控制权转移的关键文件。</w:t>
      </w:r>
    </w:p>
    <w:p w14:paraId="22D3F5A3">
      <w:pPr>
        <w:autoSpaceDE w:val="0"/>
        <w:spacing w:line="360" w:lineRule="auto"/>
        <w:ind w:firstLine="480" w:firstLineChars="200"/>
        <w:outlineLvl w:val="9"/>
        <w:rPr>
          <w:rFonts w:hint="default" w:ascii="Times New Roman" w:hAnsi="Times New Roman" w:eastAsia="宋体" w:cs="Times New Roman"/>
          <w:szCs w:val="21"/>
          <w:lang w:eastAsia="zh" w:bidi="ar"/>
        </w:rPr>
      </w:pPr>
      <w:r>
        <w:rPr>
          <w:rFonts w:hint="default" w:ascii="Times New Roman" w:hAnsi="Times New Roman" w:eastAsia="宋体" w:cs="Times New Roman"/>
          <w:szCs w:val="21"/>
          <w:lang w:eastAsia="zh" w:bidi="ar"/>
        </w:rPr>
        <w:t>建议公司严格执行“凭证齐全方可确认收入”的原则，获取并检查运输、验收证据，对于关联方交易要评估定价公允性。</w:t>
      </w:r>
    </w:p>
    <w:p w14:paraId="38832AC2">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应付职工薪酬</w:t>
      </w:r>
    </w:p>
    <w:p w14:paraId="1B0C2554">
      <w:p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（1）应付职工薪酬科目核算存在核算错误</w:t>
      </w:r>
    </w:p>
    <w:p w14:paraId="3C00BA9E">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无锡贝塔以及江苏金伯奇工资及奖金采用了“计提-结转-发放”的三步流程，导致应付职工薪酬本期发生额被重复计算。无锡贝塔以及江苏金伯奇在计提工资时借记成本费用类科目，贷记“应付职工薪酬-应发工资”，结转时为借记“应付职工薪酬-应发工资”，贷记“应付职工薪酬-应付实发工资”，第二步结转工资实为冗余，这直接导致本期贷方发生额和借方发生额均被虚增。</w:t>
      </w:r>
    </w:p>
    <w:p w14:paraId="03041499">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建议公司优化公司科目体系，取消内部结转，简化明细科目，只设置应“应付职工薪酬-工资”，通过记账摘要（摘要写明计提与发放）来区分业务，并冲销以前年度结转分录，以反映真实的工资总额。</w:t>
      </w:r>
    </w:p>
    <w:p w14:paraId="4E96D2DA">
      <w:p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（2）职工福利费的会计处理上核算不规范</w:t>
      </w:r>
    </w:p>
    <w:p w14:paraId="0B23C18E">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根据会计准则，所有与职工相关的报酬、福利、津贴等，均应通过“应付职工薪酬”科目进行归集和核算，以完整、准确地反映企业应支付给职工的各项薪酬总额。尽调期间内无锡贝塔约有49.11万元、长沙贝塔约16.84万元、江苏金伯奇约有0.27万元福利费支出未通过应付职工薪酬核算，这一行为导致公司负债项目金额不完整，低估了公司的实际负债水平。且该行为存在税务风险，根据《中华人民共和国企业所得税法实施条例》第四十条的规定，企业发生的职工福利费支出，不超过工资薪金总额14% 的部分准予扣除，由于公司福利费未经应付职工薪酬和核算，福利费总额及其占工资总额的比例无法准确算出，导致可能存在超额列支而未能进行纳税调整的风险。</w:t>
      </w:r>
    </w:p>
    <w:p w14:paraId="75C50C38">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建议公司规范记账体系，与职工薪酬相关的福利费先在应付职工薪酬计提再支付，并就以前年度的职工福利费实际发生额进行统计，与税前扣除限额进行比对，如若存在超额扣除应主动进行纳税调整补缴相应税款及滞纳金。</w:t>
      </w:r>
    </w:p>
    <w:p w14:paraId="2372C3EB">
      <w:pPr>
        <w:numPr>
          <w:ilvl w:val="0"/>
          <w:numId w:val="14"/>
        </w:numPr>
        <w:autoSpaceDE w:val="0"/>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存在职工社保、公积金会计处理上核算错误</w:t>
      </w:r>
    </w:p>
    <w:p w14:paraId="04D2E6B7">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在财务尽调中发现无锡贝塔2022年度存在会计处理有误问题，将本应计入“社会保险费”及“住房公积金”科目的公司承担部分（合计11.21万元）错误地计入了“职工福利费”科目。该处理方式导致财务报表中成本结构失真，更可能因超出税法规定的职工福利费税前扣除限额（工资总额的14%），而在汇算清缴时面临纳税调增并补缴企业所得税的税务风险。</w:t>
      </w:r>
    </w:p>
    <w:p w14:paraId="29E9B3E1">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租赁会计处理有误</w:t>
      </w:r>
    </w:p>
    <w:p w14:paraId="05A67776">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在本次尽调过程中，我们发现江苏金伯奇对其租赁业务的会计处理未能遵循财政部2018年发布的《企业会计准则第21号—租赁》（以下简称“新租赁准则”）的相关规定。根据新租赁准则的要求，所有租赁（除短期租赁和低价值资产租赁外）均应确认“使用权资产”和“租赁负债”。然而，江苏金伯奇仍沿用旧准则的处理方式，将租赁付款额在支付时直接计入当期损益，未在资产负债表内确认相应的资产和负债。为量化该事项的影响，我们基于已获取的租赁合同，进行了测算。关键测算数据如下：</w:t>
      </w:r>
    </w:p>
    <w:tbl>
      <w:tblPr>
        <w:tblStyle w:val="3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0"/>
        <w:gridCol w:w="3056"/>
        <w:gridCol w:w="2638"/>
      </w:tblGrid>
      <w:tr w14:paraId="0F8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trPr>
        <w:tc>
          <w:tcPr>
            <w:tcW w:w="1656" w:type="pct"/>
            <w:tcBorders>
              <w:top w:val="single" w:color="auto" w:sz="4" w:space="0"/>
              <w:left w:val="single" w:color="auto" w:sz="4" w:space="0"/>
              <w:bottom w:val="single" w:color="auto" w:sz="4" w:space="0"/>
              <w:right w:val="single" w:color="auto" w:sz="4" w:space="0"/>
            </w:tcBorders>
            <w:shd w:val="clear" w:color="auto" w:fill="auto"/>
            <w:vAlign w:val="center"/>
          </w:tcPr>
          <w:p w14:paraId="5E41B099">
            <w:pPr>
              <w:autoSpaceDE w:val="0"/>
              <w:spacing w:line="360" w:lineRule="auto"/>
              <w:jc w:val="center"/>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时间节点</w:t>
            </w:r>
          </w:p>
        </w:tc>
        <w:tc>
          <w:tcPr>
            <w:tcW w:w="1794" w:type="pct"/>
            <w:tcBorders>
              <w:top w:val="single" w:color="auto" w:sz="4" w:space="0"/>
              <w:left w:val="single" w:color="auto" w:sz="4" w:space="0"/>
              <w:bottom w:val="single" w:color="auto" w:sz="4" w:space="0"/>
              <w:right w:val="single" w:color="auto" w:sz="4" w:space="0"/>
            </w:tcBorders>
            <w:shd w:val="clear" w:color="auto" w:fill="auto"/>
            <w:vAlign w:val="center"/>
          </w:tcPr>
          <w:p w14:paraId="1920C968">
            <w:pPr>
              <w:autoSpaceDE w:val="0"/>
              <w:spacing w:line="360" w:lineRule="auto"/>
              <w:jc w:val="center"/>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使用权资产</w:t>
            </w:r>
          </w:p>
        </w:tc>
        <w:tc>
          <w:tcPr>
            <w:tcW w:w="1549" w:type="pct"/>
            <w:tcBorders>
              <w:top w:val="single" w:color="auto" w:sz="4" w:space="0"/>
              <w:left w:val="single" w:color="auto" w:sz="4" w:space="0"/>
              <w:bottom w:val="single" w:color="auto" w:sz="4" w:space="0"/>
              <w:right w:val="single" w:color="auto" w:sz="4" w:space="0"/>
            </w:tcBorders>
            <w:shd w:val="clear" w:color="auto" w:fill="auto"/>
            <w:vAlign w:val="center"/>
          </w:tcPr>
          <w:p w14:paraId="19DB5CDF">
            <w:pPr>
              <w:autoSpaceDE w:val="0"/>
              <w:spacing w:line="360" w:lineRule="auto"/>
              <w:jc w:val="center"/>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租赁负债 - 租赁付款额</w:t>
            </w:r>
          </w:p>
        </w:tc>
      </w:tr>
      <w:tr w14:paraId="739CD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trPr>
        <w:tc>
          <w:tcPr>
            <w:tcW w:w="1656" w:type="pct"/>
            <w:tcBorders>
              <w:top w:val="single" w:color="auto" w:sz="4" w:space="0"/>
              <w:left w:val="single" w:color="auto" w:sz="4" w:space="0"/>
              <w:bottom w:val="single" w:color="auto" w:sz="4" w:space="0"/>
              <w:right w:val="single" w:color="auto" w:sz="4" w:space="0"/>
            </w:tcBorders>
            <w:shd w:val="clear" w:color="auto" w:fill="auto"/>
            <w:vAlign w:val="center"/>
          </w:tcPr>
          <w:p w14:paraId="38AC6160">
            <w:pPr>
              <w:autoSpaceDE w:val="0"/>
              <w:spacing w:line="360" w:lineRule="auto"/>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初始计量</w:t>
            </w:r>
          </w:p>
        </w:tc>
        <w:tc>
          <w:tcPr>
            <w:tcW w:w="1794" w:type="pct"/>
            <w:tcBorders>
              <w:top w:val="single" w:color="auto" w:sz="4" w:space="0"/>
              <w:left w:val="single" w:color="auto" w:sz="4" w:space="0"/>
              <w:bottom w:val="single" w:color="auto" w:sz="4" w:space="0"/>
              <w:right w:val="single" w:color="auto" w:sz="4" w:space="0"/>
            </w:tcBorders>
            <w:shd w:val="clear" w:color="auto" w:fill="auto"/>
            <w:vAlign w:val="center"/>
          </w:tcPr>
          <w:p w14:paraId="48206A6E">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2,212,380.18</w:t>
            </w:r>
          </w:p>
        </w:tc>
        <w:tc>
          <w:tcPr>
            <w:tcW w:w="1549" w:type="pct"/>
            <w:tcBorders>
              <w:top w:val="single" w:color="auto" w:sz="4" w:space="0"/>
              <w:left w:val="single" w:color="auto" w:sz="4" w:space="0"/>
              <w:bottom w:val="single" w:color="auto" w:sz="4" w:space="0"/>
              <w:right w:val="single" w:color="auto" w:sz="4" w:space="0"/>
            </w:tcBorders>
            <w:shd w:val="clear" w:color="auto" w:fill="auto"/>
            <w:vAlign w:val="center"/>
          </w:tcPr>
          <w:p w14:paraId="1E9FCD8A">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2,304,000.00</w:t>
            </w:r>
          </w:p>
        </w:tc>
      </w:tr>
      <w:tr w14:paraId="156D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trPr>
        <w:tc>
          <w:tcPr>
            <w:tcW w:w="1656" w:type="pct"/>
            <w:tcBorders>
              <w:top w:val="single" w:color="auto" w:sz="4" w:space="0"/>
              <w:left w:val="single" w:color="auto" w:sz="4" w:space="0"/>
              <w:bottom w:val="single" w:color="auto" w:sz="4" w:space="0"/>
              <w:right w:val="single" w:color="auto" w:sz="4" w:space="0"/>
            </w:tcBorders>
            <w:shd w:val="clear" w:color="auto" w:fill="auto"/>
            <w:vAlign w:val="center"/>
          </w:tcPr>
          <w:p w14:paraId="62EBAACF">
            <w:pPr>
              <w:autoSpaceDE w:val="0"/>
              <w:spacing w:line="360" w:lineRule="auto"/>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2023年12月31日</w:t>
            </w:r>
          </w:p>
        </w:tc>
        <w:tc>
          <w:tcPr>
            <w:tcW w:w="1794" w:type="pct"/>
            <w:tcBorders>
              <w:top w:val="single" w:color="auto" w:sz="4" w:space="0"/>
              <w:left w:val="single" w:color="auto" w:sz="4" w:space="0"/>
              <w:bottom w:val="single" w:color="auto" w:sz="4" w:space="0"/>
              <w:right w:val="single" w:color="auto" w:sz="4" w:space="0"/>
            </w:tcBorders>
            <w:shd w:val="clear" w:color="auto" w:fill="auto"/>
            <w:vAlign w:val="center"/>
          </w:tcPr>
          <w:p w14:paraId="0604AED4">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2,089,470.16</w:t>
            </w:r>
          </w:p>
        </w:tc>
        <w:tc>
          <w:tcPr>
            <w:tcW w:w="1549" w:type="pct"/>
            <w:tcBorders>
              <w:top w:val="single" w:color="auto" w:sz="4" w:space="0"/>
              <w:left w:val="single" w:color="auto" w:sz="4" w:space="0"/>
              <w:bottom w:val="single" w:color="auto" w:sz="4" w:space="0"/>
              <w:right w:val="single" w:color="auto" w:sz="4" w:space="0"/>
            </w:tcBorders>
            <w:shd w:val="clear" w:color="auto" w:fill="auto"/>
            <w:vAlign w:val="center"/>
          </w:tcPr>
          <w:p w14:paraId="7CB3B681">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1,536,000.00</w:t>
            </w:r>
          </w:p>
        </w:tc>
      </w:tr>
      <w:tr w14:paraId="2187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trPr>
        <w:tc>
          <w:tcPr>
            <w:tcW w:w="1656" w:type="pct"/>
            <w:tcBorders>
              <w:top w:val="single" w:color="auto" w:sz="4" w:space="0"/>
              <w:left w:val="single" w:color="auto" w:sz="4" w:space="0"/>
              <w:bottom w:val="single" w:color="auto" w:sz="4" w:space="0"/>
              <w:right w:val="single" w:color="auto" w:sz="4" w:space="0"/>
            </w:tcBorders>
            <w:shd w:val="clear" w:color="auto" w:fill="auto"/>
            <w:vAlign w:val="center"/>
          </w:tcPr>
          <w:p w14:paraId="242BD62E">
            <w:pPr>
              <w:autoSpaceDE w:val="0"/>
              <w:spacing w:line="360" w:lineRule="auto"/>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2024年12月31日</w:t>
            </w:r>
          </w:p>
        </w:tc>
        <w:tc>
          <w:tcPr>
            <w:tcW w:w="1794" w:type="pct"/>
            <w:tcBorders>
              <w:top w:val="single" w:color="auto" w:sz="4" w:space="0"/>
              <w:left w:val="single" w:color="auto" w:sz="4" w:space="0"/>
              <w:bottom w:val="single" w:color="auto" w:sz="4" w:space="0"/>
              <w:right w:val="single" w:color="auto" w:sz="4" w:space="0"/>
            </w:tcBorders>
            <w:shd w:val="clear" w:color="auto" w:fill="auto"/>
            <w:vAlign w:val="center"/>
          </w:tcPr>
          <w:p w14:paraId="40C479A1">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1,352,010.04</w:t>
            </w:r>
          </w:p>
        </w:tc>
        <w:tc>
          <w:tcPr>
            <w:tcW w:w="1549" w:type="pct"/>
            <w:tcBorders>
              <w:top w:val="single" w:color="auto" w:sz="4" w:space="0"/>
              <w:left w:val="single" w:color="auto" w:sz="4" w:space="0"/>
              <w:bottom w:val="single" w:color="auto" w:sz="4" w:space="0"/>
              <w:right w:val="single" w:color="auto" w:sz="4" w:space="0"/>
            </w:tcBorders>
            <w:shd w:val="clear" w:color="auto" w:fill="auto"/>
            <w:vAlign w:val="center"/>
          </w:tcPr>
          <w:p w14:paraId="4C7AE3F0">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768,000.00</w:t>
            </w:r>
          </w:p>
        </w:tc>
      </w:tr>
      <w:tr w14:paraId="754D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exact"/>
        </w:trPr>
        <w:tc>
          <w:tcPr>
            <w:tcW w:w="1656" w:type="pct"/>
            <w:tcBorders>
              <w:top w:val="single" w:color="auto" w:sz="4" w:space="0"/>
              <w:left w:val="single" w:color="auto" w:sz="4" w:space="0"/>
              <w:bottom w:val="single" w:color="auto" w:sz="4" w:space="0"/>
              <w:right w:val="single" w:color="auto" w:sz="4" w:space="0"/>
            </w:tcBorders>
            <w:shd w:val="clear" w:color="auto" w:fill="auto"/>
            <w:vAlign w:val="center"/>
          </w:tcPr>
          <w:p w14:paraId="5EE89A72">
            <w:pPr>
              <w:autoSpaceDE w:val="0"/>
              <w:spacing w:line="360" w:lineRule="auto"/>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2025年6月30日</w:t>
            </w:r>
          </w:p>
        </w:tc>
        <w:tc>
          <w:tcPr>
            <w:tcW w:w="1794" w:type="pct"/>
            <w:tcBorders>
              <w:top w:val="single" w:color="auto" w:sz="4" w:space="0"/>
              <w:left w:val="single" w:color="auto" w:sz="4" w:space="0"/>
              <w:bottom w:val="single" w:color="auto" w:sz="4" w:space="0"/>
              <w:right w:val="single" w:color="auto" w:sz="4" w:space="0"/>
            </w:tcBorders>
            <w:shd w:val="clear" w:color="auto" w:fill="auto"/>
            <w:vAlign w:val="center"/>
          </w:tcPr>
          <w:p w14:paraId="1C79E96C">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983,279.98</w:t>
            </w:r>
          </w:p>
        </w:tc>
        <w:tc>
          <w:tcPr>
            <w:tcW w:w="1549" w:type="pct"/>
            <w:tcBorders>
              <w:top w:val="single" w:color="auto" w:sz="4" w:space="0"/>
              <w:left w:val="single" w:color="auto" w:sz="4" w:space="0"/>
              <w:bottom w:val="single" w:color="auto" w:sz="4" w:space="0"/>
              <w:right w:val="single" w:color="auto" w:sz="4" w:space="0"/>
            </w:tcBorders>
            <w:shd w:val="clear" w:color="auto" w:fill="auto"/>
            <w:vAlign w:val="center"/>
          </w:tcPr>
          <w:p w14:paraId="0BFC9E31">
            <w:pPr>
              <w:autoSpaceDE w:val="0"/>
              <w:spacing w:line="360" w:lineRule="auto"/>
              <w:jc w:val="right"/>
              <w:outlineLvl w:val="9"/>
              <w:rPr>
                <w:rFonts w:hint="default" w:ascii="Times New Roman" w:hAnsi="Times New Roman" w:eastAsia="宋体" w:cs="Times New Roman"/>
                <w:sz w:val="18"/>
                <w:szCs w:val="18"/>
              </w:rPr>
            </w:pPr>
            <w:r>
              <w:rPr>
                <w:rFonts w:hint="default" w:ascii="Times New Roman" w:hAnsi="Times New Roman" w:eastAsia="宋体" w:cs="Times New Roman"/>
                <w:sz w:val="18"/>
                <w:szCs w:val="18"/>
                <w:lang w:bidi="ar"/>
              </w:rPr>
              <w:t>768,000.00</w:t>
            </w:r>
          </w:p>
        </w:tc>
      </w:tr>
    </w:tbl>
    <w:p w14:paraId="389A8FF9">
      <w:pPr>
        <w:autoSpaceDE w:val="0"/>
        <w:spacing w:before="156" w:beforeLines="50"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建议公司及时按照新租赁准则进行会计处理更正，并建立租赁负债摊余成本台账（逐月计算利息摊销），规范使用权资产折旧计提。</w:t>
      </w:r>
    </w:p>
    <w:p w14:paraId="1C920F10">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费用循环</w:t>
      </w:r>
    </w:p>
    <w:p w14:paraId="2A5896DB">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（1）利息收入与银行手续费科目混淆</w:t>
      </w:r>
    </w:p>
    <w:p w14:paraId="23A01252">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2024年期间，存在两笔利息收入误计入银行手续费科目的情况：①将第一、第二季度利息收入合计170.62元错误列支为银行手续费，导致当期“利息收入”虚减170.62元，同时“银行手续费”虚增170.62元；②将招商银行第三季度利息收入87.92元同样计入“银行手续费”科目，进一步造成相关科目核算偏差。</w:t>
      </w:r>
    </w:p>
    <w:p w14:paraId="4EEBA78F">
      <w:pPr>
        <w:numPr>
          <w:ilvl w:val="0"/>
          <w:numId w:val="15"/>
        </w:num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汇兑损益处理不恰当</w:t>
      </w:r>
    </w:p>
    <w:p w14:paraId="4187F5A3">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无锡贝塔在发生外币业务的当月进行汇兑损益的处理，而在未发生外币业务的月份，不进行汇兑损益处理，且在当年未发生外币业务时只在年末调整外币账户余额。根据《企业会计准则第19号—外币折算》要求，企业在资产负债表日（即期末，通常指月末、季末、半年末、年末），应当按照规定对外币货币性项目和外币非货币性项目进行相应的会计处理，并确认汇兑差额，只要在期末持有外币货币性项目，就必须进行汇率重估，无论该期间内是否有新的业务发生。</w:t>
      </w:r>
    </w:p>
    <w:p w14:paraId="17E73C25">
      <w:pPr>
        <w:numPr>
          <w:ilvl w:val="0"/>
          <w:numId w:val="9"/>
        </w:num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政府补贴核算有误</w:t>
      </w:r>
    </w:p>
    <w:p w14:paraId="1CFB0753">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在尽调期间内，无锡贝塔将与日常经营有关的政府补贴计入了“营业外收入”。这是政府无偿给予企业的资产，属于利得，而非企业自身经营产生的收入。根据会计准则，该笔政府稳岗补贴应归属“其他收益”科目核算，当前计入“营业外收入”科目属于科目分类错误。</w:t>
      </w:r>
    </w:p>
    <w:p w14:paraId="6554B140">
      <w:pPr>
        <w:pStyle w:val="68"/>
        <w:keepNext/>
        <w:keepLines/>
        <w:pageBreakBefore w:val="0"/>
        <w:widowControl w:val="0"/>
        <w:numPr>
          <w:ilvl w:val="0"/>
          <w:numId w:val="7"/>
        </w:numPr>
        <w:kinsoku/>
        <w:wordWrap/>
        <w:overflowPunct/>
        <w:topLinePunct w:val="0"/>
        <w:autoSpaceDE/>
        <w:autoSpaceDN/>
        <w:bidi w:val="0"/>
        <w:adjustRightInd w:val="0"/>
        <w:snapToGrid w:val="0"/>
        <w:spacing w:before="0" w:beforeLines="0" w:after="0" w:afterLines="0"/>
        <w:ind w:firstLine="482"/>
        <w:textAlignment w:val="auto"/>
        <w:rPr>
          <w:rFonts w:hint="default" w:ascii="Times New Roman" w:hAnsi="Times New Roman" w:eastAsia="宋体" w:cs="Times New Roman"/>
          <w:b/>
          <w:bCs/>
          <w:szCs w:val="21"/>
          <w:lang w:eastAsia="zh" w:bidi="ar"/>
        </w:rPr>
      </w:pPr>
      <w:bookmarkStart w:id="31" w:name="_Toc13965"/>
      <w:r>
        <w:rPr>
          <w:rFonts w:hint="default" w:ascii="Times New Roman" w:hAnsi="Times New Roman" w:eastAsia="宋体" w:cs="Times New Roman"/>
          <w:b/>
          <w:bCs/>
          <w:szCs w:val="21"/>
          <w:lang w:eastAsia="zh" w:bidi="ar"/>
        </w:rPr>
        <w:t>内部控制</w:t>
      </w:r>
      <w:bookmarkEnd w:id="31"/>
    </w:p>
    <w:p w14:paraId="7D20C3A1">
      <w:p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1、存在不相容岗位兼职情形</w:t>
      </w:r>
    </w:p>
    <w:p w14:paraId="6CFE0074">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在尽调过程中发现公司在组织架构与职责分工方面存在缺陷，关键不相容职务未能实现有效分离。无锡贝塔出纳兼任销售，此情况构成了内部控制缺陷，该职工在创造应收账款的同时还处理资金流入以及记录应收账款核销的权力，这种情况存在资金挪用以及舞弊风险，导致财务数据的真实性准确性无法得到保证。无锡贝塔行政主任兼任仓管，该职工具备采购审批、行政费用报销初审权力的同时还负责存货的收发存管理、仓库台账登记等，该行为使得物资采购、物资保管等本应相互分离、相互制约的职责集中于一人，形成了内控上的缺陷。长沙贝塔办公室主任与出纳岗位由同一人兼任，办公室主任的工作内容包含负责行政费用预算、审批或审核费用报销，而出纳负责实际支付，两者兼任存在资金安全、预算控制、费用舞弊等风险。上述职责不分离的情况，表明目标公司内部控制环境薄弱。</w:t>
      </w:r>
    </w:p>
    <w:p w14:paraId="676463D7">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针对上述问题建议公司立即将出纳职能从销售和办公室主任的职责中彻底剥离，招聘或指派专职出纳，将行政职能与仓库管理职能进行彻底分离，设立专职的仓库管理员岗位，重新设计和明确组织结构图确保所有不相容职务（授权、执行、记录、保管）相互分离，设立内部审计岗持续监督和改进内控体系。</w:t>
      </w:r>
    </w:p>
    <w:p w14:paraId="11571922">
      <w:p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2、研发活动内部控制存在缺陷</w:t>
      </w:r>
    </w:p>
    <w:p w14:paraId="556BE1A7">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在尽调过程中，发现无锡贝塔在研发活动的财务核算与内部控制方面存在缺陷。主要问题体现以下方面：</w:t>
      </w:r>
    </w:p>
    <w:p w14:paraId="26BC9544">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（1）缺乏有效的研发工时管理系统</w:t>
      </w:r>
    </w:p>
    <w:p w14:paraId="2BB72420">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公司目前缺乏一个系统化、流程化的研发工时填报、审核系统，研发人员的工时记录依赖于员工个人申报，无法保证记录的工时100%真实、准确地投入到研发项目中，作为研发费用中最重要的组成部分之一，人工成本的错报将直接导致研发费用总额的失真。</w:t>
      </w:r>
    </w:p>
    <w:p w14:paraId="2BF1B1F9">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（2）研发领料与生产领料存在混同风险</w:t>
      </w:r>
    </w:p>
    <w:p w14:paraId="724568D5">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公司共用同一套领料单据导致物理上和账务上的物料流转无法准确区分，可能存在将生产领料成本计入研发费用的情况，导致研发费用虚增，同时生产成本虚降，扭曲毛利率。</w:t>
      </w:r>
    </w:p>
    <w:p w14:paraId="6BD3A93D">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（3）将行政管理人员的部分工时计入研发工时</w:t>
      </w:r>
    </w:p>
    <w:p w14:paraId="32107EB9">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发现存在将行政管理持等非研发部门人员的工时分配计入研发项目的情况，行政管理人员的薪酬本应计入“管理费用”，错误地计入“研发费用”会导致管理费用低估，研发费用高估。</w:t>
      </w:r>
    </w:p>
    <w:p w14:paraId="3DDA58E6">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建议公司建立健全内部控制制度，</w:t>
      </w:r>
      <w:r>
        <w:rPr>
          <w:rFonts w:hint="default" w:ascii="Times New Roman" w:hAnsi="Times New Roman" w:cs="Times New Roman"/>
          <w:szCs w:val="21"/>
          <w:lang w:eastAsia="zh-CN" w:bidi="ar"/>
        </w:rPr>
        <w:t>引入</w:t>
      </w:r>
      <w:r>
        <w:rPr>
          <w:rFonts w:hint="default" w:ascii="Times New Roman" w:hAnsi="Times New Roman" w:eastAsia="宋体" w:cs="Times New Roman"/>
          <w:szCs w:val="21"/>
          <w:lang w:bidi="ar"/>
        </w:rPr>
        <w:t>研发工时系统，要求研发人员按日/周填报工时，并由项目负责人和部门主管逐级审核确认。制定并严格执行物料领用审批流程，为研发项目设立独立的领料单号和审批路径，确保物料从仓库出库时即有明确的项目归属。</w:t>
      </w:r>
    </w:p>
    <w:p w14:paraId="7C913349">
      <w:p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3、存货</w:t>
      </w:r>
      <w:r>
        <w:rPr>
          <w:rFonts w:hint="default" w:ascii="Times New Roman" w:hAnsi="Times New Roman" w:cs="Times New Roman"/>
          <w:b/>
          <w:bCs/>
          <w:szCs w:val="21"/>
          <w:lang w:val="en-US" w:eastAsia="zh-CN" w:bidi="ar"/>
        </w:rPr>
        <w:t>管理</w:t>
      </w:r>
      <w:r>
        <w:rPr>
          <w:rFonts w:hint="default" w:ascii="Times New Roman" w:hAnsi="Times New Roman" w:eastAsia="宋体" w:cs="Times New Roman"/>
          <w:b/>
          <w:bCs/>
          <w:szCs w:val="21"/>
          <w:lang w:bidi="ar"/>
        </w:rPr>
        <w:t>存在内部控制缺陷</w:t>
      </w:r>
    </w:p>
    <w:p w14:paraId="69697F83">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在尽职过程中发现放射性同位素库存管理存在重大内部控制缺陷。尽管存在“双人双锁、24小时监控”的物理安全措施，但实际管理权责高度集中于行政部主任一人。该人员同时承担实物保管、运输审批申报及库存台账记录等不相容职责，且财务部门长期未参与监盘或账实核对。此次尽调因上述管理混乱及专业限制，未能对库存进行实质性核查。</w:t>
      </w:r>
    </w:p>
    <w:p w14:paraId="0F4DB882">
      <w:pPr>
        <w:autoSpaceDE w:val="0"/>
        <w:spacing w:line="360" w:lineRule="auto"/>
        <w:ind w:firstLine="480" w:firstLineChars="200"/>
        <w:outlineLvl w:val="9"/>
        <w:rPr>
          <w:rFonts w:hint="default" w:ascii="Times New Roman" w:hAnsi="Times New Roman" w:eastAsia="宋体" w:cs="Times New Roman"/>
          <w:szCs w:val="21"/>
          <w:lang w:bidi="ar"/>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建议职责分离，实物保管、行政审批（运输/申报）、库存台账记录、财务账务处理等职责，至少分配给四个不同的部门或人员。对全部放射性同位素库存进行一次全面的、安全的盘点。</w:t>
      </w:r>
    </w:p>
    <w:p w14:paraId="33AC06A1">
      <w:pPr>
        <w:autoSpaceDE w:val="0"/>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lang w:bidi="ar"/>
        </w:rPr>
        <w:t>4、存货运输存在内部控制缺陷</w:t>
      </w:r>
    </w:p>
    <w:p w14:paraId="69871931">
      <w:pPr>
        <w:autoSpaceDE w:val="0"/>
        <w:spacing w:line="360" w:lineRule="auto"/>
        <w:ind w:firstLine="48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lang w:bidi="ar"/>
        </w:rPr>
        <w:t>经核查，公司物流与放射性同位素运输管理体系存在重大缺陷，严重影响财务数据的可验证性与合规性。现有运输台账记录严重缺失，仅载有客户地址、金额及“标记产品”等模糊描述，缺乏产品名称、批号、数量等关键信息，导致运输记录无法与销售订单、收入凭证进行交叉核对，严重影响了收入真实性和完整性的验证工作。公司未建立《放射性同位素运输台账》，无法对放射性同位素的入库、出库、运输、交接环节进行有效追踪与核对。目前仅能提供无具体品名的《申请》，运输活动缺乏原始记录支撑，无法形成完整的物资流转轨迹。</w:t>
      </w:r>
    </w:p>
    <w:p w14:paraId="7EDE4A4F">
      <w:pPr>
        <w:autoSpaceDE w:val="0"/>
        <w:spacing w:line="360" w:lineRule="auto"/>
        <w:ind w:firstLine="420"/>
        <w:outlineLvl w:val="9"/>
        <w:rPr>
          <w:rFonts w:hint="default" w:ascii="Times New Roman" w:hAnsi="Times New Roman" w:eastAsia="宋体" w:cs="Times New Roman"/>
          <w:szCs w:val="21"/>
          <w:lang w:bidi="ar"/>
        </w:rPr>
      </w:pPr>
      <w:r>
        <w:rPr>
          <w:rFonts w:hint="default" w:ascii="Times New Roman" w:hAnsi="Times New Roman" w:cs="Times New Roman"/>
          <w:szCs w:val="21"/>
          <w:lang w:val="en-US" w:eastAsia="zh-CN" w:bidi="ar"/>
        </w:rPr>
        <w:t>应对：</w:t>
      </w:r>
      <w:r>
        <w:rPr>
          <w:rFonts w:hint="default" w:ascii="Times New Roman" w:hAnsi="Times New Roman" w:eastAsia="宋体" w:cs="Times New Roman"/>
          <w:szCs w:val="21"/>
          <w:lang w:bidi="ar"/>
        </w:rPr>
        <w:t>建议建立合规的《放射性同位素运输台账》，确保与企业进销存系统数据一致，并将运输费用准确匹配至具体项目，以支持财务核查并满足监管要求。</w:t>
      </w:r>
    </w:p>
    <w:p w14:paraId="2EBFB7D5">
      <w:pPr>
        <w:autoSpaceDE w:val="0"/>
        <w:spacing w:line="360" w:lineRule="auto"/>
        <w:outlineLvl w:val="9"/>
        <w:rPr>
          <w:rFonts w:hint="default" w:ascii="Times New Roman" w:hAnsi="Times New Roman" w:eastAsia="宋体" w:cs="Times New Roman"/>
          <w:b/>
          <w:bCs/>
          <w:szCs w:val="21"/>
          <w:lang w:bidi="ar"/>
        </w:rPr>
      </w:pPr>
      <w:r>
        <w:rPr>
          <w:rFonts w:hint="default" w:ascii="Times New Roman" w:hAnsi="Times New Roman" w:eastAsia="宋体" w:cs="Times New Roman"/>
          <w:b/>
          <w:bCs/>
          <w:szCs w:val="21"/>
          <w:lang w:bidi="ar"/>
        </w:rPr>
        <w:t>5、收入确认制度的缺失</w:t>
      </w:r>
    </w:p>
    <w:p w14:paraId="4A1447F7">
      <w:pPr>
        <w:autoSpaceDE w:val="0"/>
        <w:spacing w:line="360" w:lineRule="auto"/>
        <w:ind w:firstLine="42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通过查阅公司提供的内控制度，公司目前缺少收入确认相关制度。且在技术服务收入方面，公司以“质量报告”的生成作为收入确认的依据。根据《企业会计准则第14号—收入》，技术服务收入需满足“企业已将商品所有权上的主要风险和报酬转移给购货方”“相关的经济利益很可能流入企业”等条件，且该准则明确要求，企业需根据“五步法”（识别合同、识别履约义务、确定交易价格、分摊交易价格、确认收入）规范收入确认，结合自身业务模式制定具体判断标准。</w:t>
      </w:r>
    </w:p>
    <w:p w14:paraId="2EC04920">
      <w:pPr>
        <w:autoSpaceDE w:val="0"/>
        <w:spacing w:line="360" w:lineRule="auto"/>
        <w:ind w:firstLine="420"/>
        <w:outlineLvl w:val="9"/>
        <w:rPr>
          <w:rFonts w:hint="default" w:ascii="Times New Roman" w:hAnsi="Times New Roman" w:eastAsia="宋体" w:cs="Times New Roman"/>
          <w:szCs w:val="21"/>
          <w:lang w:bidi="ar"/>
        </w:rPr>
      </w:pPr>
      <w:r>
        <w:rPr>
          <w:rFonts w:hint="default" w:ascii="Times New Roman" w:hAnsi="Times New Roman" w:eastAsia="宋体" w:cs="Times New Roman"/>
          <w:szCs w:val="21"/>
          <w:lang w:bidi="ar"/>
        </w:rPr>
        <w:t>建议公司制定相关收入确认制度，并在“质量报告交付”与“实物交付”都完成，收到《质量报告验收报告》及《实物交付验收单》后，确认收入。</w:t>
      </w:r>
    </w:p>
    <w:p w14:paraId="4C18C887">
      <w:pPr>
        <w:pStyle w:val="33"/>
        <w:spacing w:before="120" w:after="120"/>
        <w:ind w:left="0" w:leftChars="0" w:firstLine="0" w:firstLineChars="0"/>
        <w:rPr>
          <w:rFonts w:hint="default" w:ascii="Times New Roman" w:hAnsi="Times New Roman" w:cs="Times New Roman"/>
        </w:rPr>
      </w:pPr>
    </w:p>
    <w:sectPr>
      <w:headerReference r:id="rId5" w:type="default"/>
      <w:footerReference r:id="rId6" w:type="default"/>
      <w:pgSz w:w="11907" w:h="16840"/>
      <w:pgMar w:top="1440" w:right="1803" w:bottom="1440" w:left="1803" w:header="851" w:footer="1111"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603F01FF" w:csb1="FFFF0000"/>
  </w:font>
  <w:font w:name="SC STKaiti">
    <w:altName w:val="等线"/>
    <w:panose1 w:val="00000000000000000000"/>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F43A">
    <w:pPr>
      <w:rPr>
        <w:rFonts w:hint="eastAsia"/>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3F85B2">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03F85B2">
                    <w:pPr>
                      <w:pStyle w:val="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D17F9">
    <w:pPr>
      <w:ind w:left="0" w:leftChars="0" w:firstLine="0" w:firstLineChars="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71F92"/>
    <w:multiLevelType w:val="singleLevel"/>
    <w:tmpl w:val="88071F92"/>
    <w:lvl w:ilvl="0" w:tentative="0">
      <w:start w:val="1"/>
      <w:numFmt w:val="chineseCounting"/>
      <w:suff w:val="nothing"/>
      <w:lvlText w:val="（%1）"/>
      <w:lvlJc w:val="left"/>
      <w:rPr>
        <w:rFonts w:hint="eastAsia"/>
      </w:rPr>
    </w:lvl>
  </w:abstractNum>
  <w:abstractNum w:abstractNumId="1">
    <w:nsid w:val="98946C5B"/>
    <w:multiLevelType w:val="multilevel"/>
    <w:tmpl w:val="98946C5B"/>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9FDFA6E9"/>
    <w:multiLevelType w:val="multilevel"/>
    <w:tmpl w:val="9FDFA6E9"/>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BCF67ABC"/>
    <w:multiLevelType w:val="multilevel"/>
    <w:tmpl w:val="BCF67ABC"/>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D0D966BB"/>
    <w:multiLevelType w:val="singleLevel"/>
    <w:tmpl w:val="D0D966BB"/>
    <w:lvl w:ilvl="0" w:tentative="0">
      <w:start w:val="1"/>
      <w:numFmt w:val="chineseCounting"/>
      <w:suff w:val="nothing"/>
      <w:lvlText w:val="（%1）"/>
      <w:lvlJc w:val="left"/>
      <w:rPr>
        <w:rFonts w:hint="eastAsia"/>
      </w:rPr>
    </w:lvl>
  </w:abstractNum>
  <w:abstractNum w:abstractNumId="5">
    <w:nsid w:val="DFFE0597"/>
    <w:multiLevelType w:val="multilevel"/>
    <w:tmpl w:val="DFFE0597"/>
    <w:lvl w:ilvl="0" w:tentative="0">
      <w:start w:val="3"/>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E2932C15"/>
    <w:multiLevelType w:val="singleLevel"/>
    <w:tmpl w:val="E2932C15"/>
    <w:lvl w:ilvl="0" w:tentative="0">
      <w:start w:val="2"/>
      <w:numFmt w:val="chineseCounting"/>
      <w:suff w:val="nothing"/>
      <w:lvlText w:val="（%1）"/>
      <w:lvlJc w:val="left"/>
      <w:rPr>
        <w:rFonts w:hint="eastAsia"/>
      </w:rPr>
    </w:lvl>
  </w:abstractNum>
  <w:abstractNum w:abstractNumId="7">
    <w:nsid w:val="FDDFBE46"/>
    <w:multiLevelType w:val="singleLevel"/>
    <w:tmpl w:val="FDDFBE46"/>
    <w:lvl w:ilvl="0" w:tentative="0">
      <w:start w:val="1"/>
      <w:numFmt w:val="decimal"/>
      <w:suff w:val="nothing"/>
      <w:lvlText w:val="（%1）"/>
      <w:lvlJc w:val="left"/>
    </w:lvl>
  </w:abstractNum>
  <w:abstractNum w:abstractNumId="8">
    <w:nsid w:val="137A01B0"/>
    <w:multiLevelType w:val="singleLevel"/>
    <w:tmpl w:val="137A01B0"/>
    <w:lvl w:ilvl="0" w:tentative="0">
      <w:start w:val="1"/>
      <w:numFmt w:val="chineseCounting"/>
      <w:suff w:val="nothing"/>
      <w:lvlText w:val="（%1）"/>
      <w:lvlJc w:val="left"/>
      <w:pPr>
        <w:ind w:left="0" w:firstLine="420"/>
      </w:pPr>
      <w:rPr>
        <w:rFonts w:hint="eastAsia"/>
      </w:rPr>
    </w:lvl>
  </w:abstractNum>
  <w:abstractNum w:abstractNumId="9">
    <w:nsid w:val="3E5C820E"/>
    <w:multiLevelType w:val="singleLevel"/>
    <w:tmpl w:val="3E5C820E"/>
    <w:lvl w:ilvl="0" w:tentative="0">
      <w:start w:val="1"/>
      <w:numFmt w:val="chineseCounting"/>
      <w:suff w:val="nothing"/>
      <w:lvlText w:val="（%1）"/>
      <w:lvlJc w:val="left"/>
      <w:rPr>
        <w:rFonts w:hint="eastAsia"/>
      </w:rPr>
    </w:lvl>
  </w:abstractNum>
  <w:abstractNum w:abstractNumId="10">
    <w:nsid w:val="463905B3"/>
    <w:multiLevelType w:val="multilevel"/>
    <w:tmpl w:val="463905B3"/>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4EBA7F70"/>
    <w:multiLevelType w:val="singleLevel"/>
    <w:tmpl w:val="4EBA7F70"/>
    <w:lvl w:ilvl="0" w:tentative="0">
      <w:start w:val="1"/>
      <w:numFmt w:val="chineseCounting"/>
      <w:suff w:val="nothing"/>
      <w:lvlText w:val="%1、"/>
      <w:lvlJc w:val="left"/>
      <w:pPr>
        <w:ind w:left="0" w:firstLine="420"/>
      </w:pPr>
      <w:rPr>
        <w:rFonts w:hint="eastAsia"/>
      </w:rPr>
    </w:lvl>
  </w:abstractNum>
  <w:abstractNum w:abstractNumId="12">
    <w:nsid w:val="5575E200"/>
    <w:multiLevelType w:val="multilevel"/>
    <w:tmpl w:val="5575E200"/>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73DF5658"/>
    <w:multiLevelType w:val="multilevel"/>
    <w:tmpl w:val="73DF5658"/>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78124F23"/>
    <w:multiLevelType w:val="singleLevel"/>
    <w:tmpl w:val="78124F23"/>
    <w:lvl w:ilvl="0" w:tentative="0">
      <w:start w:val="1"/>
      <w:numFmt w:val="chineseCounting"/>
      <w:suff w:val="nothing"/>
      <w:lvlText w:val="（%1）"/>
      <w:lvlJc w:val="left"/>
      <w:rPr>
        <w:rFonts w:hint="eastAsia"/>
      </w:rPr>
    </w:lvl>
  </w:abstractNum>
  <w:num w:numId="1">
    <w:abstractNumId w:val="11"/>
  </w:num>
  <w:num w:numId="2">
    <w:abstractNumId w:val="8"/>
  </w:num>
  <w:num w:numId="3">
    <w:abstractNumId w:val="4"/>
  </w:num>
  <w:num w:numId="4">
    <w:abstractNumId w:val="9"/>
  </w:num>
  <w:num w:numId="5">
    <w:abstractNumId w:val="6"/>
  </w:num>
  <w:num w:numId="6">
    <w:abstractNumId w:val="14"/>
  </w:num>
  <w:num w:numId="7">
    <w:abstractNumId w:val="0"/>
  </w:num>
  <w:num w:numId="8">
    <w:abstractNumId w:val="12"/>
  </w:num>
  <w:num w:numId="9">
    <w:abstractNumId w:val="10"/>
  </w:num>
  <w:num w:numId="10">
    <w:abstractNumId w:val="2"/>
  </w:num>
  <w:num w:numId="11">
    <w:abstractNumId w:val="13"/>
  </w:num>
  <w:num w:numId="12">
    <w:abstractNumId w:val="1"/>
  </w:num>
  <w:num w:numId="13">
    <w:abstractNumId w:val="7"/>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2B7"/>
    <w:rsid w:val="00000092"/>
    <w:rsid w:val="00000869"/>
    <w:rsid w:val="000008A4"/>
    <w:rsid w:val="00000A3F"/>
    <w:rsid w:val="00001223"/>
    <w:rsid w:val="00001565"/>
    <w:rsid w:val="00001BE3"/>
    <w:rsid w:val="00001EA1"/>
    <w:rsid w:val="0000249F"/>
    <w:rsid w:val="00002C3C"/>
    <w:rsid w:val="000031CC"/>
    <w:rsid w:val="000038A7"/>
    <w:rsid w:val="00003A7A"/>
    <w:rsid w:val="00003E36"/>
    <w:rsid w:val="000042EF"/>
    <w:rsid w:val="000049C7"/>
    <w:rsid w:val="00004C06"/>
    <w:rsid w:val="00004F9B"/>
    <w:rsid w:val="00005130"/>
    <w:rsid w:val="000059DF"/>
    <w:rsid w:val="00005D14"/>
    <w:rsid w:val="00005D46"/>
    <w:rsid w:val="00006FCA"/>
    <w:rsid w:val="000072DE"/>
    <w:rsid w:val="00007BBF"/>
    <w:rsid w:val="000101FE"/>
    <w:rsid w:val="00010281"/>
    <w:rsid w:val="00010806"/>
    <w:rsid w:val="00010DD5"/>
    <w:rsid w:val="00010F02"/>
    <w:rsid w:val="000114C1"/>
    <w:rsid w:val="000118B1"/>
    <w:rsid w:val="00011AF3"/>
    <w:rsid w:val="00011EC5"/>
    <w:rsid w:val="00012050"/>
    <w:rsid w:val="0001278F"/>
    <w:rsid w:val="00012944"/>
    <w:rsid w:val="00012FA5"/>
    <w:rsid w:val="00013CCC"/>
    <w:rsid w:val="000141AE"/>
    <w:rsid w:val="000148DC"/>
    <w:rsid w:val="00014E5F"/>
    <w:rsid w:val="00015563"/>
    <w:rsid w:val="000156D0"/>
    <w:rsid w:val="00015BDA"/>
    <w:rsid w:val="00015FD2"/>
    <w:rsid w:val="000161D8"/>
    <w:rsid w:val="00017097"/>
    <w:rsid w:val="000170B6"/>
    <w:rsid w:val="000175BD"/>
    <w:rsid w:val="00017F96"/>
    <w:rsid w:val="00020048"/>
    <w:rsid w:val="00020431"/>
    <w:rsid w:val="000208AF"/>
    <w:rsid w:val="00020C56"/>
    <w:rsid w:val="00020FBD"/>
    <w:rsid w:val="000214E6"/>
    <w:rsid w:val="00022668"/>
    <w:rsid w:val="00022ADC"/>
    <w:rsid w:val="00022C2F"/>
    <w:rsid w:val="000238A8"/>
    <w:rsid w:val="00023F83"/>
    <w:rsid w:val="00024329"/>
    <w:rsid w:val="00024491"/>
    <w:rsid w:val="000244AB"/>
    <w:rsid w:val="00024828"/>
    <w:rsid w:val="0002546D"/>
    <w:rsid w:val="00025AE1"/>
    <w:rsid w:val="00025E5D"/>
    <w:rsid w:val="00025FDD"/>
    <w:rsid w:val="00026365"/>
    <w:rsid w:val="00026850"/>
    <w:rsid w:val="0002698A"/>
    <w:rsid w:val="00026B74"/>
    <w:rsid w:val="00026D37"/>
    <w:rsid w:val="00026E3E"/>
    <w:rsid w:val="000270EA"/>
    <w:rsid w:val="0002714C"/>
    <w:rsid w:val="00027266"/>
    <w:rsid w:val="00027533"/>
    <w:rsid w:val="00027766"/>
    <w:rsid w:val="000303C9"/>
    <w:rsid w:val="00030889"/>
    <w:rsid w:val="000311AC"/>
    <w:rsid w:val="000311E5"/>
    <w:rsid w:val="00031234"/>
    <w:rsid w:val="00031F5C"/>
    <w:rsid w:val="00032348"/>
    <w:rsid w:val="00032613"/>
    <w:rsid w:val="0003290E"/>
    <w:rsid w:val="0003298E"/>
    <w:rsid w:val="00032BA4"/>
    <w:rsid w:val="00032C16"/>
    <w:rsid w:val="00032C97"/>
    <w:rsid w:val="000330E5"/>
    <w:rsid w:val="000331A2"/>
    <w:rsid w:val="00033A24"/>
    <w:rsid w:val="00034016"/>
    <w:rsid w:val="000347CA"/>
    <w:rsid w:val="00034A11"/>
    <w:rsid w:val="00034F59"/>
    <w:rsid w:val="000353BD"/>
    <w:rsid w:val="00035594"/>
    <w:rsid w:val="0003579D"/>
    <w:rsid w:val="00035893"/>
    <w:rsid w:val="00035F8E"/>
    <w:rsid w:val="000360F4"/>
    <w:rsid w:val="00036193"/>
    <w:rsid w:val="000369DC"/>
    <w:rsid w:val="0003723C"/>
    <w:rsid w:val="00037441"/>
    <w:rsid w:val="0003786D"/>
    <w:rsid w:val="00037899"/>
    <w:rsid w:val="00037991"/>
    <w:rsid w:val="00037C74"/>
    <w:rsid w:val="000405A4"/>
    <w:rsid w:val="00040D9C"/>
    <w:rsid w:val="0004105A"/>
    <w:rsid w:val="00041328"/>
    <w:rsid w:val="000419CD"/>
    <w:rsid w:val="0004256B"/>
    <w:rsid w:val="00042B4D"/>
    <w:rsid w:val="00042DE5"/>
    <w:rsid w:val="00042EE1"/>
    <w:rsid w:val="0004332C"/>
    <w:rsid w:val="0004377C"/>
    <w:rsid w:val="000437B8"/>
    <w:rsid w:val="00043F2F"/>
    <w:rsid w:val="0004419E"/>
    <w:rsid w:val="00044273"/>
    <w:rsid w:val="00044274"/>
    <w:rsid w:val="00044919"/>
    <w:rsid w:val="00044B38"/>
    <w:rsid w:val="00044C37"/>
    <w:rsid w:val="000457A8"/>
    <w:rsid w:val="0004581B"/>
    <w:rsid w:val="00045854"/>
    <w:rsid w:val="00045CAC"/>
    <w:rsid w:val="00045CB9"/>
    <w:rsid w:val="00045D14"/>
    <w:rsid w:val="00046646"/>
    <w:rsid w:val="00046683"/>
    <w:rsid w:val="00046F1D"/>
    <w:rsid w:val="00046FCF"/>
    <w:rsid w:val="000473DD"/>
    <w:rsid w:val="00047415"/>
    <w:rsid w:val="00047760"/>
    <w:rsid w:val="00047B2E"/>
    <w:rsid w:val="00047B78"/>
    <w:rsid w:val="00047CAC"/>
    <w:rsid w:val="00047E5D"/>
    <w:rsid w:val="0005055F"/>
    <w:rsid w:val="0005060F"/>
    <w:rsid w:val="00050D68"/>
    <w:rsid w:val="00050F7C"/>
    <w:rsid w:val="0005187B"/>
    <w:rsid w:val="000519D0"/>
    <w:rsid w:val="00051C05"/>
    <w:rsid w:val="00051C6D"/>
    <w:rsid w:val="00051CFB"/>
    <w:rsid w:val="00051DA5"/>
    <w:rsid w:val="00052304"/>
    <w:rsid w:val="00052347"/>
    <w:rsid w:val="000526B6"/>
    <w:rsid w:val="00052B40"/>
    <w:rsid w:val="00053206"/>
    <w:rsid w:val="000532A2"/>
    <w:rsid w:val="000535E4"/>
    <w:rsid w:val="00053658"/>
    <w:rsid w:val="00053A6D"/>
    <w:rsid w:val="00053BE1"/>
    <w:rsid w:val="00054375"/>
    <w:rsid w:val="0005487D"/>
    <w:rsid w:val="00054CEF"/>
    <w:rsid w:val="00054EBD"/>
    <w:rsid w:val="000553B0"/>
    <w:rsid w:val="00055419"/>
    <w:rsid w:val="000559DD"/>
    <w:rsid w:val="00055F11"/>
    <w:rsid w:val="000565DA"/>
    <w:rsid w:val="000572CF"/>
    <w:rsid w:val="00057AE8"/>
    <w:rsid w:val="00060363"/>
    <w:rsid w:val="00060672"/>
    <w:rsid w:val="00060783"/>
    <w:rsid w:val="00060A72"/>
    <w:rsid w:val="00060C84"/>
    <w:rsid w:val="00060D71"/>
    <w:rsid w:val="000611FA"/>
    <w:rsid w:val="0006155F"/>
    <w:rsid w:val="000615CB"/>
    <w:rsid w:val="00061E74"/>
    <w:rsid w:val="00062DA5"/>
    <w:rsid w:val="00063692"/>
    <w:rsid w:val="0006417B"/>
    <w:rsid w:val="0006455C"/>
    <w:rsid w:val="00064CB1"/>
    <w:rsid w:val="00064E09"/>
    <w:rsid w:val="00065856"/>
    <w:rsid w:val="00065D22"/>
    <w:rsid w:val="00066187"/>
    <w:rsid w:val="00066368"/>
    <w:rsid w:val="00066410"/>
    <w:rsid w:val="00066615"/>
    <w:rsid w:val="0006688E"/>
    <w:rsid w:val="00066DEE"/>
    <w:rsid w:val="0006736A"/>
    <w:rsid w:val="000673C1"/>
    <w:rsid w:val="000674F3"/>
    <w:rsid w:val="00067563"/>
    <w:rsid w:val="00067690"/>
    <w:rsid w:val="000678FB"/>
    <w:rsid w:val="00067ACC"/>
    <w:rsid w:val="000704FE"/>
    <w:rsid w:val="00070855"/>
    <w:rsid w:val="00070A17"/>
    <w:rsid w:val="00070FA4"/>
    <w:rsid w:val="00070FE3"/>
    <w:rsid w:val="0007102D"/>
    <w:rsid w:val="000714E5"/>
    <w:rsid w:val="00071E1F"/>
    <w:rsid w:val="0007228E"/>
    <w:rsid w:val="000723DE"/>
    <w:rsid w:val="000727A7"/>
    <w:rsid w:val="000728B0"/>
    <w:rsid w:val="00073CAA"/>
    <w:rsid w:val="00074E32"/>
    <w:rsid w:val="00074E70"/>
    <w:rsid w:val="00075667"/>
    <w:rsid w:val="00075E49"/>
    <w:rsid w:val="000773E9"/>
    <w:rsid w:val="0007778D"/>
    <w:rsid w:val="00077BC7"/>
    <w:rsid w:val="00077C35"/>
    <w:rsid w:val="0008039C"/>
    <w:rsid w:val="00080544"/>
    <w:rsid w:val="00080631"/>
    <w:rsid w:val="0008093E"/>
    <w:rsid w:val="00080F53"/>
    <w:rsid w:val="00080FDD"/>
    <w:rsid w:val="0008135F"/>
    <w:rsid w:val="000815D2"/>
    <w:rsid w:val="00081714"/>
    <w:rsid w:val="000817C8"/>
    <w:rsid w:val="00081DC5"/>
    <w:rsid w:val="00081F9B"/>
    <w:rsid w:val="00082392"/>
    <w:rsid w:val="000827E1"/>
    <w:rsid w:val="00083420"/>
    <w:rsid w:val="00083B89"/>
    <w:rsid w:val="00084885"/>
    <w:rsid w:val="00084CB7"/>
    <w:rsid w:val="00084EDB"/>
    <w:rsid w:val="000851BF"/>
    <w:rsid w:val="00085308"/>
    <w:rsid w:val="0008585E"/>
    <w:rsid w:val="00085C77"/>
    <w:rsid w:val="00085DD8"/>
    <w:rsid w:val="0008603B"/>
    <w:rsid w:val="00086C4C"/>
    <w:rsid w:val="00087015"/>
    <w:rsid w:val="000873D3"/>
    <w:rsid w:val="00087849"/>
    <w:rsid w:val="00087A1F"/>
    <w:rsid w:val="00087C07"/>
    <w:rsid w:val="00087DB2"/>
    <w:rsid w:val="000900BC"/>
    <w:rsid w:val="00090674"/>
    <w:rsid w:val="000909C0"/>
    <w:rsid w:val="00090C76"/>
    <w:rsid w:val="00090E36"/>
    <w:rsid w:val="00090E81"/>
    <w:rsid w:val="00091336"/>
    <w:rsid w:val="00091946"/>
    <w:rsid w:val="000919B0"/>
    <w:rsid w:val="00091ACD"/>
    <w:rsid w:val="00091F84"/>
    <w:rsid w:val="0009252F"/>
    <w:rsid w:val="00092A53"/>
    <w:rsid w:val="00093A8E"/>
    <w:rsid w:val="00093C82"/>
    <w:rsid w:val="000941D1"/>
    <w:rsid w:val="0009468A"/>
    <w:rsid w:val="000946F6"/>
    <w:rsid w:val="00094F59"/>
    <w:rsid w:val="000951B9"/>
    <w:rsid w:val="000953F0"/>
    <w:rsid w:val="00095CE9"/>
    <w:rsid w:val="00096368"/>
    <w:rsid w:val="0009690D"/>
    <w:rsid w:val="000970A8"/>
    <w:rsid w:val="000978C6"/>
    <w:rsid w:val="000A0816"/>
    <w:rsid w:val="000A0A95"/>
    <w:rsid w:val="000A0F40"/>
    <w:rsid w:val="000A1022"/>
    <w:rsid w:val="000A13BC"/>
    <w:rsid w:val="000A16D6"/>
    <w:rsid w:val="000A1DDE"/>
    <w:rsid w:val="000A28A7"/>
    <w:rsid w:val="000A2952"/>
    <w:rsid w:val="000A2A64"/>
    <w:rsid w:val="000A2BA1"/>
    <w:rsid w:val="000A362C"/>
    <w:rsid w:val="000A383C"/>
    <w:rsid w:val="000A39EC"/>
    <w:rsid w:val="000A43E6"/>
    <w:rsid w:val="000A4B47"/>
    <w:rsid w:val="000A4C3E"/>
    <w:rsid w:val="000A5579"/>
    <w:rsid w:val="000A559D"/>
    <w:rsid w:val="000A562E"/>
    <w:rsid w:val="000A5E91"/>
    <w:rsid w:val="000A5FA0"/>
    <w:rsid w:val="000A6860"/>
    <w:rsid w:val="000A6C7C"/>
    <w:rsid w:val="000A6D56"/>
    <w:rsid w:val="000A753A"/>
    <w:rsid w:val="000A7B63"/>
    <w:rsid w:val="000A7E96"/>
    <w:rsid w:val="000B0507"/>
    <w:rsid w:val="000B0660"/>
    <w:rsid w:val="000B0AF3"/>
    <w:rsid w:val="000B0E64"/>
    <w:rsid w:val="000B0E89"/>
    <w:rsid w:val="000B16EA"/>
    <w:rsid w:val="000B17DA"/>
    <w:rsid w:val="000B1933"/>
    <w:rsid w:val="000B1A7E"/>
    <w:rsid w:val="000B1E31"/>
    <w:rsid w:val="000B1F8A"/>
    <w:rsid w:val="000B2486"/>
    <w:rsid w:val="000B2BD0"/>
    <w:rsid w:val="000B2D1C"/>
    <w:rsid w:val="000B2E80"/>
    <w:rsid w:val="000B3404"/>
    <w:rsid w:val="000B3536"/>
    <w:rsid w:val="000B3860"/>
    <w:rsid w:val="000B4216"/>
    <w:rsid w:val="000B456C"/>
    <w:rsid w:val="000B4848"/>
    <w:rsid w:val="000B49C8"/>
    <w:rsid w:val="000B4C4C"/>
    <w:rsid w:val="000B4C52"/>
    <w:rsid w:val="000B4E31"/>
    <w:rsid w:val="000B51ED"/>
    <w:rsid w:val="000B5255"/>
    <w:rsid w:val="000B5269"/>
    <w:rsid w:val="000B5AB8"/>
    <w:rsid w:val="000B5C15"/>
    <w:rsid w:val="000B670A"/>
    <w:rsid w:val="000B67A3"/>
    <w:rsid w:val="000B69BB"/>
    <w:rsid w:val="000B6B74"/>
    <w:rsid w:val="000B6BAB"/>
    <w:rsid w:val="000B6C8E"/>
    <w:rsid w:val="000B6F72"/>
    <w:rsid w:val="000B7483"/>
    <w:rsid w:val="000C016A"/>
    <w:rsid w:val="000C157B"/>
    <w:rsid w:val="000C1C7B"/>
    <w:rsid w:val="000C1EAF"/>
    <w:rsid w:val="000C1FD1"/>
    <w:rsid w:val="000C32B4"/>
    <w:rsid w:val="000C3B5D"/>
    <w:rsid w:val="000C4041"/>
    <w:rsid w:val="000C4AE3"/>
    <w:rsid w:val="000C4C52"/>
    <w:rsid w:val="000C5450"/>
    <w:rsid w:val="000C5453"/>
    <w:rsid w:val="000C590B"/>
    <w:rsid w:val="000C590D"/>
    <w:rsid w:val="000C653C"/>
    <w:rsid w:val="000C6924"/>
    <w:rsid w:val="000C6961"/>
    <w:rsid w:val="000C6DCB"/>
    <w:rsid w:val="000C6E0F"/>
    <w:rsid w:val="000C7068"/>
    <w:rsid w:val="000C7342"/>
    <w:rsid w:val="000C797A"/>
    <w:rsid w:val="000C7D90"/>
    <w:rsid w:val="000D0142"/>
    <w:rsid w:val="000D03B4"/>
    <w:rsid w:val="000D04B5"/>
    <w:rsid w:val="000D0862"/>
    <w:rsid w:val="000D0B87"/>
    <w:rsid w:val="000D115B"/>
    <w:rsid w:val="000D15A8"/>
    <w:rsid w:val="000D1AC8"/>
    <w:rsid w:val="000D1C72"/>
    <w:rsid w:val="000D1E6A"/>
    <w:rsid w:val="000D1FA8"/>
    <w:rsid w:val="000D21CF"/>
    <w:rsid w:val="000D227A"/>
    <w:rsid w:val="000D23AC"/>
    <w:rsid w:val="000D2523"/>
    <w:rsid w:val="000D257C"/>
    <w:rsid w:val="000D280A"/>
    <w:rsid w:val="000D3413"/>
    <w:rsid w:val="000D3580"/>
    <w:rsid w:val="000D385A"/>
    <w:rsid w:val="000D38FA"/>
    <w:rsid w:val="000D399A"/>
    <w:rsid w:val="000D41DF"/>
    <w:rsid w:val="000D43E6"/>
    <w:rsid w:val="000D44DB"/>
    <w:rsid w:val="000D4A75"/>
    <w:rsid w:val="000D51F0"/>
    <w:rsid w:val="000D5703"/>
    <w:rsid w:val="000D5B2A"/>
    <w:rsid w:val="000D65EC"/>
    <w:rsid w:val="000D6736"/>
    <w:rsid w:val="000D6930"/>
    <w:rsid w:val="000D6D02"/>
    <w:rsid w:val="000D6ECE"/>
    <w:rsid w:val="000D7057"/>
    <w:rsid w:val="000D7885"/>
    <w:rsid w:val="000D7AC8"/>
    <w:rsid w:val="000E02D1"/>
    <w:rsid w:val="000E02E7"/>
    <w:rsid w:val="000E0396"/>
    <w:rsid w:val="000E0594"/>
    <w:rsid w:val="000E0959"/>
    <w:rsid w:val="000E0AF5"/>
    <w:rsid w:val="000E0B06"/>
    <w:rsid w:val="000E114A"/>
    <w:rsid w:val="000E19AD"/>
    <w:rsid w:val="000E1B14"/>
    <w:rsid w:val="000E1D56"/>
    <w:rsid w:val="000E2390"/>
    <w:rsid w:val="000E3453"/>
    <w:rsid w:val="000E3513"/>
    <w:rsid w:val="000E358C"/>
    <w:rsid w:val="000E35D4"/>
    <w:rsid w:val="000E3C7A"/>
    <w:rsid w:val="000E3D48"/>
    <w:rsid w:val="000E3DA5"/>
    <w:rsid w:val="000E3F4E"/>
    <w:rsid w:val="000E3F70"/>
    <w:rsid w:val="000E4103"/>
    <w:rsid w:val="000E421E"/>
    <w:rsid w:val="000E4791"/>
    <w:rsid w:val="000E562E"/>
    <w:rsid w:val="000E5881"/>
    <w:rsid w:val="000E5AE6"/>
    <w:rsid w:val="000E62C8"/>
    <w:rsid w:val="000E6500"/>
    <w:rsid w:val="000E66DC"/>
    <w:rsid w:val="000E66DF"/>
    <w:rsid w:val="000E67A4"/>
    <w:rsid w:val="000E6953"/>
    <w:rsid w:val="000E738D"/>
    <w:rsid w:val="000E74ED"/>
    <w:rsid w:val="000E7DF7"/>
    <w:rsid w:val="000F0097"/>
    <w:rsid w:val="000F0524"/>
    <w:rsid w:val="000F10B6"/>
    <w:rsid w:val="000F190B"/>
    <w:rsid w:val="000F22E0"/>
    <w:rsid w:val="000F23EC"/>
    <w:rsid w:val="000F2AF3"/>
    <w:rsid w:val="000F340B"/>
    <w:rsid w:val="000F3B87"/>
    <w:rsid w:val="000F3F66"/>
    <w:rsid w:val="000F4450"/>
    <w:rsid w:val="000F459F"/>
    <w:rsid w:val="000F4B18"/>
    <w:rsid w:val="000F4FA7"/>
    <w:rsid w:val="000F50A6"/>
    <w:rsid w:val="000F522E"/>
    <w:rsid w:val="000F5D05"/>
    <w:rsid w:val="000F613F"/>
    <w:rsid w:val="000F6278"/>
    <w:rsid w:val="000F6E8B"/>
    <w:rsid w:val="000F725B"/>
    <w:rsid w:val="000F7297"/>
    <w:rsid w:val="000F782E"/>
    <w:rsid w:val="000F78D4"/>
    <w:rsid w:val="000F79A2"/>
    <w:rsid w:val="00100102"/>
    <w:rsid w:val="001001E6"/>
    <w:rsid w:val="00100704"/>
    <w:rsid w:val="00100C7B"/>
    <w:rsid w:val="00101D69"/>
    <w:rsid w:val="00101ED9"/>
    <w:rsid w:val="001026EB"/>
    <w:rsid w:val="0010383F"/>
    <w:rsid w:val="001038AD"/>
    <w:rsid w:val="00103B6E"/>
    <w:rsid w:val="001042F2"/>
    <w:rsid w:val="00104568"/>
    <w:rsid w:val="001049F1"/>
    <w:rsid w:val="00104CD5"/>
    <w:rsid w:val="00105226"/>
    <w:rsid w:val="00105A42"/>
    <w:rsid w:val="00105B73"/>
    <w:rsid w:val="00106074"/>
    <w:rsid w:val="0010624E"/>
    <w:rsid w:val="00106CD4"/>
    <w:rsid w:val="00106FCA"/>
    <w:rsid w:val="00107308"/>
    <w:rsid w:val="00107325"/>
    <w:rsid w:val="001073D6"/>
    <w:rsid w:val="001076C2"/>
    <w:rsid w:val="001102EE"/>
    <w:rsid w:val="00110327"/>
    <w:rsid w:val="0011036F"/>
    <w:rsid w:val="001106E0"/>
    <w:rsid w:val="00110ADC"/>
    <w:rsid w:val="001115C5"/>
    <w:rsid w:val="001117CA"/>
    <w:rsid w:val="00111842"/>
    <w:rsid w:val="00111934"/>
    <w:rsid w:val="001119D7"/>
    <w:rsid w:val="00111C74"/>
    <w:rsid w:val="0011247E"/>
    <w:rsid w:val="001128C5"/>
    <w:rsid w:val="0011318E"/>
    <w:rsid w:val="00113443"/>
    <w:rsid w:val="0011422E"/>
    <w:rsid w:val="001153C4"/>
    <w:rsid w:val="001159DE"/>
    <w:rsid w:val="00115ACA"/>
    <w:rsid w:val="00115CE3"/>
    <w:rsid w:val="00115E96"/>
    <w:rsid w:val="0011624A"/>
    <w:rsid w:val="0011777D"/>
    <w:rsid w:val="00117941"/>
    <w:rsid w:val="00117B3F"/>
    <w:rsid w:val="00117BC7"/>
    <w:rsid w:val="00117EEA"/>
    <w:rsid w:val="0012000C"/>
    <w:rsid w:val="00120213"/>
    <w:rsid w:val="0012040E"/>
    <w:rsid w:val="00120602"/>
    <w:rsid w:val="001208F9"/>
    <w:rsid w:val="00120B18"/>
    <w:rsid w:val="00120B96"/>
    <w:rsid w:val="00120C9D"/>
    <w:rsid w:val="00120FDD"/>
    <w:rsid w:val="001214E9"/>
    <w:rsid w:val="001216D8"/>
    <w:rsid w:val="00121777"/>
    <w:rsid w:val="001226D5"/>
    <w:rsid w:val="0012296F"/>
    <w:rsid w:val="00122DF2"/>
    <w:rsid w:val="00122FF7"/>
    <w:rsid w:val="00123A88"/>
    <w:rsid w:val="001240A6"/>
    <w:rsid w:val="0012444F"/>
    <w:rsid w:val="001244BD"/>
    <w:rsid w:val="0012451A"/>
    <w:rsid w:val="001245B8"/>
    <w:rsid w:val="00124775"/>
    <w:rsid w:val="0012487A"/>
    <w:rsid w:val="00124B2A"/>
    <w:rsid w:val="00125CCD"/>
    <w:rsid w:val="00126824"/>
    <w:rsid w:val="00126CAC"/>
    <w:rsid w:val="00127061"/>
    <w:rsid w:val="0012780A"/>
    <w:rsid w:val="00127A08"/>
    <w:rsid w:val="00127A97"/>
    <w:rsid w:val="001300EE"/>
    <w:rsid w:val="00130187"/>
    <w:rsid w:val="0013048F"/>
    <w:rsid w:val="00130671"/>
    <w:rsid w:val="001308BB"/>
    <w:rsid w:val="00130975"/>
    <w:rsid w:val="00130FE4"/>
    <w:rsid w:val="00131548"/>
    <w:rsid w:val="001317A6"/>
    <w:rsid w:val="001317E0"/>
    <w:rsid w:val="001319DB"/>
    <w:rsid w:val="00131F9A"/>
    <w:rsid w:val="0013218B"/>
    <w:rsid w:val="001321E8"/>
    <w:rsid w:val="00132FD5"/>
    <w:rsid w:val="001330A9"/>
    <w:rsid w:val="0013323B"/>
    <w:rsid w:val="0013489E"/>
    <w:rsid w:val="00134917"/>
    <w:rsid w:val="00134FC7"/>
    <w:rsid w:val="00135107"/>
    <w:rsid w:val="00135148"/>
    <w:rsid w:val="001354B7"/>
    <w:rsid w:val="00135687"/>
    <w:rsid w:val="00135826"/>
    <w:rsid w:val="00135C85"/>
    <w:rsid w:val="00136897"/>
    <w:rsid w:val="00136B11"/>
    <w:rsid w:val="00137253"/>
    <w:rsid w:val="001375AF"/>
    <w:rsid w:val="001375B3"/>
    <w:rsid w:val="0013763B"/>
    <w:rsid w:val="001376D7"/>
    <w:rsid w:val="00137830"/>
    <w:rsid w:val="0014043D"/>
    <w:rsid w:val="00140AF3"/>
    <w:rsid w:val="00140F3D"/>
    <w:rsid w:val="00141197"/>
    <w:rsid w:val="001411D2"/>
    <w:rsid w:val="00141D16"/>
    <w:rsid w:val="001423A6"/>
    <w:rsid w:val="001426F2"/>
    <w:rsid w:val="001427BD"/>
    <w:rsid w:val="00142A67"/>
    <w:rsid w:val="00142AD8"/>
    <w:rsid w:val="0014377C"/>
    <w:rsid w:val="00143910"/>
    <w:rsid w:val="00143971"/>
    <w:rsid w:val="00143B16"/>
    <w:rsid w:val="00143B79"/>
    <w:rsid w:val="00143EA4"/>
    <w:rsid w:val="0014491F"/>
    <w:rsid w:val="00144EC9"/>
    <w:rsid w:val="001456EE"/>
    <w:rsid w:val="00145C31"/>
    <w:rsid w:val="00145EAC"/>
    <w:rsid w:val="001460D0"/>
    <w:rsid w:val="00146137"/>
    <w:rsid w:val="00146296"/>
    <w:rsid w:val="00146583"/>
    <w:rsid w:val="0014683F"/>
    <w:rsid w:val="0014696D"/>
    <w:rsid w:val="00146A9A"/>
    <w:rsid w:val="0014749D"/>
    <w:rsid w:val="00147AE3"/>
    <w:rsid w:val="00147C5F"/>
    <w:rsid w:val="001500B3"/>
    <w:rsid w:val="001500F2"/>
    <w:rsid w:val="001515BD"/>
    <w:rsid w:val="001516F2"/>
    <w:rsid w:val="001518D8"/>
    <w:rsid w:val="0015222D"/>
    <w:rsid w:val="00152338"/>
    <w:rsid w:val="0015266E"/>
    <w:rsid w:val="001528F1"/>
    <w:rsid w:val="00152904"/>
    <w:rsid w:val="00152CA0"/>
    <w:rsid w:val="00153254"/>
    <w:rsid w:val="00153361"/>
    <w:rsid w:val="00153774"/>
    <w:rsid w:val="0015393C"/>
    <w:rsid w:val="00153BFF"/>
    <w:rsid w:val="00153FB9"/>
    <w:rsid w:val="001540C9"/>
    <w:rsid w:val="00154A30"/>
    <w:rsid w:val="001551B2"/>
    <w:rsid w:val="001555B9"/>
    <w:rsid w:val="00155A12"/>
    <w:rsid w:val="00155D23"/>
    <w:rsid w:val="00156375"/>
    <w:rsid w:val="00156470"/>
    <w:rsid w:val="00156571"/>
    <w:rsid w:val="0015660E"/>
    <w:rsid w:val="00156C4C"/>
    <w:rsid w:val="00157275"/>
    <w:rsid w:val="00157D82"/>
    <w:rsid w:val="00160172"/>
    <w:rsid w:val="001607C3"/>
    <w:rsid w:val="001608A6"/>
    <w:rsid w:val="001608AA"/>
    <w:rsid w:val="001608F5"/>
    <w:rsid w:val="00160A30"/>
    <w:rsid w:val="001610A4"/>
    <w:rsid w:val="00161317"/>
    <w:rsid w:val="001631C8"/>
    <w:rsid w:val="0016333F"/>
    <w:rsid w:val="001633F3"/>
    <w:rsid w:val="00163574"/>
    <w:rsid w:val="00163BCA"/>
    <w:rsid w:val="00163D5E"/>
    <w:rsid w:val="00164354"/>
    <w:rsid w:val="001645AC"/>
    <w:rsid w:val="00164852"/>
    <w:rsid w:val="00164E87"/>
    <w:rsid w:val="00164F3C"/>
    <w:rsid w:val="00164FB6"/>
    <w:rsid w:val="0016547A"/>
    <w:rsid w:val="001656CE"/>
    <w:rsid w:val="001656E9"/>
    <w:rsid w:val="00166558"/>
    <w:rsid w:val="00166B75"/>
    <w:rsid w:val="00166D56"/>
    <w:rsid w:val="00167146"/>
    <w:rsid w:val="00167288"/>
    <w:rsid w:val="00167646"/>
    <w:rsid w:val="00167A2F"/>
    <w:rsid w:val="0017003A"/>
    <w:rsid w:val="00170949"/>
    <w:rsid w:val="00170A5B"/>
    <w:rsid w:val="00170C11"/>
    <w:rsid w:val="00171150"/>
    <w:rsid w:val="00171566"/>
    <w:rsid w:val="0017176E"/>
    <w:rsid w:val="00171891"/>
    <w:rsid w:val="0017189A"/>
    <w:rsid w:val="001718BB"/>
    <w:rsid w:val="00171C7C"/>
    <w:rsid w:val="00171F14"/>
    <w:rsid w:val="00172332"/>
    <w:rsid w:val="00172351"/>
    <w:rsid w:val="0017248D"/>
    <w:rsid w:val="00172569"/>
    <w:rsid w:val="00172617"/>
    <w:rsid w:val="00172772"/>
    <w:rsid w:val="001731AA"/>
    <w:rsid w:val="001731AD"/>
    <w:rsid w:val="001733C2"/>
    <w:rsid w:val="00173C81"/>
    <w:rsid w:val="00173D1E"/>
    <w:rsid w:val="00173EB2"/>
    <w:rsid w:val="00173EE9"/>
    <w:rsid w:val="00174C68"/>
    <w:rsid w:val="00174DE9"/>
    <w:rsid w:val="00175C09"/>
    <w:rsid w:val="00175F36"/>
    <w:rsid w:val="00176222"/>
    <w:rsid w:val="001763D9"/>
    <w:rsid w:val="001766F6"/>
    <w:rsid w:val="00176BFE"/>
    <w:rsid w:val="0017705A"/>
    <w:rsid w:val="001773E4"/>
    <w:rsid w:val="00177CC4"/>
    <w:rsid w:val="00177E90"/>
    <w:rsid w:val="00177F19"/>
    <w:rsid w:val="00181166"/>
    <w:rsid w:val="001813BF"/>
    <w:rsid w:val="00181505"/>
    <w:rsid w:val="00181511"/>
    <w:rsid w:val="00181918"/>
    <w:rsid w:val="00181DDB"/>
    <w:rsid w:val="00181E4F"/>
    <w:rsid w:val="0018272C"/>
    <w:rsid w:val="00182857"/>
    <w:rsid w:val="00182864"/>
    <w:rsid w:val="0018312A"/>
    <w:rsid w:val="00183462"/>
    <w:rsid w:val="00183C0E"/>
    <w:rsid w:val="00183C81"/>
    <w:rsid w:val="001840FF"/>
    <w:rsid w:val="00184204"/>
    <w:rsid w:val="0018471B"/>
    <w:rsid w:val="00184A41"/>
    <w:rsid w:val="001859C1"/>
    <w:rsid w:val="00185FC9"/>
    <w:rsid w:val="00186014"/>
    <w:rsid w:val="00186145"/>
    <w:rsid w:val="001869C8"/>
    <w:rsid w:val="00186EA0"/>
    <w:rsid w:val="001870C6"/>
    <w:rsid w:val="001871BA"/>
    <w:rsid w:val="00187280"/>
    <w:rsid w:val="00187783"/>
    <w:rsid w:val="001878C9"/>
    <w:rsid w:val="001878F2"/>
    <w:rsid w:val="00187F79"/>
    <w:rsid w:val="00190392"/>
    <w:rsid w:val="001903E7"/>
    <w:rsid w:val="0019056D"/>
    <w:rsid w:val="00190732"/>
    <w:rsid w:val="00190B85"/>
    <w:rsid w:val="00190D20"/>
    <w:rsid w:val="001917C5"/>
    <w:rsid w:val="00191968"/>
    <w:rsid w:val="00191C79"/>
    <w:rsid w:val="00191D4F"/>
    <w:rsid w:val="00192256"/>
    <w:rsid w:val="001924A3"/>
    <w:rsid w:val="00193042"/>
    <w:rsid w:val="00193167"/>
    <w:rsid w:val="0019357E"/>
    <w:rsid w:val="00193BB3"/>
    <w:rsid w:val="001942DC"/>
    <w:rsid w:val="001943D9"/>
    <w:rsid w:val="00194624"/>
    <w:rsid w:val="00194A16"/>
    <w:rsid w:val="001950AA"/>
    <w:rsid w:val="001953C9"/>
    <w:rsid w:val="00195409"/>
    <w:rsid w:val="00195514"/>
    <w:rsid w:val="00195D6C"/>
    <w:rsid w:val="00196163"/>
    <w:rsid w:val="001967BD"/>
    <w:rsid w:val="00196E73"/>
    <w:rsid w:val="00196F8A"/>
    <w:rsid w:val="0019733A"/>
    <w:rsid w:val="00197C16"/>
    <w:rsid w:val="00197C44"/>
    <w:rsid w:val="001A0539"/>
    <w:rsid w:val="001A0555"/>
    <w:rsid w:val="001A0922"/>
    <w:rsid w:val="001A0ECC"/>
    <w:rsid w:val="001A10BE"/>
    <w:rsid w:val="001A125E"/>
    <w:rsid w:val="001A14D2"/>
    <w:rsid w:val="001A1734"/>
    <w:rsid w:val="001A1792"/>
    <w:rsid w:val="001A1A17"/>
    <w:rsid w:val="001A1D3E"/>
    <w:rsid w:val="001A20C9"/>
    <w:rsid w:val="001A22D0"/>
    <w:rsid w:val="001A22E7"/>
    <w:rsid w:val="001A27BE"/>
    <w:rsid w:val="001A29BD"/>
    <w:rsid w:val="001A29FF"/>
    <w:rsid w:val="001A2DBC"/>
    <w:rsid w:val="001A3152"/>
    <w:rsid w:val="001A32DC"/>
    <w:rsid w:val="001A3AD4"/>
    <w:rsid w:val="001A3E68"/>
    <w:rsid w:val="001A3F04"/>
    <w:rsid w:val="001A3F57"/>
    <w:rsid w:val="001A414A"/>
    <w:rsid w:val="001A41DF"/>
    <w:rsid w:val="001A4499"/>
    <w:rsid w:val="001A44B7"/>
    <w:rsid w:val="001A464A"/>
    <w:rsid w:val="001A4EB6"/>
    <w:rsid w:val="001A4EE2"/>
    <w:rsid w:val="001A517B"/>
    <w:rsid w:val="001A54EB"/>
    <w:rsid w:val="001A58D1"/>
    <w:rsid w:val="001A5A63"/>
    <w:rsid w:val="001A5BE5"/>
    <w:rsid w:val="001A649F"/>
    <w:rsid w:val="001A670E"/>
    <w:rsid w:val="001A734A"/>
    <w:rsid w:val="001A79E1"/>
    <w:rsid w:val="001A7FC5"/>
    <w:rsid w:val="001B0183"/>
    <w:rsid w:val="001B05EC"/>
    <w:rsid w:val="001B0867"/>
    <w:rsid w:val="001B105A"/>
    <w:rsid w:val="001B146D"/>
    <w:rsid w:val="001B19E6"/>
    <w:rsid w:val="001B1FEE"/>
    <w:rsid w:val="001B303B"/>
    <w:rsid w:val="001B34F7"/>
    <w:rsid w:val="001B362E"/>
    <w:rsid w:val="001B3BCF"/>
    <w:rsid w:val="001B3CDB"/>
    <w:rsid w:val="001B3D4C"/>
    <w:rsid w:val="001B465C"/>
    <w:rsid w:val="001B4BA3"/>
    <w:rsid w:val="001B5380"/>
    <w:rsid w:val="001B56F1"/>
    <w:rsid w:val="001B595B"/>
    <w:rsid w:val="001B5D56"/>
    <w:rsid w:val="001B5FF5"/>
    <w:rsid w:val="001B636C"/>
    <w:rsid w:val="001B63D5"/>
    <w:rsid w:val="001B7D73"/>
    <w:rsid w:val="001B7E56"/>
    <w:rsid w:val="001C04DF"/>
    <w:rsid w:val="001C04E2"/>
    <w:rsid w:val="001C05C2"/>
    <w:rsid w:val="001C0F2F"/>
    <w:rsid w:val="001C10AD"/>
    <w:rsid w:val="001C11FD"/>
    <w:rsid w:val="001C161C"/>
    <w:rsid w:val="001C1707"/>
    <w:rsid w:val="001C1BEB"/>
    <w:rsid w:val="001C1F11"/>
    <w:rsid w:val="001C20D4"/>
    <w:rsid w:val="001C278C"/>
    <w:rsid w:val="001C2C22"/>
    <w:rsid w:val="001C36EF"/>
    <w:rsid w:val="001C37D0"/>
    <w:rsid w:val="001C383C"/>
    <w:rsid w:val="001C3CDD"/>
    <w:rsid w:val="001C4273"/>
    <w:rsid w:val="001C4773"/>
    <w:rsid w:val="001C4879"/>
    <w:rsid w:val="001C4B7A"/>
    <w:rsid w:val="001C4D35"/>
    <w:rsid w:val="001C56C2"/>
    <w:rsid w:val="001C5B03"/>
    <w:rsid w:val="001C66D4"/>
    <w:rsid w:val="001C6869"/>
    <w:rsid w:val="001C6D3D"/>
    <w:rsid w:val="001C6EE0"/>
    <w:rsid w:val="001C7002"/>
    <w:rsid w:val="001C7007"/>
    <w:rsid w:val="001C730A"/>
    <w:rsid w:val="001C7520"/>
    <w:rsid w:val="001C76F5"/>
    <w:rsid w:val="001C7BB8"/>
    <w:rsid w:val="001C7EE9"/>
    <w:rsid w:val="001D076A"/>
    <w:rsid w:val="001D096B"/>
    <w:rsid w:val="001D097D"/>
    <w:rsid w:val="001D0A7A"/>
    <w:rsid w:val="001D1830"/>
    <w:rsid w:val="001D193A"/>
    <w:rsid w:val="001D1B93"/>
    <w:rsid w:val="001D1E27"/>
    <w:rsid w:val="001D211D"/>
    <w:rsid w:val="001D2F19"/>
    <w:rsid w:val="001D319A"/>
    <w:rsid w:val="001D4089"/>
    <w:rsid w:val="001D40DC"/>
    <w:rsid w:val="001D421E"/>
    <w:rsid w:val="001D487C"/>
    <w:rsid w:val="001D4CA2"/>
    <w:rsid w:val="001D50CD"/>
    <w:rsid w:val="001D50F2"/>
    <w:rsid w:val="001D589B"/>
    <w:rsid w:val="001D603B"/>
    <w:rsid w:val="001D650B"/>
    <w:rsid w:val="001D650F"/>
    <w:rsid w:val="001D6DFA"/>
    <w:rsid w:val="001D6E20"/>
    <w:rsid w:val="001D7550"/>
    <w:rsid w:val="001D7A42"/>
    <w:rsid w:val="001D7E1D"/>
    <w:rsid w:val="001E0058"/>
    <w:rsid w:val="001E0622"/>
    <w:rsid w:val="001E074E"/>
    <w:rsid w:val="001E076F"/>
    <w:rsid w:val="001E0995"/>
    <w:rsid w:val="001E0D39"/>
    <w:rsid w:val="001E101E"/>
    <w:rsid w:val="001E1325"/>
    <w:rsid w:val="001E13F7"/>
    <w:rsid w:val="001E1A4E"/>
    <w:rsid w:val="001E1F14"/>
    <w:rsid w:val="001E2110"/>
    <w:rsid w:val="001E2284"/>
    <w:rsid w:val="001E2789"/>
    <w:rsid w:val="001E3487"/>
    <w:rsid w:val="001E3C64"/>
    <w:rsid w:val="001E4079"/>
    <w:rsid w:val="001E42AD"/>
    <w:rsid w:val="001E471A"/>
    <w:rsid w:val="001E49BB"/>
    <w:rsid w:val="001E5E61"/>
    <w:rsid w:val="001E6046"/>
    <w:rsid w:val="001E66D0"/>
    <w:rsid w:val="001E6712"/>
    <w:rsid w:val="001F058D"/>
    <w:rsid w:val="001F0692"/>
    <w:rsid w:val="001F0DD8"/>
    <w:rsid w:val="001F0E86"/>
    <w:rsid w:val="001F147F"/>
    <w:rsid w:val="001F2396"/>
    <w:rsid w:val="001F2454"/>
    <w:rsid w:val="001F3B75"/>
    <w:rsid w:val="001F3DC6"/>
    <w:rsid w:val="001F41CC"/>
    <w:rsid w:val="001F4FA4"/>
    <w:rsid w:val="001F53EC"/>
    <w:rsid w:val="001F552E"/>
    <w:rsid w:val="001F5542"/>
    <w:rsid w:val="001F572C"/>
    <w:rsid w:val="001F5860"/>
    <w:rsid w:val="001F5A1A"/>
    <w:rsid w:val="001F5E62"/>
    <w:rsid w:val="001F62D4"/>
    <w:rsid w:val="001F649B"/>
    <w:rsid w:val="001F6D00"/>
    <w:rsid w:val="001F738D"/>
    <w:rsid w:val="001F7598"/>
    <w:rsid w:val="001F7B25"/>
    <w:rsid w:val="001F7D8A"/>
    <w:rsid w:val="001F7DA0"/>
    <w:rsid w:val="0020097B"/>
    <w:rsid w:val="002009FF"/>
    <w:rsid w:val="00200AB8"/>
    <w:rsid w:val="00200C41"/>
    <w:rsid w:val="00200E9B"/>
    <w:rsid w:val="00200EFD"/>
    <w:rsid w:val="00200F1C"/>
    <w:rsid w:val="00200F73"/>
    <w:rsid w:val="00201C00"/>
    <w:rsid w:val="00201CF5"/>
    <w:rsid w:val="0020219E"/>
    <w:rsid w:val="002027A6"/>
    <w:rsid w:val="00202A83"/>
    <w:rsid w:val="00203320"/>
    <w:rsid w:val="0020374E"/>
    <w:rsid w:val="002040BF"/>
    <w:rsid w:val="002040EE"/>
    <w:rsid w:val="00204401"/>
    <w:rsid w:val="0020483B"/>
    <w:rsid w:val="00204A9D"/>
    <w:rsid w:val="0020508D"/>
    <w:rsid w:val="002051B3"/>
    <w:rsid w:val="00205439"/>
    <w:rsid w:val="00205555"/>
    <w:rsid w:val="002055C2"/>
    <w:rsid w:val="00205DF3"/>
    <w:rsid w:val="00205F84"/>
    <w:rsid w:val="0020657A"/>
    <w:rsid w:val="00206713"/>
    <w:rsid w:val="00206C4E"/>
    <w:rsid w:val="0020737F"/>
    <w:rsid w:val="00207602"/>
    <w:rsid w:val="0020779C"/>
    <w:rsid w:val="002077F8"/>
    <w:rsid w:val="00207984"/>
    <w:rsid w:val="002106AF"/>
    <w:rsid w:val="002109F9"/>
    <w:rsid w:val="00210B96"/>
    <w:rsid w:val="00211944"/>
    <w:rsid w:val="00211C55"/>
    <w:rsid w:val="002121DC"/>
    <w:rsid w:val="00212586"/>
    <w:rsid w:val="0021267E"/>
    <w:rsid w:val="002127A7"/>
    <w:rsid w:val="002137C7"/>
    <w:rsid w:val="00214983"/>
    <w:rsid w:val="00214CD8"/>
    <w:rsid w:val="00214D03"/>
    <w:rsid w:val="00214D36"/>
    <w:rsid w:val="00215140"/>
    <w:rsid w:val="00215837"/>
    <w:rsid w:val="0021597D"/>
    <w:rsid w:val="00216372"/>
    <w:rsid w:val="002165CC"/>
    <w:rsid w:val="00216733"/>
    <w:rsid w:val="002167C4"/>
    <w:rsid w:val="00216BA9"/>
    <w:rsid w:val="00216CC7"/>
    <w:rsid w:val="00220085"/>
    <w:rsid w:val="002203E4"/>
    <w:rsid w:val="002208B3"/>
    <w:rsid w:val="00220FEB"/>
    <w:rsid w:val="00221046"/>
    <w:rsid w:val="0022106B"/>
    <w:rsid w:val="002212EA"/>
    <w:rsid w:val="00221347"/>
    <w:rsid w:val="00221A2E"/>
    <w:rsid w:val="00221E61"/>
    <w:rsid w:val="00222385"/>
    <w:rsid w:val="002228BF"/>
    <w:rsid w:val="00222D30"/>
    <w:rsid w:val="00223673"/>
    <w:rsid w:val="00223CDC"/>
    <w:rsid w:val="00223EBB"/>
    <w:rsid w:val="002243F8"/>
    <w:rsid w:val="00224A03"/>
    <w:rsid w:val="00224DE6"/>
    <w:rsid w:val="0022517A"/>
    <w:rsid w:val="00225376"/>
    <w:rsid w:val="002253B6"/>
    <w:rsid w:val="002257BD"/>
    <w:rsid w:val="002258B3"/>
    <w:rsid w:val="00225AD4"/>
    <w:rsid w:val="00225EAB"/>
    <w:rsid w:val="002263CD"/>
    <w:rsid w:val="00226515"/>
    <w:rsid w:val="002271D0"/>
    <w:rsid w:val="0022723E"/>
    <w:rsid w:val="00227604"/>
    <w:rsid w:val="00227B1E"/>
    <w:rsid w:val="00230948"/>
    <w:rsid w:val="00230BEF"/>
    <w:rsid w:val="0023134F"/>
    <w:rsid w:val="00231513"/>
    <w:rsid w:val="0023174F"/>
    <w:rsid w:val="00231C1A"/>
    <w:rsid w:val="00231E9B"/>
    <w:rsid w:val="00231EDF"/>
    <w:rsid w:val="002323C3"/>
    <w:rsid w:val="0023244B"/>
    <w:rsid w:val="0023274C"/>
    <w:rsid w:val="00233361"/>
    <w:rsid w:val="002335B9"/>
    <w:rsid w:val="002338A5"/>
    <w:rsid w:val="00234156"/>
    <w:rsid w:val="00234753"/>
    <w:rsid w:val="00234946"/>
    <w:rsid w:val="00234F7B"/>
    <w:rsid w:val="0023510E"/>
    <w:rsid w:val="00235B6E"/>
    <w:rsid w:val="00236533"/>
    <w:rsid w:val="00236914"/>
    <w:rsid w:val="00237010"/>
    <w:rsid w:val="00237C9E"/>
    <w:rsid w:val="00237F70"/>
    <w:rsid w:val="002401C0"/>
    <w:rsid w:val="00240652"/>
    <w:rsid w:val="00240B70"/>
    <w:rsid w:val="00240E00"/>
    <w:rsid w:val="00241222"/>
    <w:rsid w:val="00241A60"/>
    <w:rsid w:val="00241B1B"/>
    <w:rsid w:val="00241C0B"/>
    <w:rsid w:val="00241D92"/>
    <w:rsid w:val="00241E1A"/>
    <w:rsid w:val="00241E82"/>
    <w:rsid w:val="00241E9B"/>
    <w:rsid w:val="0024229A"/>
    <w:rsid w:val="002423D9"/>
    <w:rsid w:val="00242AE0"/>
    <w:rsid w:val="00242AF1"/>
    <w:rsid w:val="00243369"/>
    <w:rsid w:val="00243427"/>
    <w:rsid w:val="00243451"/>
    <w:rsid w:val="00243545"/>
    <w:rsid w:val="00243A58"/>
    <w:rsid w:val="00243CE1"/>
    <w:rsid w:val="002441D3"/>
    <w:rsid w:val="00245165"/>
    <w:rsid w:val="00245822"/>
    <w:rsid w:val="002459F1"/>
    <w:rsid w:val="0024635C"/>
    <w:rsid w:val="0024642C"/>
    <w:rsid w:val="0024675A"/>
    <w:rsid w:val="00246780"/>
    <w:rsid w:val="00246AFE"/>
    <w:rsid w:val="00246B9F"/>
    <w:rsid w:val="00246FD8"/>
    <w:rsid w:val="0024703A"/>
    <w:rsid w:val="00247281"/>
    <w:rsid w:val="00247C7C"/>
    <w:rsid w:val="00247E49"/>
    <w:rsid w:val="00250A76"/>
    <w:rsid w:val="00250D30"/>
    <w:rsid w:val="00250F7A"/>
    <w:rsid w:val="0025121C"/>
    <w:rsid w:val="00251EC9"/>
    <w:rsid w:val="002523FE"/>
    <w:rsid w:val="00252A1B"/>
    <w:rsid w:val="00252A27"/>
    <w:rsid w:val="00253037"/>
    <w:rsid w:val="00253390"/>
    <w:rsid w:val="002535F5"/>
    <w:rsid w:val="00253DFC"/>
    <w:rsid w:val="00254C45"/>
    <w:rsid w:val="00254C7D"/>
    <w:rsid w:val="00255015"/>
    <w:rsid w:val="002552E3"/>
    <w:rsid w:val="00255580"/>
    <w:rsid w:val="00255904"/>
    <w:rsid w:val="00255AD9"/>
    <w:rsid w:val="00255B20"/>
    <w:rsid w:val="00255D0C"/>
    <w:rsid w:val="00255E68"/>
    <w:rsid w:val="00256391"/>
    <w:rsid w:val="00257757"/>
    <w:rsid w:val="00260EE6"/>
    <w:rsid w:val="00261215"/>
    <w:rsid w:val="0026201D"/>
    <w:rsid w:val="0026243A"/>
    <w:rsid w:val="002624D6"/>
    <w:rsid w:val="002632A8"/>
    <w:rsid w:val="0026348D"/>
    <w:rsid w:val="002637B4"/>
    <w:rsid w:val="00263814"/>
    <w:rsid w:val="00263B98"/>
    <w:rsid w:val="00263CF6"/>
    <w:rsid w:val="002643A7"/>
    <w:rsid w:val="00264679"/>
    <w:rsid w:val="0026496B"/>
    <w:rsid w:val="00264B27"/>
    <w:rsid w:val="00264C1E"/>
    <w:rsid w:val="00264C34"/>
    <w:rsid w:val="00264DB4"/>
    <w:rsid w:val="00264EEB"/>
    <w:rsid w:val="00264F88"/>
    <w:rsid w:val="00265230"/>
    <w:rsid w:val="00265264"/>
    <w:rsid w:val="002656B6"/>
    <w:rsid w:val="00265A30"/>
    <w:rsid w:val="00265CF7"/>
    <w:rsid w:val="00265E0A"/>
    <w:rsid w:val="002667D0"/>
    <w:rsid w:val="00266A8F"/>
    <w:rsid w:val="00266A9B"/>
    <w:rsid w:val="00266D67"/>
    <w:rsid w:val="002675A8"/>
    <w:rsid w:val="00267621"/>
    <w:rsid w:val="00267DCC"/>
    <w:rsid w:val="00270465"/>
    <w:rsid w:val="0027096F"/>
    <w:rsid w:val="00270A67"/>
    <w:rsid w:val="00270C4C"/>
    <w:rsid w:val="00270C62"/>
    <w:rsid w:val="00270ECE"/>
    <w:rsid w:val="0027177F"/>
    <w:rsid w:val="00272426"/>
    <w:rsid w:val="002729E2"/>
    <w:rsid w:val="00272AE2"/>
    <w:rsid w:val="00272E7B"/>
    <w:rsid w:val="00272FA9"/>
    <w:rsid w:val="0027303E"/>
    <w:rsid w:val="00273C94"/>
    <w:rsid w:val="002747C8"/>
    <w:rsid w:val="00274D5F"/>
    <w:rsid w:val="00274DDD"/>
    <w:rsid w:val="00274F6B"/>
    <w:rsid w:val="002751B0"/>
    <w:rsid w:val="0027522B"/>
    <w:rsid w:val="00275769"/>
    <w:rsid w:val="00275A1D"/>
    <w:rsid w:val="00275D17"/>
    <w:rsid w:val="00276008"/>
    <w:rsid w:val="0027634C"/>
    <w:rsid w:val="002763A1"/>
    <w:rsid w:val="0027680E"/>
    <w:rsid w:val="00276E91"/>
    <w:rsid w:val="002773D2"/>
    <w:rsid w:val="00277BF7"/>
    <w:rsid w:val="00280087"/>
    <w:rsid w:val="002808F1"/>
    <w:rsid w:val="00280B19"/>
    <w:rsid w:val="002814AF"/>
    <w:rsid w:val="00281670"/>
    <w:rsid w:val="002817B0"/>
    <w:rsid w:val="00281A96"/>
    <w:rsid w:val="00281EDE"/>
    <w:rsid w:val="00281F3B"/>
    <w:rsid w:val="002823EB"/>
    <w:rsid w:val="0028240E"/>
    <w:rsid w:val="002829FB"/>
    <w:rsid w:val="00282F61"/>
    <w:rsid w:val="00283242"/>
    <w:rsid w:val="00283545"/>
    <w:rsid w:val="002835CE"/>
    <w:rsid w:val="00283657"/>
    <w:rsid w:val="0028373E"/>
    <w:rsid w:val="00283B4B"/>
    <w:rsid w:val="002845A2"/>
    <w:rsid w:val="00285087"/>
    <w:rsid w:val="00285228"/>
    <w:rsid w:val="002852E3"/>
    <w:rsid w:val="002854FD"/>
    <w:rsid w:val="00285C36"/>
    <w:rsid w:val="00285D37"/>
    <w:rsid w:val="00285F2B"/>
    <w:rsid w:val="002862A7"/>
    <w:rsid w:val="00286493"/>
    <w:rsid w:val="00286522"/>
    <w:rsid w:val="002865C4"/>
    <w:rsid w:val="00286A30"/>
    <w:rsid w:val="00286B72"/>
    <w:rsid w:val="0028740B"/>
    <w:rsid w:val="002874B0"/>
    <w:rsid w:val="002919A8"/>
    <w:rsid w:val="00291DE1"/>
    <w:rsid w:val="002925FF"/>
    <w:rsid w:val="00292807"/>
    <w:rsid w:val="00292B49"/>
    <w:rsid w:val="00292BE4"/>
    <w:rsid w:val="00292D1B"/>
    <w:rsid w:val="00292D5F"/>
    <w:rsid w:val="002934F7"/>
    <w:rsid w:val="0029369C"/>
    <w:rsid w:val="00293C7A"/>
    <w:rsid w:val="00293CC0"/>
    <w:rsid w:val="002949CE"/>
    <w:rsid w:val="00295318"/>
    <w:rsid w:val="0029531C"/>
    <w:rsid w:val="0029563D"/>
    <w:rsid w:val="00295904"/>
    <w:rsid w:val="00295C8B"/>
    <w:rsid w:val="00295CA9"/>
    <w:rsid w:val="00295CFD"/>
    <w:rsid w:val="00295D02"/>
    <w:rsid w:val="00295D6B"/>
    <w:rsid w:val="00295E4C"/>
    <w:rsid w:val="00295F0C"/>
    <w:rsid w:val="002961D2"/>
    <w:rsid w:val="002963B1"/>
    <w:rsid w:val="00297233"/>
    <w:rsid w:val="002973F0"/>
    <w:rsid w:val="00297E6D"/>
    <w:rsid w:val="002A00DC"/>
    <w:rsid w:val="002A041C"/>
    <w:rsid w:val="002A0548"/>
    <w:rsid w:val="002A08BD"/>
    <w:rsid w:val="002A0BF2"/>
    <w:rsid w:val="002A0C1F"/>
    <w:rsid w:val="002A0D2B"/>
    <w:rsid w:val="002A107B"/>
    <w:rsid w:val="002A1705"/>
    <w:rsid w:val="002A1BBA"/>
    <w:rsid w:val="002A1C84"/>
    <w:rsid w:val="002A1EC3"/>
    <w:rsid w:val="002A2294"/>
    <w:rsid w:val="002A2C11"/>
    <w:rsid w:val="002A2F85"/>
    <w:rsid w:val="002A302E"/>
    <w:rsid w:val="002A33B7"/>
    <w:rsid w:val="002A3872"/>
    <w:rsid w:val="002A4198"/>
    <w:rsid w:val="002A4FA9"/>
    <w:rsid w:val="002A586D"/>
    <w:rsid w:val="002A5972"/>
    <w:rsid w:val="002A5AA2"/>
    <w:rsid w:val="002A5B48"/>
    <w:rsid w:val="002A5C99"/>
    <w:rsid w:val="002A5D5E"/>
    <w:rsid w:val="002A65A2"/>
    <w:rsid w:val="002A68D6"/>
    <w:rsid w:val="002A69A3"/>
    <w:rsid w:val="002A6AD5"/>
    <w:rsid w:val="002A6BF3"/>
    <w:rsid w:val="002A6F51"/>
    <w:rsid w:val="002A75E1"/>
    <w:rsid w:val="002A7AF6"/>
    <w:rsid w:val="002B042C"/>
    <w:rsid w:val="002B0668"/>
    <w:rsid w:val="002B0681"/>
    <w:rsid w:val="002B0BA3"/>
    <w:rsid w:val="002B0E1E"/>
    <w:rsid w:val="002B137E"/>
    <w:rsid w:val="002B1405"/>
    <w:rsid w:val="002B1671"/>
    <w:rsid w:val="002B199F"/>
    <w:rsid w:val="002B2191"/>
    <w:rsid w:val="002B231E"/>
    <w:rsid w:val="002B238F"/>
    <w:rsid w:val="002B2AAE"/>
    <w:rsid w:val="002B2EB6"/>
    <w:rsid w:val="002B2F4A"/>
    <w:rsid w:val="002B3034"/>
    <w:rsid w:val="002B30EC"/>
    <w:rsid w:val="002B3822"/>
    <w:rsid w:val="002B3950"/>
    <w:rsid w:val="002B3AFF"/>
    <w:rsid w:val="002B3DE1"/>
    <w:rsid w:val="002B3FE3"/>
    <w:rsid w:val="002B4263"/>
    <w:rsid w:val="002B4DB5"/>
    <w:rsid w:val="002B4FD3"/>
    <w:rsid w:val="002B524A"/>
    <w:rsid w:val="002B52CB"/>
    <w:rsid w:val="002B537B"/>
    <w:rsid w:val="002B54A0"/>
    <w:rsid w:val="002B5510"/>
    <w:rsid w:val="002B584F"/>
    <w:rsid w:val="002B665C"/>
    <w:rsid w:val="002B6793"/>
    <w:rsid w:val="002B6D6E"/>
    <w:rsid w:val="002B6F81"/>
    <w:rsid w:val="002B73DF"/>
    <w:rsid w:val="002B766F"/>
    <w:rsid w:val="002B7CCE"/>
    <w:rsid w:val="002B7D0D"/>
    <w:rsid w:val="002B7DCF"/>
    <w:rsid w:val="002B7EB1"/>
    <w:rsid w:val="002C2118"/>
    <w:rsid w:val="002C2796"/>
    <w:rsid w:val="002C29BC"/>
    <w:rsid w:val="002C29DA"/>
    <w:rsid w:val="002C2C49"/>
    <w:rsid w:val="002C3136"/>
    <w:rsid w:val="002C326E"/>
    <w:rsid w:val="002C3659"/>
    <w:rsid w:val="002C380C"/>
    <w:rsid w:val="002C3836"/>
    <w:rsid w:val="002C3AF5"/>
    <w:rsid w:val="002C4F10"/>
    <w:rsid w:val="002C51CE"/>
    <w:rsid w:val="002C6125"/>
    <w:rsid w:val="002C6529"/>
    <w:rsid w:val="002C66F8"/>
    <w:rsid w:val="002C6EF9"/>
    <w:rsid w:val="002C6F87"/>
    <w:rsid w:val="002C7680"/>
    <w:rsid w:val="002C7C3A"/>
    <w:rsid w:val="002C7E4F"/>
    <w:rsid w:val="002D01C6"/>
    <w:rsid w:val="002D0731"/>
    <w:rsid w:val="002D1877"/>
    <w:rsid w:val="002D1925"/>
    <w:rsid w:val="002D19C8"/>
    <w:rsid w:val="002D2D1D"/>
    <w:rsid w:val="002D2FD2"/>
    <w:rsid w:val="002D33D3"/>
    <w:rsid w:val="002D3CF3"/>
    <w:rsid w:val="002D3DD6"/>
    <w:rsid w:val="002D3EA0"/>
    <w:rsid w:val="002D444E"/>
    <w:rsid w:val="002D488A"/>
    <w:rsid w:val="002D4A08"/>
    <w:rsid w:val="002D6293"/>
    <w:rsid w:val="002D62EB"/>
    <w:rsid w:val="002D694F"/>
    <w:rsid w:val="002D6992"/>
    <w:rsid w:val="002D6AFD"/>
    <w:rsid w:val="002D7596"/>
    <w:rsid w:val="002D7664"/>
    <w:rsid w:val="002E01BF"/>
    <w:rsid w:val="002E0255"/>
    <w:rsid w:val="002E05B6"/>
    <w:rsid w:val="002E09B9"/>
    <w:rsid w:val="002E0E79"/>
    <w:rsid w:val="002E1258"/>
    <w:rsid w:val="002E1F9B"/>
    <w:rsid w:val="002E205A"/>
    <w:rsid w:val="002E2356"/>
    <w:rsid w:val="002E2D15"/>
    <w:rsid w:val="002E3108"/>
    <w:rsid w:val="002E3137"/>
    <w:rsid w:val="002E322B"/>
    <w:rsid w:val="002E34D5"/>
    <w:rsid w:val="002E36CF"/>
    <w:rsid w:val="002E3DD2"/>
    <w:rsid w:val="002E450F"/>
    <w:rsid w:val="002E4681"/>
    <w:rsid w:val="002E48B5"/>
    <w:rsid w:val="002E4BC1"/>
    <w:rsid w:val="002E5274"/>
    <w:rsid w:val="002E52A1"/>
    <w:rsid w:val="002E5450"/>
    <w:rsid w:val="002E54E2"/>
    <w:rsid w:val="002E5549"/>
    <w:rsid w:val="002E5A49"/>
    <w:rsid w:val="002E5B0B"/>
    <w:rsid w:val="002E6B74"/>
    <w:rsid w:val="002E6CB5"/>
    <w:rsid w:val="002E6EB6"/>
    <w:rsid w:val="002E7949"/>
    <w:rsid w:val="002F0585"/>
    <w:rsid w:val="002F0E53"/>
    <w:rsid w:val="002F14A3"/>
    <w:rsid w:val="002F1A5E"/>
    <w:rsid w:val="002F21AD"/>
    <w:rsid w:val="002F23B0"/>
    <w:rsid w:val="002F2782"/>
    <w:rsid w:val="002F28F5"/>
    <w:rsid w:val="002F34B3"/>
    <w:rsid w:val="002F350B"/>
    <w:rsid w:val="002F36A2"/>
    <w:rsid w:val="002F38CB"/>
    <w:rsid w:val="002F439F"/>
    <w:rsid w:val="002F4489"/>
    <w:rsid w:val="002F4A90"/>
    <w:rsid w:val="002F4C4C"/>
    <w:rsid w:val="002F5874"/>
    <w:rsid w:val="002F5C96"/>
    <w:rsid w:val="002F5E5D"/>
    <w:rsid w:val="002F600C"/>
    <w:rsid w:val="002F662D"/>
    <w:rsid w:val="002F6D09"/>
    <w:rsid w:val="002F71E2"/>
    <w:rsid w:val="002F78A9"/>
    <w:rsid w:val="002F7996"/>
    <w:rsid w:val="00300BA6"/>
    <w:rsid w:val="00300E01"/>
    <w:rsid w:val="003013D0"/>
    <w:rsid w:val="0030148F"/>
    <w:rsid w:val="003014EC"/>
    <w:rsid w:val="003014F3"/>
    <w:rsid w:val="00301986"/>
    <w:rsid w:val="00301A21"/>
    <w:rsid w:val="00301A30"/>
    <w:rsid w:val="00301ABE"/>
    <w:rsid w:val="0030224F"/>
    <w:rsid w:val="003025D7"/>
    <w:rsid w:val="00302798"/>
    <w:rsid w:val="00302E91"/>
    <w:rsid w:val="00303355"/>
    <w:rsid w:val="0030347E"/>
    <w:rsid w:val="00303517"/>
    <w:rsid w:val="003038B0"/>
    <w:rsid w:val="00305B9E"/>
    <w:rsid w:val="00305EF8"/>
    <w:rsid w:val="00306467"/>
    <w:rsid w:val="00306ABC"/>
    <w:rsid w:val="00306CBD"/>
    <w:rsid w:val="00307ED6"/>
    <w:rsid w:val="00310351"/>
    <w:rsid w:val="00310405"/>
    <w:rsid w:val="00310483"/>
    <w:rsid w:val="00310A84"/>
    <w:rsid w:val="00310DDB"/>
    <w:rsid w:val="00310E6B"/>
    <w:rsid w:val="003111CB"/>
    <w:rsid w:val="00311AB0"/>
    <w:rsid w:val="00311DC9"/>
    <w:rsid w:val="00311EA4"/>
    <w:rsid w:val="003124C4"/>
    <w:rsid w:val="0031254F"/>
    <w:rsid w:val="00312927"/>
    <w:rsid w:val="00312B9C"/>
    <w:rsid w:val="00312F21"/>
    <w:rsid w:val="00313055"/>
    <w:rsid w:val="0031314C"/>
    <w:rsid w:val="0031410B"/>
    <w:rsid w:val="003142AB"/>
    <w:rsid w:val="003142B6"/>
    <w:rsid w:val="003146A7"/>
    <w:rsid w:val="00314776"/>
    <w:rsid w:val="003149B7"/>
    <w:rsid w:val="00314AD8"/>
    <w:rsid w:val="00314E05"/>
    <w:rsid w:val="00315228"/>
    <w:rsid w:val="003158D4"/>
    <w:rsid w:val="00315C06"/>
    <w:rsid w:val="00315C30"/>
    <w:rsid w:val="00316220"/>
    <w:rsid w:val="00316709"/>
    <w:rsid w:val="0031696C"/>
    <w:rsid w:val="003169AA"/>
    <w:rsid w:val="00316FBA"/>
    <w:rsid w:val="003170AD"/>
    <w:rsid w:val="00317109"/>
    <w:rsid w:val="003178B6"/>
    <w:rsid w:val="003178B9"/>
    <w:rsid w:val="00317F35"/>
    <w:rsid w:val="00320096"/>
    <w:rsid w:val="0032057F"/>
    <w:rsid w:val="003205D3"/>
    <w:rsid w:val="00320758"/>
    <w:rsid w:val="003209C8"/>
    <w:rsid w:val="00320CC3"/>
    <w:rsid w:val="003214B0"/>
    <w:rsid w:val="0032180C"/>
    <w:rsid w:val="003219FE"/>
    <w:rsid w:val="00321A67"/>
    <w:rsid w:val="0032286E"/>
    <w:rsid w:val="00322CF7"/>
    <w:rsid w:val="0032302D"/>
    <w:rsid w:val="00323096"/>
    <w:rsid w:val="00323875"/>
    <w:rsid w:val="00323D4C"/>
    <w:rsid w:val="00323DD9"/>
    <w:rsid w:val="003243AA"/>
    <w:rsid w:val="00324CE2"/>
    <w:rsid w:val="00324D09"/>
    <w:rsid w:val="00324DEF"/>
    <w:rsid w:val="0032522E"/>
    <w:rsid w:val="0032562F"/>
    <w:rsid w:val="00325C0A"/>
    <w:rsid w:val="00325D5B"/>
    <w:rsid w:val="00325FFA"/>
    <w:rsid w:val="003261CF"/>
    <w:rsid w:val="0032637D"/>
    <w:rsid w:val="003265F1"/>
    <w:rsid w:val="003269C9"/>
    <w:rsid w:val="00326DEC"/>
    <w:rsid w:val="00326E7E"/>
    <w:rsid w:val="003272E6"/>
    <w:rsid w:val="0032741E"/>
    <w:rsid w:val="00327E0E"/>
    <w:rsid w:val="0033035B"/>
    <w:rsid w:val="00330412"/>
    <w:rsid w:val="003305B7"/>
    <w:rsid w:val="00330B76"/>
    <w:rsid w:val="00330D35"/>
    <w:rsid w:val="003313F5"/>
    <w:rsid w:val="00331652"/>
    <w:rsid w:val="00331C08"/>
    <w:rsid w:val="0033210D"/>
    <w:rsid w:val="00332200"/>
    <w:rsid w:val="003324F6"/>
    <w:rsid w:val="00332EBE"/>
    <w:rsid w:val="00332FFF"/>
    <w:rsid w:val="003332B6"/>
    <w:rsid w:val="003335B5"/>
    <w:rsid w:val="00333FB5"/>
    <w:rsid w:val="003340A7"/>
    <w:rsid w:val="00334145"/>
    <w:rsid w:val="003341FF"/>
    <w:rsid w:val="00334F3F"/>
    <w:rsid w:val="00334F41"/>
    <w:rsid w:val="00334FD4"/>
    <w:rsid w:val="003350BD"/>
    <w:rsid w:val="00335525"/>
    <w:rsid w:val="0033560A"/>
    <w:rsid w:val="00336126"/>
    <w:rsid w:val="003361DB"/>
    <w:rsid w:val="003363C4"/>
    <w:rsid w:val="003369E4"/>
    <w:rsid w:val="00336CA8"/>
    <w:rsid w:val="00336D47"/>
    <w:rsid w:val="00337608"/>
    <w:rsid w:val="0033791C"/>
    <w:rsid w:val="0034058F"/>
    <w:rsid w:val="003409B3"/>
    <w:rsid w:val="00340AE9"/>
    <w:rsid w:val="00341639"/>
    <w:rsid w:val="00341757"/>
    <w:rsid w:val="00341A63"/>
    <w:rsid w:val="00341B96"/>
    <w:rsid w:val="003427FC"/>
    <w:rsid w:val="00342F43"/>
    <w:rsid w:val="0034342A"/>
    <w:rsid w:val="00343613"/>
    <w:rsid w:val="00343E38"/>
    <w:rsid w:val="00343EC3"/>
    <w:rsid w:val="0034416B"/>
    <w:rsid w:val="00344409"/>
    <w:rsid w:val="003445FF"/>
    <w:rsid w:val="00344668"/>
    <w:rsid w:val="00344AE0"/>
    <w:rsid w:val="00344D2A"/>
    <w:rsid w:val="003451DC"/>
    <w:rsid w:val="00345413"/>
    <w:rsid w:val="00345B12"/>
    <w:rsid w:val="0034640E"/>
    <w:rsid w:val="00346992"/>
    <w:rsid w:val="00346EFB"/>
    <w:rsid w:val="003471EC"/>
    <w:rsid w:val="00347918"/>
    <w:rsid w:val="00347DFC"/>
    <w:rsid w:val="00347F68"/>
    <w:rsid w:val="003504EF"/>
    <w:rsid w:val="003506EB"/>
    <w:rsid w:val="0035085B"/>
    <w:rsid w:val="00350A9E"/>
    <w:rsid w:val="00350C34"/>
    <w:rsid w:val="00350E81"/>
    <w:rsid w:val="00351347"/>
    <w:rsid w:val="003513A8"/>
    <w:rsid w:val="0035142F"/>
    <w:rsid w:val="00351513"/>
    <w:rsid w:val="0035164F"/>
    <w:rsid w:val="00351B69"/>
    <w:rsid w:val="00351F42"/>
    <w:rsid w:val="0035207E"/>
    <w:rsid w:val="00352244"/>
    <w:rsid w:val="003522F0"/>
    <w:rsid w:val="00352691"/>
    <w:rsid w:val="0035269D"/>
    <w:rsid w:val="0035293B"/>
    <w:rsid w:val="00352BA4"/>
    <w:rsid w:val="00353031"/>
    <w:rsid w:val="00353F55"/>
    <w:rsid w:val="00354151"/>
    <w:rsid w:val="0035425D"/>
    <w:rsid w:val="003547FD"/>
    <w:rsid w:val="0035529B"/>
    <w:rsid w:val="003555A8"/>
    <w:rsid w:val="003559D8"/>
    <w:rsid w:val="00355B4E"/>
    <w:rsid w:val="00355C6A"/>
    <w:rsid w:val="00355E43"/>
    <w:rsid w:val="003563AB"/>
    <w:rsid w:val="003563EC"/>
    <w:rsid w:val="00356422"/>
    <w:rsid w:val="00356755"/>
    <w:rsid w:val="00356CE2"/>
    <w:rsid w:val="00356FDA"/>
    <w:rsid w:val="003576FB"/>
    <w:rsid w:val="00357766"/>
    <w:rsid w:val="00357A50"/>
    <w:rsid w:val="00357ACC"/>
    <w:rsid w:val="00360136"/>
    <w:rsid w:val="00360387"/>
    <w:rsid w:val="00360821"/>
    <w:rsid w:val="0036186D"/>
    <w:rsid w:val="00361886"/>
    <w:rsid w:val="00361927"/>
    <w:rsid w:val="00361C20"/>
    <w:rsid w:val="0036281C"/>
    <w:rsid w:val="00362AE2"/>
    <w:rsid w:val="00363433"/>
    <w:rsid w:val="00363603"/>
    <w:rsid w:val="00363AC1"/>
    <w:rsid w:val="00364168"/>
    <w:rsid w:val="0036422B"/>
    <w:rsid w:val="003642CD"/>
    <w:rsid w:val="00364563"/>
    <w:rsid w:val="003645C3"/>
    <w:rsid w:val="0036486C"/>
    <w:rsid w:val="0036542F"/>
    <w:rsid w:val="0036575E"/>
    <w:rsid w:val="00365B6F"/>
    <w:rsid w:val="003661F4"/>
    <w:rsid w:val="0036639B"/>
    <w:rsid w:val="003664E2"/>
    <w:rsid w:val="0036712D"/>
    <w:rsid w:val="00367364"/>
    <w:rsid w:val="003674E1"/>
    <w:rsid w:val="003674EE"/>
    <w:rsid w:val="003676B7"/>
    <w:rsid w:val="003677A5"/>
    <w:rsid w:val="003678DA"/>
    <w:rsid w:val="00367A1A"/>
    <w:rsid w:val="00367B0A"/>
    <w:rsid w:val="0037001D"/>
    <w:rsid w:val="0037009E"/>
    <w:rsid w:val="003700DB"/>
    <w:rsid w:val="003702D2"/>
    <w:rsid w:val="00370528"/>
    <w:rsid w:val="003705BB"/>
    <w:rsid w:val="0037065F"/>
    <w:rsid w:val="0037094C"/>
    <w:rsid w:val="00370D39"/>
    <w:rsid w:val="00370F81"/>
    <w:rsid w:val="00371D16"/>
    <w:rsid w:val="00371E3B"/>
    <w:rsid w:val="00372086"/>
    <w:rsid w:val="00372AD1"/>
    <w:rsid w:val="003737B7"/>
    <w:rsid w:val="00373868"/>
    <w:rsid w:val="003740B4"/>
    <w:rsid w:val="003742E1"/>
    <w:rsid w:val="00374420"/>
    <w:rsid w:val="00374639"/>
    <w:rsid w:val="00374904"/>
    <w:rsid w:val="00374BF2"/>
    <w:rsid w:val="00374D48"/>
    <w:rsid w:val="00374D8C"/>
    <w:rsid w:val="00375219"/>
    <w:rsid w:val="00375F9F"/>
    <w:rsid w:val="003767F9"/>
    <w:rsid w:val="003769E3"/>
    <w:rsid w:val="00376A14"/>
    <w:rsid w:val="003771E4"/>
    <w:rsid w:val="003775E9"/>
    <w:rsid w:val="003776F5"/>
    <w:rsid w:val="00377C2B"/>
    <w:rsid w:val="00377C3D"/>
    <w:rsid w:val="00377DEE"/>
    <w:rsid w:val="00377F66"/>
    <w:rsid w:val="0038069F"/>
    <w:rsid w:val="003807D2"/>
    <w:rsid w:val="00380B1B"/>
    <w:rsid w:val="00380D7F"/>
    <w:rsid w:val="00381791"/>
    <w:rsid w:val="003818E3"/>
    <w:rsid w:val="003821A5"/>
    <w:rsid w:val="0038250C"/>
    <w:rsid w:val="003825DD"/>
    <w:rsid w:val="0038320C"/>
    <w:rsid w:val="003834FC"/>
    <w:rsid w:val="00383661"/>
    <w:rsid w:val="00383856"/>
    <w:rsid w:val="00383932"/>
    <w:rsid w:val="00384447"/>
    <w:rsid w:val="0038498D"/>
    <w:rsid w:val="00384B92"/>
    <w:rsid w:val="00385096"/>
    <w:rsid w:val="0038535C"/>
    <w:rsid w:val="00385641"/>
    <w:rsid w:val="00386DBD"/>
    <w:rsid w:val="003875BB"/>
    <w:rsid w:val="0039056A"/>
    <w:rsid w:val="003905B6"/>
    <w:rsid w:val="00391218"/>
    <w:rsid w:val="00391783"/>
    <w:rsid w:val="00391C8B"/>
    <w:rsid w:val="00392068"/>
    <w:rsid w:val="00392593"/>
    <w:rsid w:val="003925C6"/>
    <w:rsid w:val="0039267E"/>
    <w:rsid w:val="0039338E"/>
    <w:rsid w:val="0039360C"/>
    <w:rsid w:val="0039398D"/>
    <w:rsid w:val="00393C05"/>
    <w:rsid w:val="00394140"/>
    <w:rsid w:val="00394BD2"/>
    <w:rsid w:val="00394C39"/>
    <w:rsid w:val="00394EC3"/>
    <w:rsid w:val="0039527A"/>
    <w:rsid w:val="00395F08"/>
    <w:rsid w:val="00396029"/>
    <w:rsid w:val="003963FE"/>
    <w:rsid w:val="00396507"/>
    <w:rsid w:val="00396525"/>
    <w:rsid w:val="0039674B"/>
    <w:rsid w:val="0039675A"/>
    <w:rsid w:val="0039709F"/>
    <w:rsid w:val="003A04C4"/>
    <w:rsid w:val="003A0735"/>
    <w:rsid w:val="003A0C6D"/>
    <w:rsid w:val="003A179C"/>
    <w:rsid w:val="003A2061"/>
    <w:rsid w:val="003A23BB"/>
    <w:rsid w:val="003A270E"/>
    <w:rsid w:val="003A2888"/>
    <w:rsid w:val="003A2994"/>
    <w:rsid w:val="003A2DA2"/>
    <w:rsid w:val="003A2F0D"/>
    <w:rsid w:val="003A3180"/>
    <w:rsid w:val="003A3223"/>
    <w:rsid w:val="003A3697"/>
    <w:rsid w:val="003A3846"/>
    <w:rsid w:val="003A440E"/>
    <w:rsid w:val="003A49E2"/>
    <w:rsid w:val="003A5AEC"/>
    <w:rsid w:val="003A5AF9"/>
    <w:rsid w:val="003A5FF3"/>
    <w:rsid w:val="003A63D4"/>
    <w:rsid w:val="003A6720"/>
    <w:rsid w:val="003A67BD"/>
    <w:rsid w:val="003A6B1A"/>
    <w:rsid w:val="003A75A4"/>
    <w:rsid w:val="003A76F0"/>
    <w:rsid w:val="003A7722"/>
    <w:rsid w:val="003A7A87"/>
    <w:rsid w:val="003B04E1"/>
    <w:rsid w:val="003B05C8"/>
    <w:rsid w:val="003B06DB"/>
    <w:rsid w:val="003B0752"/>
    <w:rsid w:val="003B0A22"/>
    <w:rsid w:val="003B0C51"/>
    <w:rsid w:val="003B1152"/>
    <w:rsid w:val="003B14DC"/>
    <w:rsid w:val="003B15F2"/>
    <w:rsid w:val="003B179E"/>
    <w:rsid w:val="003B1930"/>
    <w:rsid w:val="003B1C43"/>
    <w:rsid w:val="003B1D92"/>
    <w:rsid w:val="003B1F28"/>
    <w:rsid w:val="003B2046"/>
    <w:rsid w:val="003B213E"/>
    <w:rsid w:val="003B2352"/>
    <w:rsid w:val="003B258B"/>
    <w:rsid w:val="003B2C60"/>
    <w:rsid w:val="003B2CE3"/>
    <w:rsid w:val="003B303F"/>
    <w:rsid w:val="003B30AB"/>
    <w:rsid w:val="003B35BD"/>
    <w:rsid w:val="003B36E9"/>
    <w:rsid w:val="003B3762"/>
    <w:rsid w:val="003B3F39"/>
    <w:rsid w:val="003B417E"/>
    <w:rsid w:val="003B48F9"/>
    <w:rsid w:val="003B4A6C"/>
    <w:rsid w:val="003B4DA2"/>
    <w:rsid w:val="003B4E5F"/>
    <w:rsid w:val="003B5131"/>
    <w:rsid w:val="003B55AB"/>
    <w:rsid w:val="003B5A64"/>
    <w:rsid w:val="003B5E15"/>
    <w:rsid w:val="003B68D9"/>
    <w:rsid w:val="003B6D60"/>
    <w:rsid w:val="003B6E22"/>
    <w:rsid w:val="003B6E7B"/>
    <w:rsid w:val="003B6EE1"/>
    <w:rsid w:val="003B70AD"/>
    <w:rsid w:val="003B7266"/>
    <w:rsid w:val="003C0D17"/>
    <w:rsid w:val="003C0E1C"/>
    <w:rsid w:val="003C0F9F"/>
    <w:rsid w:val="003C1154"/>
    <w:rsid w:val="003C15A1"/>
    <w:rsid w:val="003C22B9"/>
    <w:rsid w:val="003C2D28"/>
    <w:rsid w:val="003C3077"/>
    <w:rsid w:val="003C322B"/>
    <w:rsid w:val="003C3670"/>
    <w:rsid w:val="003C3D25"/>
    <w:rsid w:val="003C3EB6"/>
    <w:rsid w:val="003C3FC3"/>
    <w:rsid w:val="003C405E"/>
    <w:rsid w:val="003C4407"/>
    <w:rsid w:val="003C524D"/>
    <w:rsid w:val="003C545F"/>
    <w:rsid w:val="003C5CC6"/>
    <w:rsid w:val="003C5D74"/>
    <w:rsid w:val="003C5FF3"/>
    <w:rsid w:val="003C601A"/>
    <w:rsid w:val="003C6159"/>
    <w:rsid w:val="003C6B70"/>
    <w:rsid w:val="003C6D03"/>
    <w:rsid w:val="003C7566"/>
    <w:rsid w:val="003C7675"/>
    <w:rsid w:val="003C770E"/>
    <w:rsid w:val="003D06A8"/>
    <w:rsid w:val="003D06FE"/>
    <w:rsid w:val="003D09EC"/>
    <w:rsid w:val="003D0CF1"/>
    <w:rsid w:val="003D0F1F"/>
    <w:rsid w:val="003D15D9"/>
    <w:rsid w:val="003D1628"/>
    <w:rsid w:val="003D23A4"/>
    <w:rsid w:val="003D3189"/>
    <w:rsid w:val="003D3329"/>
    <w:rsid w:val="003D390F"/>
    <w:rsid w:val="003D3B25"/>
    <w:rsid w:val="003D3DEB"/>
    <w:rsid w:val="003D4BC8"/>
    <w:rsid w:val="003D5435"/>
    <w:rsid w:val="003D5F0C"/>
    <w:rsid w:val="003D619B"/>
    <w:rsid w:val="003D6800"/>
    <w:rsid w:val="003D708C"/>
    <w:rsid w:val="003D776A"/>
    <w:rsid w:val="003D79FB"/>
    <w:rsid w:val="003D7BAC"/>
    <w:rsid w:val="003D7EBD"/>
    <w:rsid w:val="003E0069"/>
    <w:rsid w:val="003E010A"/>
    <w:rsid w:val="003E0FFB"/>
    <w:rsid w:val="003E1C29"/>
    <w:rsid w:val="003E1C4A"/>
    <w:rsid w:val="003E1C91"/>
    <w:rsid w:val="003E21DD"/>
    <w:rsid w:val="003E2282"/>
    <w:rsid w:val="003E2536"/>
    <w:rsid w:val="003E27C5"/>
    <w:rsid w:val="003E2BC3"/>
    <w:rsid w:val="003E2E1C"/>
    <w:rsid w:val="003E3308"/>
    <w:rsid w:val="003E33B8"/>
    <w:rsid w:val="003E37B2"/>
    <w:rsid w:val="003E3880"/>
    <w:rsid w:val="003E403A"/>
    <w:rsid w:val="003E4295"/>
    <w:rsid w:val="003E44B2"/>
    <w:rsid w:val="003E4560"/>
    <w:rsid w:val="003E4582"/>
    <w:rsid w:val="003E49CC"/>
    <w:rsid w:val="003E4BD3"/>
    <w:rsid w:val="003E4DB7"/>
    <w:rsid w:val="003E5BAF"/>
    <w:rsid w:val="003E678F"/>
    <w:rsid w:val="003E67B4"/>
    <w:rsid w:val="003E75DE"/>
    <w:rsid w:val="003F04C5"/>
    <w:rsid w:val="003F0B65"/>
    <w:rsid w:val="003F0D94"/>
    <w:rsid w:val="003F1087"/>
    <w:rsid w:val="003F10F4"/>
    <w:rsid w:val="003F1110"/>
    <w:rsid w:val="003F14CD"/>
    <w:rsid w:val="003F16AE"/>
    <w:rsid w:val="003F1D4B"/>
    <w:rsid w:val="003F2634"/>
    <w:rsid w:val="003F2650"/>
    <w:rsid w:val="003F2AA1"/>
    <w:rsid w:val="003F349C"/>
    <w:rsid w:val="003F373C"/>
    <w:rsid w:val="003F37FC"/>
    <w:rsid w:val="003F39B8"/>
    <w:rsid w:val="003F3BD2"/>
    <w:rsid w:val="003F3C9C"/>
    <w:rsid w:val="003F4397"/>
    <w:rsid w:val="003F43B6"/>
    <w:rsid w:val="003F44B1"/>
    <w:rsid w:val="003F4A3B"/>
    <w:rsid w:val="003F50DF"/>
    <w:rsid w:val="003F5441"/>
    <w:rsid w:val="003F5531"/>
    <w:rsid w:val="003F66ED"/>
    <w:rsid w:val="003F675B"/>
    <w:rsid w:val="003F7697"/>
    <w:rsid w:val="003F7C27"/>
    <w:rsid w:val="003F7DD8"/>
    <w:rsid w:val="003F7E3F"/>
    <w:rsid w:val="00400013"/>
    <w:rsid w:val="0040003B"/>
    <w:rsid w:val="004005BE"/>
    <w:rsid w:val="00400C1E"/>
    <w:rsid w:val="00400DB6"/>
    <w:rsid w:val="00401748"/>
    <w:rsid w:val="00401AA4"/>
    <w:rsid w:val="00401DDB"/>
    <w:rsid w:val="00401F74"/>
    <w:rsid w:val="004024DC"/>
    <w:rsid w:val="0040250C"/>
    <w:rsid w:val="004032F4"/>
    <w:rsid w:val="00403376"/>
    <w:rsid w:val="0040349B"/>
    <w:rsid w:val="0040410B"/>
    <w:rsid w:val="0040499D"/>
    <w:rsid w:val="004049CF"/>
    <w:rsid w:val="00404F02"/>
    <w:rsid w:val="00405265"/>
    <w:rsid w:val="004055BF"/>
    <w:rsid w:val="00405707"/>
    <w:rsid w:val="004057FD"/>
    <w:rsid w:val="00406C11"/>
    <w:rsid w:val="00406CBC"/>
    <w:rsid w:val="00406FCA"/>
    <w:rsid w:val="00407057"/>
    <w:rsid w:val="00407287"/>
    <w:rsid w:val="0040757E"/>
    <w:rsid w:val="00407B1F"/>
    <w:rsid w:val="00407C96"/>
    <w:rsid w:val="00407EFE"/>
    <w:rsid w:val="00407F7E"/>
    <w:rsid w:val="00410815"/>
    <w:rsid w:val="00410954"/>
    <w:rsid w:val="00410A36"/>
    <w:rsid w:val="00410E73"/>
    <w:rsid w:val="004119EE"/>
    <w:rsid w:val="00411F7F"/>
    <w:rsid w:val="00412408"/>
    <w:rsid w:val="00412520"/>
    <w:rsid w:val="00412ACE"/>
    <w:rsid w:val="00412AE4"/>
    <w:rsid w:val="00412CA0"/>
    <w:rsid w:val="00412FBF"/>
    <w:rsid w:val="0041369F"/>
    <w:rsid w:val="00413A7C"/>
    <w:rsid w:val="00413EB7"/>
    <w:rsid w:val="00414255"/>
    <w:rsid w:val="004144FE"/>
    <w:rsid w:val="0041451F"/>
    <w:rsid w:val="00414B52"/>
    <w:rsid w:val="00414D61"/>
    <w:rsid w:val="00414E92"/>
    <w:rsid w:val="00415D1F"/>
    <w:rsid w:val="00415F44"/>
    <w:rsid w:val="004161E8"/>
    <w:rsid w:val="004164ED"/>
    <w:rsid w:val="00416E43"/>
    <w:rsid w:val="004170C9"/>
    <w:rsid w:val="004170FC"/>
    <w:rsid w:val="00417234"/>
    <w:rsid w:val="0041752A"/>
    <w:rsid w:val="00417642"/>
    <w:rsid w:val="004176B4"/>
    <w:rsid w:val="004179DD"/>
    <w:rsid w:val="00417E43"/>
    <w:rsid w:val="00420857"/>
    <w:rsid w:val="0042156F"/>
    <w:rsid w:val="00421698"/>
    <w:rsid w:val="004220B5"/>
    <w:rsid w:val="004222CB"/>
    <w:rsid w:val="004223BB"/>
    <w:rsid w:val="00422488"/>
    <w:rsid w:val="004229E6"/>
    <w:rsid w:val="00422BEA"/>
    <w:rsid w:val="00422EA9"/>
    <w:rsid w:val="00423403"/>
    <w:rsid w:val="004243DA"/>
    <w:rsid w:val="00424A2C"/>
    <w:rsid w:val="00425505"/>
    <w:rsid w:val="00425BFE"/>
    <w:rsid w:val="0042601C"/>
    <w:rsid w:val="0042611F"/>
    <w:rsid w:val="0042634C"/>
    <w:rsid w:val="0042658F"/>
    <w:rsid w:val="00426BED"/>
    <w:rsid w:val="00426C3B"/>
    <w:rsid w:val="00426F39"/>
    <w:rsid w:val="00427044"/>
    <w:rsid w:val="004272CB"/>
    <w:rsid w:val="00430370"/>
    <w:rsid w:val="0043051B"/>
    <w:rsid w:val="004307D0"/>
    <w:rsid w:val="00430809"/>
    <w:rsid w:val="00430BBD"/>
    <w:rsid w:val="00430E53"/>
    <w:rsid w:val="004313DF"/>
    <w:rsid w:val="00431820"/>
    <w:rsid w:val="0043182F"/>
    <w:rsid w:val="00431EFA"/>
    <w:rsid w:val="0043200C"/>
    <w:rsid w:val="0043236C"/>
    <w:rsid w:val="004324F5"/>
    <w:rsid w:val="004329D5"/>
    <w:rsid w:val="0043301B"/>
    <w:rsid w:val="004339B2"/>
    <w:rsid w:val="00434189"/>
    <w:rsid w:val="004344BF"/>
    <w:rsid w:val="00434CDD"/>
    <w:rsid w:val="0043501B"/>
    <w:rsid w:val="004350E6"/>
    <w:rsid w:val="004352F4"/>
    <w:rsid w:val="00435890"/>
    <w:rsid w:val="00435A9C"/>
    <w:rsid w:val="00435D45"/>
    <w:rsid w:val="0043658D"/>
    <w:rsid w:val="004365BA"/>
    <w:rsid w:val="004367B1"/>
    <w:rsid w:val="00436A5D"/>
    <w:rsid w:val="00436C9F"/>
    <w:rsid w:val="00437040"/>
    <w:rsid w:val="0043756E"/>
    <w:rsid w:val="00437800"/>
    <w:rsid w:val="004378B2"/>
    <w:rsid w:val="004379F9"/>
    <w:rsid w:val="00437A0F"/>
    <w:rsid w:val="00437AA1"/>
    <w:rsid w:val="00437B38"/>
    <w:rsid w:val="00437CE1"/>
    <w:rsid w:val="0044005A"/>
    <w:rsid w:val="004405EC"/>
    <w:rsid w:val="00440C36"/>
    <w:rsid w:val="00440C86"/>
    <w:rsid w:val="00440D83"/>
    <w:rsid w:val="0044101F"/>
    <w:rsid w:val="00441A54"/>
    <w:rsid w:val="00441B21"/>
    <w:rsid w:val="00441B7B"/>
    <w:rsid w:val="00441B97"/>
    <w:rsid w:val="00441DC2"/>
    <w:rsid w:val="004424E3"/>
    <w:rsid w:val="00442718"/>
    <w:rsid w:val="00442734"/>
    <w:rsid w:val="00442A9F"/>
    <w:rsid w:val="00442B8A"/>
    <w:rsid w:val="0044335C"/>
    <w:rsid w:val="004438E3"/>
    <w:rsid w:val="00443E1D"/>
    <w:rsid w:val="0044454D"/>
    <w:rsid w:val="004445DB"/>
    <w:rsid w:val="00444712"/>
    <w:rsid w:val="00444985"/>
    <w:rsid w:val="00444E33"/>
    <w:rsid w:val="00444E69"/>
    <w:rsid w:val="00444E8C"/>
    <w:rsid w:val="00445665"/>
    <w:rsid w:val="00447764"/>
    <w:rsid w:val="00447B5F"/>
    <w:rsid w:val="0045007E"/>
    <w:rsid w:val="00450107"/>
    <w:rsid w:val="00450D5A"/>
    <w:rsid w:val="0045117D"/>
    <w:rsid w:val="00451C8A"/>
    <w:rsid w:val="00452833"/>
    <w:rsid w:val="00452FD2"/>
    <w:rsid w:val="004530E8"/>
    <w:rsid w:val="00453178"/>
    <w:rsid w:val="0045360E"/>
    <w:rsid w:val="004543DD"/>
    <w:rsid w:val="00454AA5"/>
    <w:rsid w:val="00454ADE"/>
    <w:rsid w:val="004553E2"/>
    <w:rsid w:val="0045595C"/>
    <w:rsid w:val="00455E78"/>
    <w:rsid w:val="0045644F"/>
    <w:rsid w:val="004565EB"/>
    <w:rsid w:val="0045697F"/>
    <w:rsid w:val="00456D75"/>
    <w:rsid w:val="00457779"/>
    <w:rsid w:val="004602DF"/>
    <w:rsid w:val="0046044E"/>
    <w:rsid w:val="00460803"/>
    <w:rsid w:val="00460E74"/>
    <w:rsid w:val="00461177"/>
    <w:rsid w:val="004612A6"/>
    <w:rsid w:val="00461317"/>
    <w:rsid w:val="00461549"/>
    <w:rsid w:val="004615C1"/>
    <w:rsid w:val="00461D82"/>
    <w:rsid w:val="00462286"/>
    <w:rsid w:val="004623BA"/>
    <w:rsid w:val="004625CA"/>
    <w:rsid w:val="004628AC"/>
    <w:rsid w:val="0046297C"/>
    <w:rsid w:val="00462BDA"/>
    <w:rsid w:val="00462C14"/>
    <w:rsid w:val="00463007"/>
    <w:rsid w:val="004632DD"/>
    <w:rsid w:val="004637E8"/>
    <w:rsid w:val="00463B1C"/>
    <w:rsid w:val="00463EF6"/>
    <w:rsid w:val="00463FCE"/>
    <w:rsid w:val="00465019"/>
    <w:rsid w:val="004653C0"/>
    <w:rsid w:val="00465760"/>
    <w:rsid w:val="00465B57"/>
    <w:rsid w:val="0046628B"/>
    <w:rsid w:val="00466A4A"/>
    <w:rsid w:val="00466C83"/>
    <w:rsid w:val="00467286"/>
    <w:rsid w:val="00467827"/>
    <w:rsid w:val="00467955"/>
    <w:rsid w:val="00467B5C"/>
    <w:rsid w:val="00470471"/>
    <w:rsid w:val="00470668"/>
    <w:rsid w:val="00470753"/>
    <w:rsid w:val="00470FFE"/>
    <w:rsid w:val="004715EC"/>
    <w:rsid w:val="00471984"/>
    <w:rsid w:val="0047204E"/>
    <w:rsid w:val="00472084"/>
    <w:rsid w:val="00472750"/>
    <w:rsid w:val="00472DE1"/>
    <w:rsid w:val="00472F07"/>
    <w:rsid w:val="00472F41"/>
    <w:rsid w:val="004742A8"/>
    <w:rsid w:val="00474404"/>
    <w:rsid w:val="00474430"/>
    <w:rsid w:val="00474550"/>
    <w:rsid w:val="004745C1"/>
    <w:rsid w:val="004746AC"/>
    <w:rsid w:val="00476A75"/>
    <w:rsid w:val="00476AF6"/>
    <w:rsid w:val="00476B93"/>
    <w:rsid w:val="00476D95"/>
    <w:rsid w:val="004771B6"/>
    <w:rsid w:val="00477430"/>
    <w:rsid w:val="00477BAF"/>
    <w:rsid w:val="0048078B"/>
    <w:rsid w:val="00480E47"/>
    <w:rsid w:val="004816B3"/>
    <w:rsid w:val="00481B56"/>
    <w:rsid w:val="00481EA6"/>
    <w:rsid w:val="00482538"/>
    <w:rsid w:val="004832E1"/>
    <w:rsid w:val="0048354F"/>
    <w:rsid w:val="00483B41"/>
    <w:rsid w:val="00483E73"/>
    <w:rsid w:val="00483F3D"/>
    <w:rsid w:val="004848C3"/>
    <w:rsid w:val="00484A45"/>
    <w:rsid w:val="00484F03"/>
    <w:rsid w:val="004851E0"/>
    <w:rsid w:val="0048538C"/>
    <w:rsid w:val="00485399"/>
    <w:rsid w:val="00485A3C"/>
    <w:rsid w:val="00485CCA"/>
    <w:rsid w:val="004861D1"/>
    <w:rsid w:val="0048652A"/>
    <w:rsid w:val="0048665D"/>
    <w:rsid w:val="0048787B"/>
    <w:rsid w:val="00490326"/>
    <w:rsid w:val="00490A7A"/>
    <w:rsid w:val="00490CA2"/>
    <w:rsid w:val="00491197"/>
    <w:rsid w:val="004914DF"/>
    <w:rsid w:val="00491740"/>
    <w:rsid w:val="00491AD0"/>
    <w:rsid w:val="004924A3"/>
    <w:rsid w:val="004925F0"/>
    <w:rsid w:val="0049296C"/>
    <w:rsid w:val="004929A1"/>
    <w:rsid w:val="00492DB8"/>
    <w:rsid w:val="004936D8"/>
    <w:rsid w:val="00494BC6"/>
    <w:rsid w:val="00494C87"/>
    <w:rsid w:val="004956C1"/>
    <w:rsid w:val="00495767"/>
    <w:rsid w:val="00495CCA"/>
    <w:rsid w:val="004962F3"/>
    <w:rsid w:val="00496311"/>
    <w:rsid w:val="0049636A"/>
    <w:rsid w:val="004965C0"/>
    <w:rsid w:val="004967FC"/>
    <w:rsid w:val="004968B2"/>
    <w:rsid w:val="004968F8"/>
    <w:rsid w:val="00496A8C"/>
    <w:rsid w:val="00496CD7"/>
    <w:rsid w:val="00496EA2"/>
    <w:rsid w:val="0049702A"/>
    <w:rsid w:val="0049709F"/>
    <w:rsid w:val="00497103"/>
    <w:rsid w:val="00497D54"/>
    <w:rsid w:val="00497DE7"/>
    <w:rsid w:val="004A0A06"/>
    <w:rsid w:val="004A33D0"/>
    <w:rsid w:val="004A40D4"/>
    <w:rsid w:val="004A41A4"/>
    <w:rsid w:val="004A436F"/>
    <w:rsid w:val="004A4470"/>
    <w:rsid w:val="004A4785"/>
    <w:rsid w:val="004A4802"/>
    <w:rsid w:val="004A53EA"/>
    <w:rsid w:val="004A54E6"/>
    <w:rsid w:val="004A57CF"/>
    <w:rsid w:val="004A5BB4"/>
    <w:rsid w:val="004A60AA"/>
    <w:rsid w:val="004A60CF"/>
    <w:rsid w:val="004A6541"/>
    <w:rsid w:val="004A6607"/>
    <w:rsid w:val="004A6964"/>
    <w:rsid w:val="004A6D88"/>
    <w:rsid w:val="004A73D8"/>
    <w:rsid w:val="004A75D9"/>
    <w:rsid w:val="004B02A0"/>
    <w:rsid w:val="004B0352"/>
    <w:rsid w:val="004B05C3"/>
    <w:rsid w:val="004B05FF"/>
    <w:rsid w:val="004B0763"/>
    <w:rsid w:val="004B0AFA"/>
    <w:rsid w:val="004B0FF2"/>
    <w:rsid w:val="004B1745"/>
    <w:rsid w:val="004B193E"/>
    <w:rsid w:val="004B1C55"/>
    <w:rsid w:val="004B1D3B"/>
    <w:rsid w:val="004B2084"/>
    <w:rsid w:val="004B22EC"/>
    <w:rsid w:val="004B2668"/>
    <w:rsid w:val="004B27A1"/>
    <w:rsid w:val="004B2A5A"/>
    <w:rsid w:val="004B2C16"/>
    <w:rsid w:val="004B3246"/>
    <w:rsid w:val="004B326A"/>
    <w:rsid w:val="004B3590"/>
    <w:rsid w:val="004B3AA8"/>
    <w:rsid w:val="004B3AFB"/>
    <w:rsid w:val="004B3C44"/>
    <w:rsid w:val="004B3C62"/>
    <w:rsid w:val="004B3D23"/>
    <w:rsid w:val="004B465F"/>
    <w:rsid w:val="004B4C97"/>
    <w:rsid w:val="004B5122"/>
    <w:rsid w:val="004B51FD"/>
    <w:rsid w:val="004B522F"/>
    <w:rsid w:val="004B55EA"/>
    <w:rsid w:val="004B56F0"/>
    <w:rsid w:val="004B5A79"/>
    <w:rsid w:val="004B612F"/>
    <w:rsid w:val="004B6AEA"/>
    <w:rsid w:val="004B6B03"/>
    <w:rsid w:val="004B6C6B"/>
    <w:rsid w:val="004B6DDA"/>
    <w:rsid w:val="004B72EF"/>
    <w:rsid w:val="004B789C"/>
    <w:rsid w:val="004C04BC"/>
    <w:rsid w:val="004C0519"/>
    <w:rsid w:val="004C080B"/>
    <w:rsid w:val="004C0AFB"/>
    <w:rsid w:val="004C0D6D"/>
    <w:rsid w:val="004C0F21"/>
    <w:rsid w:val="004C14CA"/>
    <w:rsid w:val="004C157B"/>
    <w:rsid w:val="004C15EA"/>
    <w:rsid w:val="004C177C"/>
    <w:rsid w:val="004C1878"/>
    <w:rsid w:val="004C193C"/>
    <w:rsid w:val="004C1B00"/>
    <w:rsid w:val="004C1F58"/>
    <w:rsid w:val="004C1FCC"/>
    <w:rsid w:val="004C224A"/>
    <w:rsid w:val="004C22CF"/>
    <w:rsid w:val="004C2309"/>
    <w:rsid w:val="004C24F8"/>
    <w:rsid w:val="004C272A"/>
    <w:rsid w:val="004C2857"/>
    <w:rsid w:val="004C2B16"/>
    <w:rsid w:val="004C2EF7"/>
    <w:rsid w:val="004C3421"/>
    <w:rsid w:val="004C3488"/>
    <w:rsid w:val="004C3545"/>
    <w:rsid w:val="004C36C3"/>
    <w:rsid w:val="004C3D65"/>
    <w:rsid w:val="004C3FCD"/>
    <w:rsid w:val="004C42EE"/>
    <w:rsid w:val="004C4557"/>
    <w:rsid w:val="004C4845"/>
    <w:rsid w:val="004C4CB9"/>
    <w:rsid w:val="004C528F"/>
    <w:rsid w:val="004C5B8A"/>
    <w:rsid w:val="004C5B9D"/>
    <w:rsid w:val="004C63B1"/>
    <w:rsid w:val="004C64AD"/>
    <w:rsid w:val="004C66F1"/>
    <w:rsid w:val="004C69F1"/>
    <w:rsid w:val="004C6B58"/>
    <w:rsid w:val="004C705D"/>
    <w:rsid w:val="004C737E"/>
    <w:rsid w:val="004C74BC"/>
    <w:rsid w:val="004C7A2C"/>
    <w:rsid w:val="004C7BCF"/>
    <w:rsid w:val="004D05C2"/>
    <w:rsid w:val="004D063A"/>
    <w:rsid w:val="004D07F2"/>
    <w:rsid w:val="004D0AE5"/>
    <w:rsid w:val="004D0B84"/>
    <w:rsid w:val="004D0C8A"/>
    <w:rsid w:val="004D0FFC"/>
    <w:rsid w:val="004D1424"/>
    <w:rsid w:val="004D1576"/>
    <w:rsid w:val="004D2252"/>
    <w:rsid w:val="004D26B3"/>
    <w:rsid w:val="004D27BC"/>
    <w:rsid w:val="004D30ED"/>
    <w:rsid w:val="004D32F8"/>
    <w:rsid w:val="004D3418"/>
    <w:rsid w:val="004D35F2"/>
    <w:rsid w:val="004D3AFF"/>
    <w:rsid w:val="004D3B0B"/>
    <w:rsid w:val="004D3E4A"/>
    <w:rsid w:val="004D43CF"/>
    <w:rsid w:val="004D551A"/>
    <w:rsid w:val="004D5668"/>
    <w:rsid w:val="004D5714"/>
    <w:rsid w:val="004D5A78"/>
    <w:rsid w:val="004D5F82"/>
    <w:rsid w:val="004D6394"/>
    <w:rsid w:val="004D6422"/>
    <w:rsid w:val="004D6794"/>
    <w:rsid w:val="004D68D4"/>
    <w:rsid w:val="004D6A33"/>
    <w:rsid w:val="004D6F9C"/>
    <w:rsid w:val="004D708C"/>
    <w:rsid w:val="004D7891"/>
    <w:rsid w:val="004D7911"/>
    <w:rsid w:val="004D7CA8"/>
    <w:rsid w:val="004E13F2"/>
    <w:rsid w:val="004E17D3"/>
    <w:rsid w:val="004E18E8"/>
    <w:rsid w:val="004E283B"/>
    <w:rsid w:val="004E326A"/>
    <w:rsid w:val="004E395A"/>
    <w:rsid w:val="004E39E4"/>
    <w:rsid w:val="004E3AEF"/>
    <w:rsid w:val="004E3B89"/>
    <w:rsid w:val="004E3BC4"/>
    <w:rsid w:val="004E44EA"/>
    <w:rsid w:val="004E45C2"/>
    <w:rsid w:val="004E5260"/>
    <w:rsid w:val="004E5AB9"/>
    <w:rsid w:val="004E5BF4"/>
    <w:rsid w:val="004E5C55"/>
    <w:rsid w:val="004E5D38"/>
    <w:rsid w:val="004E616D"/>
    <w:rsid w:val="004E6A69"/>
    <w:rsid w:val="004E6D69"/>
    <w:rsid w:val="004E7332"/>
    <w:rsid w:val="004E7460"/>
    <w:rsid w:val="004F0049"/>
    <w:rsid w:val="004F0166"/>
    <w:rsid w:val="004F0D8D"/>
    <w:rsid w:val="004F168E"/>
    <w:rsid w:val="004F1CEB"/>
    <w:rsid w:val="004F21A8"/>
    <w:rsid w:val="004F2AF6"/>
    <w:rsid w:val="004F2DCD"/>
    <w:rsid w:val="004F3832"/>
    <w:rsid w:val="004F3A42"/>
    <w:rsid w:val="004F3C1F"/>
    <w:rsid w:val="004F3CC4"/>
    <w:rsid w:val="004F3D3B"/>
    <w:rsid w:val="004F4799"/>
    <w:rsid w:val="004F4890"/>
    <w:rsid w:val="004F48E5"/>
    <w:rsid w:val="004F4BF6"/>
    <w:rsid w:val="004F5317"/>
    <w:rsid w:val="004F5426"/>
    <w:rsid w:val="004F559A"/>
    <w:rsid w:val="004F57BB"/>
    <w:rsid w:val="004F58D9"/>
    <w:rsid w:val="004F5D0C"/>
    <w:rsid w:val="004F5D78"/>
    <w:rsid w:val="004F5D9D"/>
    <w:rsid w:val="004F6092"/>
    <w:rsid w:val="004F6588"/>
    <w:rsid w:val="004F6F95"/>
    <w:rsid w:val="004F6F99"/>
    <w:rsid w:val="004F6FE0"/>
    <w:rsid w:val="004F71A3"/>
    <w:rsid w:val="004F7661"/>
    <w:rsid w:val="004F7F2A"/>
    <w:rsid w:val="0050078E"/>
    <w:rsid w:val="00500F2A"/>
    <w:rsid w:val="0050157D"/>
    <w:rsid w:val="005019FC"/>
    <w:rsid w:val="0050249C"/>
    <w:rsid w:val="005026D3"/>
    <w:rsid w:val="00502744"/>
    <w:rsid w:val="0050311F"/>
    <w:rsid w:val="005035D7"/>
    <w:rsid w:val="0050395D"/>
    <w:rsid w:val="00503D34"/>
    <w:rsid w:val="00504133"/>
    <w:rsid w:val="00504FDB"/>
    <w:rsid w:val="005053FB"/>
    <w:rsid w:val="005057BF"/>
    <w:rsid w:val="00505A65"/>
    <w:rsid w:val="00505BBC"/>
    <w:rsid w:val="00505EF4"/>
    <w:rsid w:val="00505FB2"/>
    <w:rsid w:val="00506951"/>
    <w:rsid w:val="00506A3B"/>
    <w:rsid w:val="005070AA"/>
    <w:rsid w:val="0050767B"/>
    <w:rsid w:val="00507B0C"/>
    <w:rsid w:val="00510389"/>
    <w:rsid w:val="0051041F"/>
    <w:rsid w:val="005106DA"/>
    <w:rsid w:val="005107FF"/>
    <w:rsid w:val="00510FEC"/>
    <w:rsid w:val="005110B7"/>
    <w:rsid w:val="005113AA"/>
    <w:rsid w:val="00511D33"/>
    <w:rsid w:val="00512203"/>
    <w:rsid w:val="00512511"/>
    <w:rsid w:val="00512521"/>
    <w:rsid w:val="00512F74"/>
    <w:rsid w:val="00512FA6"/>
    <w:rsid w:val="00513F3D"/>
    <w:rsid w:val="00514337"/>
    <w:rsid w:val="0051488F"/>
    <w:rsid w:val="00514CA6"/>
    <w:rsid w:val="00514DD7"/>
    <w:rsid w:val="00514F17"/>
    <w:rsid w:val="00514FD4"/>
    <w:rsid w:val="005154C9"/>
    <w:rsid w:val="00516C01"/>
    <w:rsid w:val="005172AA"/>
    <w:rsid w:val="00517A98"/>
    <w:rsid w:val="00517BE4"/>
    <w:rsid w:val="00517D33"/>
    <w:rsid w:val="00517F16"/>
    <w:rsid w:val="00520013"/>
    <w:rsid w:val="0052011A"/>
    <w:rsid w:val="0052059A"/>
    <w:rsid w:val="005209A7"/>
    <w:rsid w:val="00520B66"/>
    <w:rsid w:val="0052127F"/>
    <w:rsid w:val="0052154A"/>
    <w:rsid w:val="00521CA8"/>
    <w:rsid w:val="00521E25"/>
    <w:rsid w:val="005230A7"/>
    <w:rsid w:val="00523C8D"/>
    <w:rsid w:val="00523FE0"/>
    <w:rsid w:val="005240CC"/>
    <w:rsid w:val="00524110"/>
    <w:rsid w:val="00524236"/>
    <w:rsid w:val="00524DF5"/>
    <w:rsid w:val="0052550C"/>
    <w:rsid w:val="005259E7"/>
    <w:rsid w:val="0052662D"/>
    <w:rsid w:val="00526946"/>
    <w:rsid w:val="005269A7"/>
    <w:rsid w:val="00527393"/>
    <w:rsid w:val="0053016D"/>
    <w:rsid w:val="005304D0"/>
    <w:rsid w:val="005307C4"/>
    <w:rsid w:val="005308D0"/>
    <w:rsid w:val="0053106C"/>
    <w:rsid w:val="005313BA"/>
    <w:rsid w:val="005313C1"/>
    <w:rsid w:val="0053194F"/>
    <w:rsid w:val="00531B3C"/>
    <w:rsid w:val="00531EA6"/>
    <w:rsid w:val="005322E3"/>
    <w:rsid w:val="0053269D"/>
    <w:rsid w:val="005327C7"/>
    <w:rsid w:val="00532A73"/>
    <w:rsid w:val="00532B36"/>
    <w:rsid w:val="0053365C"/>
    <w:rsid w:val="00533D8A"/>
    <w:rsid w:val="00533F09"/>
    <w:rsid w:val="00534033"/>
    <w:rsid w:val="0053420A"/>
    <w:rsid w:val="005342A7"/>
    <w:rsid w:val="005342C2"/>
    <w:rsid w:val="005346DE"/>
    <w:rsid w:val="00534926"/>
    <w:rsid w:val="00534C0D"/>
    <w:rsid w:val="00534D61"/>
    <w:rsid w:val="00535314"/>
    <w:rsid w:val="00535483"/>
    <w:rsid w:val="005356E8"/>
    <w:rsid w:val="00535D71"/>
    <w:rsid w:val="005360AD"/>
    <w:rsid w:val="00536324"/>
    <w:rsid w:val="00536694"/>
    <w:rsid w:val="00536B5F"/>
    <w:rsid w:val="00537094"/>
    <w:rsid w:val="005375B0"/>
    <w:rsid w:val="005375C6"/>
    <w:rsid w:val="00537AEE"/>
    <w:rsid w:val="00537D96"/>
    <w:rsid w:val="00540620"/>
    <w:rsid w:val="00540BFF"/>
    <w:rsid w:val="00541041"/>
    <w:rsid w:val="00541196"/>
    <w:rsid w:val="00541CFA"/>
    <w:rsid w:val="005422F5"/>
    <w:rsid w:val="0054245E"/>
    <w:rsid w:val="00542C0E"/>
    <w:rsid w:val="00542CE9"/>
    <w:rsid w:val="00542CFC"/>
    <w:rsid w:val="0054379A"/>
    <w:rsid w:val="00543CE7"/>
    <w:rsid w:val="00543F1D"/>
    <w:rsid w:val="005447EE"/>
    <w:rsid w:val="005447F5"/>
    <w:rsid w:val="0054496D"/>
    <w:rsid w:val="00544B1D"/>
    <w:rsid w:val="00544EBF"/>
    <w:rsid w:val="005451AC"/>
    <w:rsid w:val="0054539E"/>
    <w:rsid w:val="005456D7"/>
    <w:rsid w:val="00545E91"/>
    <w:rsid w:val="00546869"/>
    <w:rsid w:val="00546A37"/>
    <w:rsid w:val="00546A71"/>
    <w:rsid w:val="00547087"/>
    <w:rsid w:val="00547590"/>
    <w:rsid w:val="005479CE"/>
    <w:rsid w:val="00547A56"/>
    <w:rsid w:val="00547AF1"/>
    <w:rsid w:val="00547D25"/>
    <w:rsid w:val="00547E92"/>
    <w:rsid w:val="0055042B"/>
    <w:rsid w:val="005505C5"/>
    <w:rsid w:val="00550940"/>
    <w:rsid w:val="00550D7A"/>
    <w:rsid w:val="00550E6A"/>
    <w:rsid w:val="00551CFB"/>
    <w:rsid w:val="00551DF2"/>
    <w:rsid w:val="00551F68"/>
    <w:rsid w:val="005524C7"/>
    <w:rsid w:val="00553990"/>
    <w:rsid w:val="00553CEB"/>
    <w:rsid w:val="00553D11"/>
    <w:rsid w:val="00553D52"/>
    <w:rsid w:val="005553CC"/>
    <w:rsid w:val="00555AB3"/>
    <w:rsid w:val="00555BFF"/>
    <w:rsid w:val="00555FA2"/>
    <w:rsid w:val="005561F1"/>
    <w:rsid w:val="005562AE"/>
    <w:rsid w:val="00556364"/>
    <w:rsid w:val="00556498"/>
    <w:rsid w:val="00556A07"/>
    <w:rsid w:val="00556BB1"/>
    <w:rsid w:val="00556E6F"/>
    <w:rsid w:val="00557169"/>
    <w:rsid w:val="0055734A"/>
    <w:rsid w:val="00557655"/>
    <w:rsid w:val="00557CA8"/>
    <w:rsid w:val="00557EE5"/>
    <w:rsid w:val="00560036"/>
    <w:rsid w:val="0056030B"/>
    <w:rsid w:val="005603CD"/>
    <w:rsid w:val="00560ACA"/>
    <w:rsid w:val="00560AE2"/>
    <w:rsid w:val="00560B8B"/>
    <w:rsid w:val="00560D11"/>
    <w:rsid w:val="00560D7E"/>
    <w:rsid w:val="00560FBE"/>
    <w:rsid w:val="005610BE"/>
    <w:rsid w:val="00561214"/>
    <w:rsid w:val="00561914"/>
    <w:rsid w:val="00562A79"/>
    <w:rsid w:val="00563821"/>
    <w:rsid w:val="005638E1"/>
    <w:rsid w:val="00563ECF"/>
    <w:rsid w:val="00564049"/>
    <w:rsid w:val="005641D0"/>
    <w:rsid w:val="00564BE6"/>
    <w:rsid w:val="00564E0F"/>
    <w:rsid w:val="005653F6"/>
    <w:rsid w:val="005654EF"/>
    <w:rsid w:val="0056571D"/>
    <w:rsid w:val="00566344"/>
    <w:rsid w:val="0056687E"/>
    <w:rsid w:val="00566DA9"/>
    <w:rsid w:val="00567040"/>
    <w:rsid w:val="00567050"/>
    <w:rsid w:val="00567310"/>
    <w:rsid w:val="00567733"/>
    <w:rsid w:val="005677CB"/>
    <w:rsid w:val="0056788D"/>
    <w:rsid w:val="00567B60"/>
    <w:rsid w:val="00567DC3"/>
    <w:rsid w:val="00567E71"/>
    <w:rsid w:val="005703BE"/>
    <w:rsid w:val="0057049F"/>
    <w:rsid w:val="00570900"/>
    <w:rsid w:val="0057128B"/>
    <w:rsid w:val="0057182E"/>
    <w:rsid w:val="005718E1"/>
    <w:rsid w:val="0057218F"/>
    <w:rsid w:val="00572574"/>
    <w:rsid w:val="0057282E"/>
    <w:rsid w:val="00572836"/>
    <w:rsid w:val="00572C22"/>
    <w:rsid w:val="00573996"/>
    <w:rsid w:val="00573BF1"/>
    <w:rsid w:val="0057452E"/>
    <w:rsid w:val="005746D4"/>
    <w:rsid w:val="00574887"/>
    <w:rsid w:val="00575B87"/>
    <w:rsid w:val="00576226"/>
    <w:rsid w:val="005765EA"/>
    <w:rsid w:val="00576805"/>
    <w:rsid w:val="00576916"/>
    <w:rsid w:val="00576DF4"/>
    <w:rsid w:val="00576DF7"/>
    <w:rsid w:val="00577BDD"/>
    <w:rsid w:val="00577C81"/>
    <w:rsid w:val="00577C89"/>
    <w:rsid w:val="00577EB2"/>
    <w:rsid w:val="00580283"/>
    <w:rsid w:val="0058173C"/>
    <w:rsid w:val="00581812"/>
    <w:rsid w:val="00581B12"/>
    <w:rsid w:val="00581B89"/>
    <w:rsid w:val="00581C19"/>
    <w:rsid w:val="00582266"/>
    <w:rsid w:val="00582474"/>
    <w:rsid w:val="005824DD"/>
    <w:rsid w:val="005825BD"/>
    <w:rsid w:val="00582A2A"/>
    <w:rsid w:val="00582B0F"/>
    <w:rsid w:val="00582BB6"/>
    <w:rsid w:val="00582C78"/>
    <w:rsid w:val="00582E5E"/>
    <w:rsid w:val="00582F26"/>
    <w:rsid w:val="00583445"/>
    <w:rsid w:val="00583574"/>
    <w:rsid w:val="0058371F"/>
    <w:rsid w:val="005839C3"/>
    <w:rsid w:val="00583FE4"/>
    <w:rsid w:val="00584561"/>
    <w:rsid w:val="00584B55"/>
    <w:rsid w:val="00584C62"/>
    <w:rsid w:val="005850B8"/>
    <w:rsid w:val="005852C9"/>
    <w:rsid w:val="0058589F"/>
    <w:rsid w:val="00585953"/>
    <w:rsid w:val="005859B4"/>
    <w:rsid w:val="00585E9B"/>
    <w:rsid w:val="005860CC"/>
    <w:rsid w:val="0058650F"/>
    <w:rsid w:val="00586682"/>
    <w:rsid w:val="005866EC"/>
    <w:rsid w:val="0058692C"/>
    <w:rsid w:val="00586A99"/>
    <w:rsid w:val="00586AAD"/>
    <w:rsid w:val="00586B59"/>
    <w:rsid w:val="00586CD2"/>
    <w:rsid w:val="00586E80"/>
    <w:rsid w:val="005874C7"/>
    <w:rsid w:val="00587558"/>
    <w:rsid w:val="005876FA"/>
    <w:rsid w:val="00590699"/>
    <w:rsid w:val="00590F6F"/>
    <w:rsid w:val="005919FB"/>
    <w:rsid w:val="00591D4F"/>
    <w:rsid w:val="00592358"/>
    <w:rsid w:val="005925AC"/>
    <w:rsid w:val="005926C6"/>
    <w:rsid w:val="0059274D"/>
    <w:rsid w:val="00592AA6"/>
    <w:rsid w:val="00592EAA"/>
    <w:rsid w:val="00592F38"/>
    <w:rsid w:val="0059330A"/>
    <w:rsid w:val="0059354E"/>
    <w:rsid w:val="00593C8A"/>
    <w:rsid w:val="0059415C"/>
    <w:rsid w:val="0059459D"/>
    <w:rsid w:val="00594DAD"/>
    <w:rsid w:val="00594FE4"/>
    <w:rsid w:val="00595110"/>
    <w:rsid w:val="00595415"/>
    <w:rsid w:val="0059543B"/>
    <w:rsid w:val="00595ABB"/>
    <w:rsid w:val="00595B4E"/>
    <w:rsid w:val="00595C1D"/>
    <w:rsid w:val="00595D3E"/>
    <w:rsid w:val="0059606D"/>
    <w:rsid w:val="00596412"/>
    <w:rsid w:val="00596484"/>
    <w:rsid w:val="00596D9B"/>
    <w:rsid w:val="005974C7"/>
    <w:rsid w:val="005A0042"/>
    <w:rsid w:val="005A0924"/>
    <w:rsid w:val="005A0B67"/>
    <w:rsid w:val="005A0B82"/>
    <w:rsid w:val="005A1451"/>
    <w:rsid w:val="005A1636"/>
    <w:rsid w:val="005A1B34"/>
    <w:rsid w:val="005A211E"/>
    <w:rsid w:val="005A21FE"/>
    <w:rsid w:val="005A256F"/>
    <w:rsid w:val="005A276E"/>
    <w:rsid w:val="005A2F8A"/>
    <w:rsid w:val="005A324F"/>
    <w:rsid w:val="005A3406"/>
    <w:rsid w:val="005A352F"/>
    <w:rsid w:val="005A3A1D"/>
    <w:rsid w:val="005A3B30"/>
    <w:rsid w:val="005A3C96"/>
    <w:rsid w:val="005A4B9B"/>
    <w:rsid w:val="005A53D4"/>
    <w:rsid w:val="005A5B3E"/>
    <w:rsid w:val="005A63FF"/>
    <w:rsid w:val="005A643C"/>
    <w:rsid w:val="005A6647"/>
    <w:rsid w:val="005A66E0"/>
    <w:rsid w:val="005A67D3"/>
    <w:rsid w:val="005A681D"/>
    <w:rsid w:val="005A703F"/>
    <w:rsid w:val="005A7679"/>
    <w:rsid w:val="005A767A"/>
    <w:rsid w:val="005A78C4"/>
    <w:rsid w:val="005A79D2"/>
    <w:rsid w:val="005A7A94"/>
    <w:rsid w:val="005A7F56"/>
    <w:rsid w:val="005B00A6"/>
    <w:rsid w:val="005B03E0"/>
    <w:rsid w:val="005B04DD"/>
    <w:rsid w:val="005B05B6"/>
    <w:rsid w:val="005B0625"/>
    <w:rsid w:val="005B0D30"/>
    <w:rsid w:val="005B0D85"/>
    <w:rsid w:val="005B13A8"/>
    <w:rsid w:val="005B14C2"/>
    <w:rsid w:val="005B16DF"/>
    <w:rsid w:val="005B184B"/>
    <w:rsid w:val="005B196C"/>
    <w:rsid w:val="005B1C5B"/>
    <w:rsid w:val="005B203A"/>
    <w:rsid w:val="005B30E2"/>
    <w:rsid w:val="005B31A0"/>
    <w:rsid w:val="005B3249"/>
    <w:rsid w:val="005B3344"/>
    <w:rsid w:val="005B3364"/>
    <w:rsid w:val="005B348B"/>
    <w:rsid w:val="005B3B78"/>
    <w:rsid w:val="005B3F7C"/>
    <w:rsid w:val="005B418D"/>
    <w:rsid w:val="005B4D37"/>
    <w:rsid w:val="005B4F6F"/>
    <w:rsid w:val="005B515E"/>
    <w:rsid w:val="005B5211"/>
    <w:rsid w:val="005B52F6"/>
    <w:rsid w:val="005B5CDC"/>
    <w:rsid w:val="005B5EB0"/>
    <w:rsid w:val="005B6232"/>
    <w:rsid w:val="005B6AFB"/>
    <w:rsid w:val="005B6BAA"/>
    <w:rsid w:val="005B6CFB"/>
    <w:rsid w:val="005B6E57"/>
    <w:rsid w:val="005B783D"/>
    <w:rsid w:val="005B7997"/>
    <w:rsid w:val="005C0089"/>
    <w:rsid w:val="005C06A6"/>
    <w:rsid w:val="005C0802"/>
    <w:rsid w:val="005C0C0D"/>
    <w:rsid w:val="005C0CF5"/>
    <w:rsid w:val="005C1AD3"/>
    <w:rsid w:val="005C239F"/>
    <w:rsid w:val="005C2B66"/>
    <w:rsid w:val="005C33F2"/>
    <w:rsid w:val="005C34E6"/>
    <w:rsid w:val="005C350E"/>
    <w:rsid w:val="005C35DC"/>
    <w:rsid w:val="005C3A2E"/>
    <w:rsid w:val="005C3B21"/>
    <w:rsid w:val="005C3B53"/>
    <w:rsid w:val="005C3D83"/>
    <w:rsid w:val="005C3D85"/>
    <w:rsid w:val="005C4004"/>
    <w:rsid w:val="005C4454"/>
    <w:rsid w:val="005C488B"/>
    <w:rsid w:val="005C4D6E"/>
    <w:rsid w:val="005C6765"/>
    <w:rsid w:val="005C676C"/>
    <w:rsid w:val="005C6AF7"/>
    <w:rsid w:val="005C71AF"/>
    <w:rsid w:val="005C721E"/>
    <w:rsid w:val="005C7473"/>
    <w:rsid w:val="005C7650"/>
    <w:rsid w:val="005C773F"/>
    <w:rsid w:val="005C77AB"/>
    <w:rsid w:val="005C7C66"/>
    <w:rsid w:val="005D0125"/>
    <w:rsid w:val="005D0566"/>
    <w:rsid w:val="005D084D"/>
    <w:rsid w:val="005D0AAA"/>
    <w:rsid w:val="005D0BC0"/>
    <w:rsid w:val="005D14EF"/>
    <w:rsid w:val="005D1D9B"/>
    <w:rsid w:val="005D1EED"/>
    <w:rsid w:val="005D1F42"/>
    <w:rsid w:val="005D23B4"/>
    <w:rsid w:val="005D2CCE"/>
    <w:rsid w:val="005D2CF3"/>
    <w:rsid w:val="005D2ECF"/>
    <w:rsid w:val="005D302D"/>
    <w:rsid w:val="005D3700"/>
    <w:rsid w:val="005D3825"/>
    <w:rsid w:val="005D383E"/>
    <w:rsid w:val="005D3A36"/>
    <w:rsid w:val="005D3CF1"/>
    <w:rsid w:val="005D477C"/>
    <w:rsid w:val="005D49D7"/>
    <w:rsid w:val="005D5C68"/>
    <w:rsid w:val="005D5CF4"/>
    <w:rsid w:val="005D61FB"/>
    <w:rsid w:val="005D6265"/>
    <w:rsid w:val="005D650C"/>
    <w:rsid w:val="005D6ABC"/>
    <w:rsid w:val="005D6D3E"/>
    <w:rsid w:val="005D6FC3"/>
    <w:rsid w:val="005D77F5"/>
    <w:rsid w:val="005D7C1B"/>
    <w:rsid w:val="005D7CD1"/>
    <w:rsid w:val="005D7CFF"/>
    <w:rsid w:val="005D7E95"/>
    <w:rsid w:val="005E03BC"/>
    <w:rsid w:val="005E04BD"/>
    <w:rsid w:val="005E04FF"/>
    <w:rsid w:val="005E1065"/>
    <w:rsid w:val="005E1729"/>
    <w:rsid w:val="005E1755"/>
    <w:rsid w:val="005E1D71"/>
    <w:rsid w:val="005E1E41"/>
    <w:rsid w:val="005E209D"/>
    <w:rsid w:val="005E2628"/>
    <w:rsid w:val="005E2BDB"/>
    <w:rsid w:val="005E3606"/>
    <w:rsid w:val="005E3D60"/>
    <w:rsid w:val="005E3EA3"/>
    <w:rsid w:val="005E42CF"/>
    <w:rsid w:val="005E4AA0"/>
    <w:rsid w:val="005E553A"/>
    <w:rsid w:val="005E5AAD"/>
    <w:rsid w:val="005E5BB8"/>
    <w:rsid w:val="005E5F3F"/>
    <w:rsid w:val="005E5FAF"/>
    <w:rsid w:val="005E604F"/>
    <w:rsid w:val="005E6469"/>
    <w:rsid w:val="005E69F1"/>
    <w:rsid w:val="005E7071"/>
    <w:rsid w:val="005E7680"/>
    <w:rsid w:val="005E784B"/>
    <w:rsid w:val="005E7E68"/>
    <w:rsid w:val="005E7F94"/>
    <w:rsid w:val="005F0170"/>
    <w:rsid w:val="005F0412"/>
    <w:rsid w:val="005F0822"/>
    <w:rsid w:val="005F0946"/>
    <w:rsid w:val="005F0B6D"/>
    <w:rsid w:val="005F0CCF"/>
    <w:rsid w:val="005F19C9"/>
    <w:rsid w:val="005F1AEE"/>
    <w:rsid w:val="005F1D23"/>
    <w:rsid w:val="005F2044"/>
    <w:rsid w:val="005F21CB"/>
    <w:rsid w:val="005F28FF"/>
    <w:rsid w:val="005F2939"/>
    <w:rsid w:val="005F2B87"/>
    <w:rsid w:val="005F2BE9"/>
    <w:rsid w:val="005F2FC4"/>
    <w:rsid w:val="005F30C7"/>
    <w:rsid w:val="005F33E6"/>
    <w:rsid w:val="005F3C32"/>
    <w:rsid w:val="005F4312"/>
    <w:rsid w:val="005F4DCA"/>
    <w:rsid w:val="005F4E84"/>
    <w:rsid w:val="005F533B"/>
    <w:rsid w:val="005F57C0"/>
    <w:rsid w:val="005F5940"/>
    <w:rsid w:val="005F5ED5"/>
    <w:rsid w:val="005F62E7"/>
    <w:rsid w:val="005F6594"/>
    <w:rsid w:val="005F6967"/>
    <w:rsid w:val="005F6F51"/>
    <w:rsid w:val="005F7267"/>
    <w:rsid w:val="005F776B"/>
    <w:rsid w:val="005F78B4"/>
    <w:rsid w:val="00600090"/>
    <w:rsid w:val="00600764"/>
    <w:rsid w:val="00600D83"/>
    <w:rsid w:val="00600F2E"/>
    <w:rsid w:val="006010C7"/>
    <w:rsid w:val="00601210"/>
    <w:rsid w:val="00601876"/>
    <w:rsid w:val="00601A9D"/>
    <w:rsid w:val="0060203E"/>
    <w:rsid w:val="006027B1"/>
    <w:rsid w:val="00602CB7"/>
    <w:rsid w:val="00602F0A"/>
    <w:rsid w:val="0060303E"/>
    <w:rsid w:val="006041FF"/>
    <w:rsid w:val="006042A9"/>
    <w:rsid w:val="00604601"/>
    <w:rsid w:val="006049FE"/>
    <w:rsid w:val="00605207"/>
    <w:rsid w:val="00605784"/>
    <w:rsid w:val="00605BE7"/>
    <w:rsid w:val="00606242"/>
    <w:rsid w:val="006074E0"/>
    <w:rsid w:val="00607767"/>
    <w:rsid w:val="006077CD"/>
    <w:rsid w:val="00607E45"/>
    <w:rsid w:val="00607F7B"/>
    <w:rsid w:val="00607FB9"/>
    <w:rsid w:val="00610034"/>
    <w:rsid w:val="00610AD5"/>
    <w:rsid w:val="00610DA1"/>
    <w:rsid w:val="00611FD2"/>
    <w:rsid w:val="00612258"/>
    <w:rsid w:val="00612858"/>
    <w:rsid w:val="00612B95"/>
    <w:rsid w:val="006134C1"/>
    <w:rsid w:val="00613A63"/>
    <w:rsid w:val="00613B38"/>
    <w:rsid w:val="006148B5"/>
    <w:rsid w:val="00614F85"/>
    <w:rsid w:val="00615318"/>
    <w:rsid w:val="00615C52"/>
    <w:rsid w:val="00616403"/>
    <w:rsid w:val="00616F7F"/>
    <w:rsid w:val="00617034"/>
    <w:rsid w:val="006171D4"/>
    <w:rsid w:val="006174E0"/>
    <w:rsid w:val="00617940"/>
    <w:rsid w:val="00617B98"/>
    <w:rsid w:val="00617C55"/>
    <w:rsid w:val="00617D7C"/>
    <w:rsid w:val="00617DC9"/>
    <w:rsid w:val="00617EE9"/>
    <w:rsid w:val="006202E6"/>
    <w:rsid w:val="00620330"/>
    <w:rsid w:val="00620860"/>
    <w:rsid w:val="00620C38"/>
    <w:rsid w:val="006210DF"/>
    <w:rsid w:val="0062121D"/>
    <w:rsid w:val="00621370"/>
    <w:rsid w:val="00621B81"/>
    <w:rsid w:val="00621C51"/>
    <w:rsid w:val="00621D57"/>
    <w:rsid w:val="00621F0A"/>
    <w:rsid w:val="006228F7"/>
    <w:rsid w:val="00622B26"/>
    <w:rsid w:val="00622C9E"/>
    <w:rsid w:val="00622D0D"/>
    <w:rsid w:val="00622DAA"/>
    <w:rsid w:val="0062330B"/>
    <w:rsid w:val="00623AC9"/>
    <w:rsid w:val="00623C39"/>
    <w:rsid w:val="00623EA7"/>
    <w:rsid w:val="00623EBC"/>
    <w:rsid w:val="00624CDC"/>
    <w:rsid w:val="006258B9"/>
    <w:rsid w:val="00625A50"/>
    <w:rsid w:val="0062602F"/>
    <w:rsid w:val="00626C9C"/>
    <w:rsid w:val="00626E9D"/>
    <w:rsid w:val="00627814"/>
    <w:rsid w:val="006279AD"/>
    <w:rsid w:val="00627B5B"/>
    <w:rsid w:val="00627BBD"/>
    <w:rsid w:val="00627BEC"/>
    <w:rsid w:val="00627FB7"/>
    <w:rsid w:val="00630162"/>
    <w:rsid w:val="00631206"/>
    <w:rsid w:val="0063188D"/>
    <w:rsid w:val="006318D0"/>
    <w:rsid w:val="006319AD"/>
    <w:rsid w:val="00632251"/>
    <w:rsid w:val="0063241F"/>
    <w:rsid w:val="00632581"/>
    <w:rsid w:val="006327C3"/>
    <w:rsid w:val="006328B1"/>
    <w:rsid w:val="00632E6A"/>
    <w:rsid w:val="00632F68"/>
    <w:rsid w:val="00633502"/>
    <w:rsid w:val="006339E8"/>
    <w:rsid w:val="00633D75"/>
    <w:rsid w:val="00633E78"/>
    <w:rsid w:val="0063510A"/>
    <w:rsid w:val="0063525A"/>
    <w:rsid w:val="0063600A"/>
    <w:rsid w:val="00636198"/>
    <w:rsid w:val="00636329"/>
    <w:rsid w:val="006369A5"/>
    <w:rsid w:val="00637579"/>
    <w:rsid w:val="006378F1"/>
    <w:rsid w:val="00637FFD"/>
    <w:rsid w:val="006404AB"/>
    <w:rsid w:val="006404E5"/>
    <w:rsid w:val="006407D5"/>
    <w:rsid w:val="00640C0D"/>
    <w:rsid w:val="00640E7E"/>
    <w:rsid w:val="00640ECE"/>
    <w:rsid w:val="00641337"/>
    <w:rsid w:val="006413B6"/>
    <w:rsid w:val="00641751"/>
    <w:rsid w:val="00641B23"/>
    <w:rsid w:val="0064225B"/>
    <w:rsid w:val="006422C7"/>
    <w:rsid w:val="00642368"/>
    <w:rsid w:val="00642F14"/>
    <w:rsid w:val="00642F25"/>
    <w:rsid w:val="00642F4E"/>
    <w:rsid w:val="0064317B"/>
    <w:rsid w:val="006432EE"/>
    <w:rsid w:val="00643A78"/>
    <w:rsid w:val="006445A7"/>
    <w:rsid w:val="00644648"/>
    <w:rsid w:val="0064522B"/>
    <w:rsid w:val="00645900"/>
    <w:rsid w:val="00645A93"/>
    <w:rsid w:val="00645E58"/>
    <w:rsid w:val="006463D5"/>
    <w:rsid w:val="00646784"/>
    <w:rsid w:val="00646E4C"/>
    <w:rsid w:val="00646F7B"/>
    <w:rsid w:val="0064731E"/>
    <w:rsid w:val="00647330"/>
    <w:rsid w:val="006473C7"/>
    <w:rsid w:val="006474B9"/>
    <w:rsid w:val="006479DC"/>
    <w:rsid w:val="00647DA2"/>
    <w:rsid w:val="00650619"/>
    <w:rsid w:val="006508C7"/>
    <w:rsid w:val="00650C48"/>
    <w:rsid w:val="00650F70"/>
    <w:rsid w:val="00651423"/>
    <w:rsid w:val="006517C2"/>
    <w:rsid w:val="006517FA"/>
    <w:rsid w:val="00651F4A"/>
    <w:rsid w:val="00653877"/>
    <w:rsid w:val="00653B99"/>
    <w:rsid w:val="00654017"/>
    <w:rsid w:val="00654542"/>
    <w:rsid w:val="0065460D"/>
    <w:rsid w:val="00654B90"/>
    <w:rsid w:val="00654DA5"/>
    <w:rsid w:val="006556F7"/>
    <w:rsid w:val="0065591E"/>
    <w:rsid w:val="00655978"/>
    <w:rsid w:val="00655D35"/>
    <w:rsid w:val="00656105"/>
    <w:rsid w:val="00656628"/>
    <w:rsid w:val="00656D0B"/>
    <w:rsid w:val="00656D8D"/>
    <w:rsid w:val="00656FC4"/>
    <w:rsid w:val="00657A49"/>
    <w:rsid w:val="00657DE2"/>
    <w:rsid w:val="0066079C"/>
    <w:rsid w:val="006608AA"/>
    <w:rsid w:val="00660CE0"/>
    <w:rsid w:val="006614E5"/>
    <w:rsid w:val="006618EB"/>
    <w:rsid w:val="00661E63"/>
    <w:rsid w:val="00662088"/>
    <w:rsid w:val="006626AD"/>
    <w:rsid w:val="0066282F"/>
    <w:rsid w:val="00662B18"/>
    <w:rsid w:val="00662C9A"/>
    <w:rsid w:val="00662D4C"/>
    <w:rsid w:val="00662D90"/>
    <w:rsid w:val="00662FEF"/>
    <w:rsid w:val="00663952"/>
    <w:rsid w:val="00663F81"/>
    <w:rsid w:val="006649D5"/>
    <w:rsid w:val="00664A43"/>
    <w:rsid w:val="00664A7E"/>
    <w:rsid w:val="00664AAB"/>
    <w:rsid w:val="00664B0F"/>
    <w:rsid w:val="0066520B"/>
    <w:rsid w:val="006652E8"/>
    <w:rsid w:val="006653A4"/>
    <w:rsid w:val="00665D5C"/>
    <w:rsid w:val="00666676"/>
    <w:rsid w:val="00666AD4"/>
    <w:rsid w:val="00667E92"/>
    <w:rsid w:val="00670CD6"/>
    <w:rsid w:val="00671267"/>
    <w:rsid w:val="00671331"/>
    <w:rsid w:val="00671667"/>
    <w:rsid w:val="006717A2"/>
    <w:rsid w:val="006720AA"/>
    <w:rsid w:val="006721BE"/>
    <w:rsid w:val="006726A0"/>
    <w:rsid w:val="00672C5B"/>
    <w:rsid w:val="00673512"/>
    <w:rsid w:val="00673ACF"/>
    <w:rsid w:val="00674D9A"/>
    <w:rsid w:val="00675744"/>
    <w:rsid w:val="00675758"/>
    <w:rsid w:val="00675B24"/>
    <w:rsid w:val="00675BF4"/>
    <w:rsid w:val="006766B3"/>
    <w:rsid w:val="00676E43"/>
    <w:rsid w:val="00676E52"/>
    <w:rsid w:val="0067707E"/>
    <w:rsid w:val="006775D3"/>
    <w:rsid w:val="00677636"/>
    <w:rsid w:val="00677713"/>
    <w:rsid w:val="006777E6"/>
    <w:rsid w:val="00677B0D"/>
    <w:rsid w:val="00677CCE"/>
    <w:rsid w:val="0068075D"/>
    <w:rsid w:val="00680863"/>
    <w:rsid w:val="00680950"/>
    <w:rsid w:val="00680BB2"/>
    <w:rsid w:val="00681CCF"/>
    <w:rsid w:val="00681EBE"/>
    <w:rsid w:val="006829AA"/>
    <w:rsid w:val="00682F97"/>
    <w:rsid w:val="006831DC"/>
    <w:rsid w:val="00683353"/>
    <w:rsid w:val="006836D1"/>
    <w:rsid w:val="00683B2A"/>
    <w:rsid w:val="00684C56"/>
    <w:rsid w:val="00685E1C"/>
    <w:rsid w:val="00685EB8"/>
    <w:rsid w:val="00686FA5"/>
    <w:rsid w:val="006871E0"/>
    <w:rsid w:val="00687479"/>
    <w:rsid w:val="00687D43"/>
    <w:rsid w:val="00687DCA"/>
    <w:rsid w:val="00690144"/>
    <w:rsid w:val="0069034E"/>
    <w:rsid w:val="006906CF"/>
    <w:rsid w:val="0069097F"/>
    <w:rsid w:val="00690D15"/>
    <w:rsid w:val="006913D6"/>
    <w:rsid w:val="00691AF5"/>
    <w:rsid w:val="00691D76"/>
    <w:rsid w:val="006923F9"/>
    <w:rsid w:val="006925AA"/>
    <w:rsid w:val="00692C22"/>
    <w:rsid w:val="00692CCE"/>
    <w:rsid w:val="0069304D"/>
    <w:rsid w:val="00693A47"/>
    <w:rsid w:val="00693A59"/>
    <w:rsid w:val="0069438B"/>
    <w:rsid w:val="00694DA6"/>
    <w:rsid w:val="00695709"/>
    <w:rsid w:val="00695810"/>
    <w:rsid w:val="006965B8"/>
    <w:rsid w:val="00696832"/>
    <w:rsid w:val="00697589"/>
    <w:rsid w:val="00697755"/>
    <w:rsid w:val="006977D1"/>
    <w:rsid w:val="00697917"/>
    <w:rsid w:val="00697AA8"/>
    <w:rsid w:val="006A0544"/>
    <w:rsid w:val="006A0890"/>
    <w:rsid w:val="006A0ACC"/>
    <w:rsid w:val="006A0DAE"/>
    <w:rsid w:val="006A12C8"/>
    <w:rsid w:val="006A1836"/>
    <w:rsid w:val="006A1CC6"/>
    <w:rsid w:val="006A230C"/>
    <w:rsid w:val="006A27F0"/>
    <w:rsid w:val="006A2C5E"/>
    <w:rsid w:val="006A2D76"/>
    <w:rsid w:val="006A2D81"/>
    <w:rsid w:val="006A2E57"/>
    <w:rsid w:val="006A310C"/>
    <w:rsid w:val="006A32E8"/>
    <w:rsid w:val="006A3B24"/>
    <w:rsid w:val="006A4423"/>
    <w:rsid w:val="006A45AF"/>
    <w:rsid w:val="006A47DC"/>
    <w:rsid w:val="006A5524"/>
    <w:rsid w:val="006A553E"/>
    <w:rsid w:val="006A55F3"/>
    <w:rsid w:val="006A5C2B"/>
    <w:rsid w:val="006A61EE"/>
    <w:rsid w:val="006A66A4"/>
    <w:rsid w:val="006A6989"/>
    <w:rsid w:val="006A6AA3"/>
    <w:rsid w:val="006A7411"/>
    <w:rsid w:val="006A75FD"/>
    <w:rsid w:val="006A7BE1"/>
    <w:rsid w:val="006B00AF"/>
    <w:rsid w:val="006B0475"/>
    <w:rsid w:val="006B0A20"/>
    <w:rsid w:val="006B15DE"/>
    <w:rsid w:val="006B17C2"/>
    <w:rsid w:val="006B1864"/>
    <w:rsid w:val="006B207D"/>
    <w:rsid w:val="006B28DB"/>
    <w:rsid w:val="006B2967"/>
    <w:rsid w:val="006B2A41"/>
    <w:rsid w:val="006B2C1E"/>
    <w:rsid w:val="006B2F1B"/>
    <w:rsid w:val="006B3620"/>
    <w:rsid w:val="006B3E14"/>
    <w:rsid w:val="006B40B3"/>
    <w:rsid w:val="006B448E"/>
    <w:rsid w:val="006B478F"/>
    <w:rsid w:val="006B4B0F"/>
    <w:rsid w:val="006B4D7D"/>
    <w:rsid w:val="006B50B8"/>
    <w:rsid w:val="006B54BA"/>
    <w:rsid w:val="006B55C6"/>
    <w:rsid w:val="006B682D"/>
    <w:rsid w:val="006B724F"/>
    <w:rsid w:val="006B7DC7"/>
    <w:rsid w:val="006C0449"/>
    <w:rsid w:val="006C04C7"/>
    <w:rsid w:val="006C11B7"/>
    <w:rsid w:val="006C1479"/>
    <w:rsid w:val="006C1B27"/>
    <w:rsid w:val="006C2134"/>
    <w:rsid w:val="006C214E"/>
    <w:rsid w:val="006C2614"/>
    <w:rsid w:val="006C27EA"/>
    <w:rsid w:val="006C2E9C"/>
    <w:rsid w:val="006C2F3C"/>
    <w:rsid w:val="006C3BE6"/>
    <w:rsid w:val="006C451C"/>
    <w:rsid w:val="006C4A3E"/>
    <w:rsid w:val="006C4CB0"/>
    <w:rsid w:val="006C5442"/>
    <w:rsid w:val="006C59DF"/>
    <w:rsid w:val="006C5F92"/>
    <w:rsid w:val="006C626C"/>
    <w:rsid w:val="006C6BDE"/>
    <w:rsid w:val="006C6C00"/>
    <w:rsid w:val="006C6E3A"/>
    <w:rsid w:val="006C782C"/>
    <w:rsid w:val="006C7931"/>
    <w:rsid w:val="006D0057"/>
    <w:rsid w:val="006D01D0"/>
    <w:rsid w:val="006D02D6"/>
    <w:rsid w:val="006D0B1A"/>
    <w:rsid w:val="006D1718"/>
    <w:rsid w:val="006D1D15"/>
    <w:rsid w:val="006D2798"/>
    <w:rsid w:val="006D2C52"/>
    <w:rsid w:val="006D2E5F"/>
    <w:rsid w:val="006D45FD"/>
    <w:rsid w:val="006D46A4"/>
    <w:rsid w:val="006D4B70"/>
    <w:rsid w:val="006D665C"/>
    <w:rsid w:val="006D6D21"/>
    <w:rsid w:val="006D7608"/>
    <w:rsid w:val="006D7950"/>
    <w:rsid w:val="006D7E72"/>
    <w:rsid w:val="006E05AD"/>
    <w:rsid w:val="006E07EF"/>
    <w:rsid w:val="006E08BE"/>
    <w:rsid w:val="006E126A"/>
    <w:rsid w:val="006E1384"/>
    <w:rsid w:val="006E17B0"/>
    <w:rsid w:val="006E204C"/>
    <w:rsid w:val="006E27F5"/>
    <w:rsid w:val="006E2A5E"/>
    <w:rsid w:val="006E30A7"/>
    <w:rsid w:val="006E34E0"/>
    <w:rsid w:val="006E35A0"/>
    <w:rsid w:val="006E3C52"/>
    <w:rsid w:val="006E3D88"/>
    <w:rsid w:val="006E3EA4"/>
    <w:rsid w:val="006E4708"/>
    <w:rsid w:val="006E4916"/>
    <w:rsid w:val="006E4A1B"/>
    <w:rsid w:val="006E4CCE"/>
    <w:rsid w:val="006E52EA"/>
    <w:rsid w:val="006E538B"/>
    <w:rsid w:val="006E5AFF"/>
    <w:rsid w:val="006E5DB7"/>
    <w:rsid w:val="006E5E9F"/>
    <w:rsid w:val="006E5FE8"/>
    <w:rsid w:val="006E6248"/>
    <w:rsid w:val="006E63F2"/>
    <w:rsid w:val="006E7175"/>
    <w:rsid w:val="006E7397"/>
    <w:rsid w:val="006E74F4"/>
    <w:rsid w:val="006E7AAB"/>
    <w:rsid w:val="006E7AF8"/>
    <w:rsid w:val="006E7C07"/>
    <w:rsid w:val="006E7D73"/>
    <w:rsid w:val="006E7FC2"/>
    <w:rsid w:val="006F04EF"/>
    <w:rsid w:val="006F068A"/>
    <w:rsid w:val="006F08CD"/>
    <w:rsid w:val="006F0E21"/>
    <w:rsid w:val="006F1023"/>
    <w:rsid w:val="006F11B5"/>
    <w:rsid w:val="006F1E16"/>
    <w:rsid w:val="006F1EEF"/>
    <w:rsid w:val="006F25A7"/>
    <w:rsid w:val="006F25B3"/>
    <w:rsid w:val="006F2603"/>
    <w:rsid w:val="006F2C83"/>
    <w:rsid w:val="006F2FF9"/>
    <w:rsid w:val="006F37DC"/>
    <w:rsid w:val="006F398F"/>
    <w:rsid w:val="006F3B96"/>
    <w:rsid w:val="006F3C41"/>
    <w:rsid w:val="006F4290"/>
    <w:rsid w:val="006F4307"/>
    <w:rsid w:val="006F4481"/>
    <w:rsid w:val="006F49CB"/>
    <w:rsid w:val="006F5094"/>
    <w:rsid w:val="006F52BB"/>
    <w:rsid w:val="006F555C"/>
    <w:rsid w:val="006F6957"/>
    <w:rsid w:val="006F6D95"/>
    <w:rsid w:val="006F720C"/>
    <w:rsid w:val="006F76E4"/>
    <w:rsid w:val="006F78C2"/>
    <w:rsid w:val="006F7C3F"/>
    <w:rsid w:val="007001B4"/>
    <w:rsid w:val="007001D1"/>
    <w:rsid w:val="007005E0"/>
    <w:rsid w:val="00700B14"/>
    <w:rsid w:val="00700FBB"/>
    <w:rsid w:val="0070131C"/>
    <w:rsid w:val="00701457"/>
    <w:rsid w:val="00701630"/>
    <w:rsid w:val="00701647"/>
    <w:rsid w:val="00701938"/>
    <w:rsid w:val="00702061"/>
    <w:rsid w:val="0070207B"/>
    <w:rsid w:val="007023F1"/>
    <w:rsid w:val="00702626"/>
    <w:rsid w:val="00702B01"/>
    <w:rsid w:val="00702B77"/>
    <w:rsid w:val="00703A29"/>
    <w:rsid w:val="00704C67"/>
    <w:rsid w:val="0070507E"/>
    <w:rsid w:val="00705214"/>
    <w:rsid w:val="007054F1"/>
    <w:rsid w:val="007057E4"/>
    <w:rsid w:val="00705983"/>
    <w:rsid w:val="00705AD6"/>
    <w:rsid w:val="00705BE1"/>
    <w:rsid w:val="00705EA1"/>
    <w:rsid w:val="00706120"/>
    <w:rsid w:val="00706A2D"/>
    <w:rsid w:val="00706E06"/>
    <w:rsid w:val="00706FB7"/>
    <w:rsid w:val="007074B0"/>
    <w:rsid w:val="00707544"/>
    <w:rsid w:val="0070755D"/>
    <w:rsid w:val="0070765D"/>
    <w:rsid w:val="00707B46"/>
    <w:rsid w:val="007100FA"/>
    <w:rsid w:val="00710165"/>
    <w:rsid w:val="0071048D"/>
    <w:rsid w:val="00710A71"/>
    <w:rsid w:val="00710C39"/>
    <w:rsid w:val="00710C71"/>
    <w:rsid w:val="00711AD5"/>
    <w:rsid w:val="00711FF7"/>
    <w:rsid w:val="00712FB5"/>
    <w:rsid w:val="00713139"/>
    <w:rsid w:val="0071336F"/>
    <w:rsid w:val="0071383B"/>
    <w:rsid w:val="00713AD7"/>
    <w:rsid w:val="00713CF6"/>
    <w:rsid w:val="00713D22"/>
    <w:rsid w:val="00713DEA"/>
    <w:rsid w:val="00714AD8"/>
    <w:rsid w:val="00714B2D"/>
    <w:rsid w:val="00714F12"/>
    <w:rsid w:val="00714FB1"/>
    <w:rsid w:val="007151B2"/>
    <w:rsid w:val="007151D5"/>
    <w:rsid w:val="0071525B"/>
    <w:rsid w:val="007154A4"/>
    <w:rsid w:val="0071565D"/>
    <w:rsid w:val="0071592A"/>
    <w:rsid w:val="00715D54"/>
    <w:rsid w:val="00716051"/>
    <w:rsid w:val="00716076"/>
    <w:rsid w:val="007163BF"/>
    <w:rsid w:val="00716512"/>
    <w:rsid w:val="00716BCD"/>
    <w:rsid w:val="00716CA9"/>
    <w:rsid w:val="007172B2"/>
    <w:rsid w:val="007175EF"/>
    <w:rsid w:val="0071781F"/>
    <w:rsid w:val="00717AD3"/>
    <w:rsid w:val="00717C24"/>
    <w:rsid w:val="00717CB6"/>
    <w:rsid w:val="0072052C"/>
    <w:rsid w:val="0072054D"/>
    <w:rsid w:val="00720CE7"/>
    <w:rsid w:val="0072154D"/>
    <w:rsid w:val="0072173C"/>
    <w:rsid w:val="00721855"/>
    <w:rsid w:val="00721B19"/>
    <w:rsid w:val="00721E1E"/>
    <w:rsid w:val="00722087"/>
    <w:rsid w:val="00722C73"/>
    <w:rsid w:val="00723689"/>
    <w:rsid w:val="0072390A"/>
    <w:rsid w:val="00723C2D"/>
    <w:rsid w:val="00724139"/>
    <w:rsid w:val="00724267"/>
    <w:rsid w:val="00725096"/>
    <w:rsid w:val="00725B7B"/>
    <w:rsid w:val="00725D1C"/>
    <w:rsid w:val="00726488"/>
    <w:rsid w:val="00726ACF"/>
    <w:rsid w:val="00726C50"/>
    <w:rsid w:val="00727958"/>
    <w:rsid w:val="00727C40"/>
    <w:rsid w:val="00727C48"/>
    <w:rsid w:val="00727CD7"/>
    <w:rsid w:val="00727CFA"/>
    <w:rsid w:val="00727F67"/>
    <w:rsid w:val="007301B3"/>
    <w:rsid w:val="007305E7"/>
    <w:rsid w:val="007308E3"/>
    <w:rsid w:val="0073139E"/>
    <w:rsid w:val="0073163D"/>
    <w:rsid w:val="007316E7"/>
    <w:rsid w:val="007318BA"/>
    <w:rsid w:val="00731BEE"/>
    <w:rsid w:val="00731C0F"/>
    <w:rsid w:val="00732104"/>
    <w:rsid w:val="00732181"/>
    <w:rsid w:val="007326C4"/>
    <w:rsid w:val="007328A7"/>
    <w:rsid w:val="00732908"/>
    <w:rsid w:val="00732A38"/>
    <w:rsid w:val="00732B21"/>
    <w:rsid w:val="00732FDE"/>
    <w:rsid w:val="0073336B"/>
    <w:rsid w:val="00733468"/>
    <w:rsid w:val="00733559"/>
    <w:rsid w:val="00733D23"/>
    <w:rsid w:val="007342A9"/>
    <w:rsid w:val="00734538"/>
    <w:rsid w:val="00734DD0"/>
    <w:rsid w:val="007353E3"/>
    <w:rsid w:val="00735A39"/>
    <w:rsid w:val="00735A40"/>
    <w:rsid w:val="00735FF2"/>
    <w:rsid w:val="00736061"/>
    <w:rsid w:val="007361A6"/>
    <w:rsid w:val="00736427"/>
    <w:rsid w:val="0073678A"/>
    <w:rsid w:val="0073693A"/>
    <w:rsid w:val="00736946"/>
    <w:rsid w:val="00736A44"/>
    <w:rsid w:val="00736BA6"/>
    <w:rsid w:val="00736E6F"/>
    <w:rsid w:val="00736FA7"/>
    <w:rsid w:val="007409E9"/>
    <w:rsid w:val="00740B13"/>
    <w:rsid w:val="00740B5F"/>
    <w:rsid w:val="00740BC6"/>
    <w:rsid w:val="00741276"/>
    <w:rsid w:val="00741759"/>
    <w:rsid w:val="007418F8"/>
    <w:rsid w:val="00741AFD"/>
    <w:rsid w:val="00741E26"/>
    <w:rsid w:val="007423A7"/>
    <w:rsid w:val="007429F1"/>
    <w:rsid w:val="00742A37"/>
    <w:rsid w:val="00742BF8"/>
    <w:rsid w:val="00742D06"/>
    <w:rsid w:val="00742E1D"/>
    <w:rsid w:val="00743A35"/>
    <w:rsid w:val="00743AE9"/>
    <w:rsid w:val="00743B9B"/>
    <w:rsid w:val="007446B1"/>
    <w:rsid w:val="00744C0A"/>
    <w:rsid w:val="0074577F"/>
    <w:rsid w:val="00745D0B"/>
    <w:rsid w:val="0074605F"/>
    <w:rsid w:val="00746560"/>
    <w:rsid w:val="007466B2"/>
    <w:rsid w:val="0074697A"/>
    <w:rsid w:val="00746BB6"/>
    <w:rsid w:val="007475C8"/>
    <w:rsid w:val="00747B45"/>
    <w:rsid w:val="00747F79"/>
    <w:rsid w:val="00750DE6"/>
    <w:rsid w:val="00750E92"/>
    <w:rsid w:val="00751313"/>
    <w:rsid w:val="00751B50"/>
    <w:rsid w:val="00751C16"/>
    <w:rsid w:val="00751F21"/>
    <w:rsid w:val="00752807"/>
    <w:rsid w:val="00752822"/>
    <w:rsid w:val="00752A10"/>
    <w:rsid w:val="00752E76"/>
    <w:rsid w:val="00753470"/>
    <w:rsid w:val="00754BF8"/>
    <w:rsid w:val="007550CC"/>
    <w:rsid w:val="00755DA3"/>
    <w:rsid w:val="00755F21"/>
    <w:rsid w:val="0075608C"/>
    <w:rsid w:val="00756114"/>
    <w:rsid w:val="00756127"/>
    <w:rsid w:val="00756298"/>
    <w:rsid w:val="00756988"/>
    <w:rsid w:val="00756B26"/>
    <w:rsid w:val="0075727D"/>
    <w:rsid w:val="007575F4"/>
    <w:rsid w:val="00757F41"/>
    <w:rsid w:val="007605C6"/>
    <w:rsid w:val="0076087D"/>
    <w:rsid w:val="00760988"/>
    <w:rsid w:val="00760A8C"/>
    <w:rsid w:val="00760CB6"/>
    <w:rsid w:val="0076107E"/>
    <w:rsid w:val="007610A4"/>
    <w:rsid w:val="00761429"/>
    <w:rsid w:val="007615EE"/>
    <w:rsid w:val="00761718"/>
    <w:rsid w:val="00761A85"/>
    <w:rsid w:val="0076209C"/>
    <w:rsid w:val="00762513"/>
    <w:rsid w:val="0076281E"/>
    <w:rsid w:val="007629FB"/>
    <w:rsid w:val="00762B7E"/>
    <w:rsid w:val="00762B8F"/>
    <w:rsid w:val="00762E78"/>
    <w:rsid w:val="007637D7"/>
    <w:rsid w:val="00763C2E"/>
    <w:rsid w:val="00763CC6"/>
    <w:rsid w:val="00764122"/>
    <w:rsid w:val="00764406"/>
    <w:rsid w:val="0076474F"/>
    <w:rsid w:val="00764C14"/>
    <w:rsid w:val="00764D34"/>
    <w:rsid w:val="007650EA"/>
    <w:rsid w:val="0076561D"/>
    <w:rsid w:val="007656A2"/>
    <w:rsid w:val="0076581E"/>
    <w:rsid w:val="00765ABD"/>
    <w:rsid w:val="007662C3"/>
    <w:rsid w:val="00766427"/>
    <w:rsid w:val="00767089"/>
    <w:rsid w:val="0076735D"/>
    <w:rsid w:val="007677FD"/>
    <w:rsid w:val="00767D07"/>
    <w:rsid w:val="00770BFE"/>
    <w:rsid w:val="00770D1D"/>
    <w:rsid w:val="007712AA"/>
    <w:rsid w:val="00771B1A"/>
    <w:rsid w:val="00771C36"/>
    <w:rsid w:val="0077230A"/>
    <w:rsid w:val="0077244B"/>
    <w:rsid w:val="007724C4"/>
    <w:rsid w:val="007726E0"/>
    <w:rsid w:val="007729CB"/>
    <w:rsid w:val="00772AFF"/>
    <w:rsid w:val="00772DD4"/>
    <w:rsid w:val="00772E27"/>
    <w:rsid w:val="00772EA4"/>
    <w:rsid w:val="00773371"/>
    <w:rsid w:val="007733D8"/>
    <w:rsid w:val="00773A0E"/>
    <w:rsid w:val="00773F9E"/>
    <w:rsid w:val="0077425C"/>
    <w:rsid w:val="007748E8"/>
    <w:rsid w:val="007755B9"/>
    <w:rsid w:val="0077572E"/>
    <w:rsid w:val="007759AD"/>
    <w:rsid w:val="00775FF9"/>
    <w:rsid w:val="007766F8"/>
    <w:rsid w:val="00776746"/>
    <w:rsid w:val="00776B7A"/>
    <w:rsid w:val="00776D3C"/>
    <w:rsid w:val="0077719B"/>
    <w:rsid w:val="00777858"/>
    <w:rsid w:val="00777B95"/>
    <w:rsid w:val="00780440"/>
    <w:rsid w:val="007805DF"/>
    <w:rsid w:val="007813B4"/>
    <w:rsid w:val="00781532"/>
    <w:rsid w:val="00781B08"/>
    <w:rsid w:val="00781C46"/>
    <w:rsid w:val="00781CBD"/>
    <w:rsid w:val="00782097"/>
    <w:rsid w:val="0078216B"/>
    <w:rsid w:val="00782246"/>
    <w:rsid w:val="007824C9"/>
    <w:rsid w:val="0078270D"/>
    <w:rsid w:val="00782720"/>
    <w:rsid w:val="00782D09"/>
    <w:rsid w:val="00782DAD"/>
    <w:rsid w:val="0078313D"/>
    <w:rsid w:val="00783577"/>
    <w:rsid w:val="00783F22"/>
    <w:rsid w:val="00783FCF"/>
    <w:rsid w:val="00784421"/>
    <w:rsid w:val="007848E3"/>
    <w:rsid w:val="007853CD"/>
    <w:rsid w:val="007859E6"/>
    <w:rsid w:val="00785DD4"/>
    <w:rsid w:val="007863A3"/>
    <w:rsid w:val="007866B8"/>
    <w:rsid w:val="00786A03"/>
    <w:rsid w:val="00787918"/>
    <w:rsid w:val="007902BF"/>
    <w:rsid w:val="0079034D"/>
    <w:rsid w:val="0079073F"/>
    <w:rsid w:val="00790C50"/>
    <w:rsid w:val="00790C9E"/>
    <w:rsid w:val="00790EFA"/>
    <w:rsid w:val="00791412"/>
    <w:rsid w:val="007916FF"/>
    <w:rsid w:val="00791A40"/>
    <w:rsid w:val="00791DE3"/>
    <w:rsid w:val="00791E09"/>
    <w:rsid w:val="00792A4E"/>
    <w:rsid w:val="00792B57"/>
    <w:rsid w:val="00792B66"/>
    <w:rsid w:val="007939B5"/>
    <w:rsid w:val="00793DF1"/>
    <w:rsid w:val="00794510"/>
    <w:rsid w:val="007948A4"/>
    <w:rsid w:val="00794F15"/>
    <w:rsid w:val="00794F3F"/>
    <w:rsid w:val="007961B1"/>
    <w:rsid w:val="00797107"/>
    <w:rsid w:val="007975E9"/>
    <w:rsid w:val="007977C8"/>
    <w:rsid w:val="00797884"/>
    <w:rsid w:val="007A0074"/>
    <w:rsid w:val="007A03CE"/>
    <w:rsid w:val="007A0579"/>
    <w:rsid w:val="007A0E8D"/>
    <w:rsid w:val="007A15B4"/>
    <w:rsid w:val="007A2094"/>
    <w:rsid w:val="007A22CA"/>
    <w:rsid w:val="007A2428"/>
    <w:rsid w:val="007A2705"/>
    <w:rsid w:val="007A29B5"/>
    <w:rsid w:val="007A2D63"/>
    <w:rsid w:val="007A2EB3"/>
    <w:rsid w:val="007A3C43"/>
    <w:rsid w:val="007A3CD4"/>
    <w:rsid w:val="007A44A6"/>
    <w:rsid w:val="007A4518"/>
    <w:rsid w:val="007A46A9"/>
    <w:rsid w:val="007A47C2"/>
    <w:rsid w:val="007A5030"/>
    <w:rsid w:val="007A5047"/>
    <w:rsid w:val="007A56FC"/>
    <w:rsid w:val="007A5ABE"/>
    <w:rsid w:val="007A5D06"/>
    <w:rsid w:val="007A63E4"/>
    <w:rsid w:val="007A6478"/>
    <w:rsid w:val="007A6675"/>
    <w:rsid w:val="007A66CF"/>
    <w:rsid w:val="007A6D8A"/>
    <w:rsid w:val="007A6F70"/>
    <w:rsid w:val="007A705F"/>
    <w:rsid w:val="007A710D"/>
    <w:rsid w:val="007A713C"/>
    <w:rsid w:val="007A76E8"/>
    <w:rsid w:val="007A7B1E"/>
    <w:rsid w:val="007A7CEA"/>
    <w:rsid w:val="007A7D63"/>
    <w:rsid w:val="007B036E"/>
    <w:rsid w:val="007B0A7E"/>
    <w:rsid w:val="007B0F66"/>
    <w:rsid w:val="007B1399"/>
    <w:rsid w:val="007B1905"/>
    <w:rsid w:val="007B1AD6"/>
    <w:rsid w:val="007B2677"/>
    <w:rsid w:val="007B3111"/>
    <w:rsid w:val="007B3BE2"/>
    <w:rsid w:val="007B3D0F"/>
    <w:rsid w:val="007B424F"/>
    <w:rsid w:val="007B42FA"/>
    <w:rsid w:val="007B454E"/>
    <w:rsid w:val="007B4A5C"/>
    <w:rsid w:val="007B4FE7"/>
    <w:rsid w:val="007B5430"/>
    <w:rsid w:val="007B58B8"/>
    <w:rsid w:val="007B5A66"/>
    <w:rsid w:val="007B5AD5"/>
    <w:rsid w:val="007B6F29"/>
    <w:rsid w:val="007B75DC"/>
    <w:rsid w:val="007B76C7"/>
    <w:rsid w:val="007B799B"/>
    <w:rsid w:val="007B7C29"/>
    <w:rsid w:val="007B7C9C"/>
    <w:rsid w:val="007C0520"/>
    <w:rsid w:val="007C0B16"/>
    <w:rsid w:val="007C0C8B"/>
    <w:rsid w:val="007C0FC8"/>
    <w:rsid w:val="007C103C"/>
    <w:rsid w:val="007C1345"/>
    <w:rsid w:val="007C1486"/>
    <w:rsid w:val="007C1F21"/>
    <w:rsid w:val="007C2523"/>
    <w:rsid w:val="007C2707"/>
    <w:rsid w:val="007C3127"/>
    <w:rsid w:val="007C363C"/>
    <w:rsid w:val="007C36C2"/>
    <w:rsid w:val="007C38F3"/>
    <w:rsid w:val="007C39C0"/>
    <w:rsid w:val="007C4075"/>
    <w:rsid w:val="007C4B27"/>
    <w:rsid w:val="007C534F"/>
    <w:rsid w:val="007C53F4"/>
    <w:rsid w:val="007C55D2"/>
    <w:rsid w:val="007C5E90"/>
    <w:rsid w:val="007C5FE2"/>
    <w:rsid w:val="007C6943"/>
    <w:rsid w:val="007C6B2C"/>
    <w:rsid w:val="007C6F86"/>
    <w:rsid w:val="007C706A"/>
    <w:rsid w:val="007C72A6"/>
    <w:rsid w:val="007C7A8B"/>
    <w:rsid w:val="007C7BF4"/>
    <w:rsid w:val="007C7DBB"/>
    <w:rsid w:val="007D0024"/>
    <w:rsid w:val="007D0A49"/>
    <w:rsid w:val="007D0DD3"/>
    <w:rsid w:val="007D0E34"/>
    <w:rsid w:val="007D0E49"/>
    <w:rsid w:val="007D11FB"/>
    <w:rsid w:val="007D150F"/>
    <w:rsid w:val="007D17C2"/>
    <w:rsid w:val="007D1A8C"/>
    <w:rsid w:val="007D1AEE"/>
    <w:rsid w:val="007D1B16"/>
    <w:rsid w:val="007D2538"/>
    <w:rsid w:val="007D28D2"/>
    <w:rsid w:val="007D331C"/>
    <w:rsid w:val="007D3B41"/>
    <w:rsid w:val="007D40F4"/>
    <w:rsid w:val="007D42A9"/>
    <w:rsid w:val="007D43AD"/>
    <w:rsid w:val="007D477F"/>
    <w:rsid w:val="007D47A0"/>
    <w:rsid w:val="007D4B53"/>
    <w:rsid w:val="007D4F55"/>
    <w:rsid w:val="007D5023"/>
    <w:rsid w:val="007D508C"/>
    <w:rsid w:val="007D56C2"/>
    <w:rsid w:val="007D61F1"/>
    <w:rsid w:val="007D6B86"/>
    <w:rsid w:val="007D6BF2"/>
    <w:rsid w:val="007D71A6"/>
    <w:rsid w:val="007D71D1"/>
    <w:rsid w:val="007D7410"/>
    <w:rsid w:val="007D7730"/>
    <w:rsid w:val="007D7983"/>
    <w:rsid w:val="007D7D32"/>
    <w:rsid w:val="007D7FB7"/>
    <w:rsid w:val="007E0099"/>
    <w:rsid w:val="007E01F8"/>
    <w:rsid w:val="007E04AB"/>
    <w:rsid w:val="007E0637"/>
    <w:rsid w:val="007E0751"/>
    <w:rsid w:val="007E1127"/>
    <w:rsid w:val="007E1A18"/>
    <w:rsid w:val="007E1DE0"/>
    <w:rsid w:val="007E1F35"/>
    <w:rsid w:val="007E1F66"/>
    <w:rsid w:val="007E211D"/>
    <w:rsid w:val="007E28FF"/>
    <w:rsid w:val="007E2A2B"/>
    <w:rsid w:val="007E32D2"/>
    <w:rsid w:val="007E3D55"/>
    <w:rsid w:val="007E423D"/>
    <w:rsid w:val="007E46AA"/>
    <w:rsid w:val="007E4BD5"/>
    <w:rsid w:val="007E5AB8"/>
    <w:rsid w:val="007E5CD3"/>
    <w:rsid w:val="007E6184"/>
    <w:rsid w:val="007E634D"/>
    <w:rsid w:val="007E650B"/>
    <w:rsid w:val="007E69E6"/>
    <w:rsid w:val="007E6BE1"/>
    <w:rsid w:val="007E7468"/>
    <w:rsid w:val="007E76A3"/>
    <w:rsid w:val="007E782C"/>
    <w:rsid w:val="007E78C7"/>
    <w:rsid w:val="007E7CC4"/>
    <w:rsid w:val="007E7E14"/>
    <w:rsid w:val="007E7E18"/>
    <w:rsid w:val="007F01BD"/>
    <w:rsid w:val="007F026A"/>
    <w:rsid w:val="007F05AC"/>
    <w:rsid w:val="007F0CFA"/>
    <w:rsid w:val="007F16C0"/>
    <w:rsid w:val="007F1A58"/>
    <w:rsid w:val="007F202B"/>
    <w:rsid w:val="007F224B"/>
    <w:rsid w:val="007F2543"/>
    <w:rsid w:val="007F2C2F"/>
    <w:rsid w:val="007F2F6C"/>
    <w:rsid w:val="007F2FDB"/>
    <w:rsid w:val="007F3348"/>
    <w:rsid w:val="007F378A"/>
    <w:rsid w:val="007F386A"/>
    <w:rsid w:val="007F4100"/>
    <w:rsid w:val="007F456D"/>
    <w:rsid w:val="007F4805"/>
    <w:rsid w:val="007F517C"/>
    <w:rsid w:val="007F60A7"/>
    <w:rsid w:val="007F67F4"/>
    <w:rsid w:val="007F6D63"/>
    <w:rsid w:val="007F72B7"/>
    <w:rsid w:val="007F74B9"/>
    <w:rsid w:val="007F77E8"/>
    <w:rsid w:val="007F7C0E"/>
    <w:rsid w:val="007F7D4D"/>
    <w:rsid w:val="007F7D74"/>
    <w:rsid w:val="00800178"/>
    <w:rsid w:val="00800502"/>
    <w:rsid w:val="008006C1"/>
    <w:rsid w:val="00800F79"/>
    <w:rsid w:val="0080104A"/>
    <w:rsid w:val="008015B4"/>
    <w:rsid w:val="008021D4"/>
    <w:rsid w:val="00804125"/>
    <w:rsid w:val="00804ADD"/>
    <w:rsid w:val="008050FE"/>
    <w:rsid w:val="0080566B"/>
    <w:rsid w:val="00805992"/>
    <w:rsid w:val="008059C6"/>
    <w:rsid w:val="00805A4E"/>
    <w:rsid w:val="00805C54"/>
    <w:rsid w:val="00805F10"/>
    <w:rsid w:val="00805F2E"/>
    <w:rsid w:val="008063D9"/>
    <w:rsid w:val="00806B38"/>
    <w:rsid w:val="008073CB"/>
    <w:rsid w:val="008074DF"/>
    <w:rsid w:val="00807E8D"/>
    <w:rsid w:val="00807EF7"/>
    <w:rsid w:val="008102B5"/>
    <w:rsid w:val="0081076B"/>
    <w:rsid w:val="00810883"/>
    <w:rsid w:val="008108FC"/>
    <w:rsid w:val="00810C99"/>
    <w:rsid w:val="0081158A"/>
    <w:rsid w:val="0081217F"/>
    <w:rsid w:val="0081359E"/>
    <w:rsid w:val="008144A6"/>
    <w:rsid w:val="0081450C"/>
    <w:rsid w:val="008145EC"/>
    <w:rsid w:val="008148BF"/>
    <w:rsid w:val="00814D2F"/>
    <w:rsid w:val="008151FE"/>
    <w:rsid w:val="0081553E"/>
    <w:rsid w:val="008155CF"/>
    <w:rsid w:val="00815E6E"/>
    <w:rsid w:val="00815EA6"/>
    <w:rsid w:val="008164AF"/>
    <w:rsid w:val="00816BC3"/>
    <w:rsid w:val="00816DB0"/>
    <w:rsid w:val="0081722C"/>
    <w:rsid w:val="008174C6"/>
    <w:rsid w:val="008176FB"/>
    <w:rsid w:val="008177F7"/>
    <w:rsid w:val="00817A6D"/>
    <w:rsid w:val="00817D82"/>
    <w:rsid w:val="008207F9"/>
    <w:rsid w:val="00820E6C"/>
    <w:rsid w:val="0082150D"/>
    <w:rsid w:val="00821550"/>
    <w:rsid w:val="00821D1E"/>
    <w:rsid w:val="0082204C"/>
    <w:rsid w:val="0082285F"/>
    <w:rsid w:val="0082298B"/>
    <w:rsid w:val="00823067"/>
    <w:rsid w:val="008230FF"/>
    <w:rsid w:val="00823DA4"/>
    <w:rsid w:val="00823F3C"/>
    <w:rsid w:val="00824253"/>
    <w:rsid w:val="008243EB"/>
    <w:rsid w:val="008243FE"/>
    <w:rsid w:val="00824423"/>
    <w:rsid w:val="00824B4A"/>
    <w:rsid w:val="00824EB8"/>
    <w:rsid w:val="00825B1B"/>
    <w:rsid w:val="00825B53"/>
    <w:rsid w:val="00825F3F"/>
    <w:rsid w:val="00826050"/>
    <w:rsid w:val="008263E3"/>
    <w:rsid w:val="00826428"/>
    <w:rsid w:val="008273BF"/>
    <w:rsid w:val="008279C5"/>
    <w:rsid w:val="00827C8D"/>
    <w:rsid w:val="00827DBD"/>
    <w:rsid w:val="00827EA8"/>
    <w:rsid w:val="008303FD"/>
    <w:rsid w:val="0083069A"/>
    <w:rsid w:val="00831DD9"/>
    <w:rsid w:val="0083209F"/>
    <w:rsid w:val="00832582"/>
    <w:rsid w:val="0083298A"/>
    <w:rsid w:val="00832BE1"/>
    <w:rsid w:val="0083317D"/>
    <w:rsid w:val="0083371A"/>
    <w:rsid w:val="0083388A"/>
    <w:rsid w:val="00833C6C"/>
    <w:rsid w:val="00833D16"/>
    <w:rsid w:val="00833E4B"/>
    <w:rsid w:val="00834191"/>
    <w:rsid w:val="00834AAA"/>
    <w:rsid w:val="00834C3F"/>
    <w:rsid w:val="00835035"/>
    <w:rsid w:val="00835368"/>
    <w:rsid w:val="00835DF3"/>
    <w:rsid w:val="00835FB7"/>
    <w:rsid w:val="008365E9"/>
    <w:rsid w:val="0083676D"/>
    <w:rsid w:val="00836AAE"/>
    <w:rsid w:val="00836B3A"/>
    <w:rsid w:val="00836B76"/>
    <w:rsid w:val="00837195"/>
    <w:rsid w:val="0083741A"/>
    <w:rsid w:val="0083798B"/>
    <w:rsid w:val="00837AF2"/>
    <w:rsid w:val="00837B80"/>
    <w:rsid w:val="00837C3C"/>
    <w:rsid w:val="00840628"/>
    <w:rsid w:val="00841616"/>
    <w:rsid w:val="008416C9"/>
    <w:rsid w:val="0084176D"/>
    <w:rsid w:val="008421A4"/>
    <w:rsid w:val="0084241C"/>
    <w:rsid w:val="008424C3"/>
    <w:rsid w:val="00843352"/>
    <w:rsid w:val="00843971"/>
    <w:rsid w:val="00843DBB"/>
    <w:rsid w:val="00843EBD"/>
    <w:rsid w:val="008441EF"/>
    <w:rsid w:val="008442E2"/>
    <w:rsid w:val="008449B0"/>
    <w:rsid w:val="00845205"/>
    <w:rsid w:val="00845800"/>
    <w:rsid w:val="00845EEB"/>
    <w:rsid w:val="0084656D"/>
    <w:rsid w:val="00846981"/>
    <w:rsid w:val="008475E6"/>
    <w:rsid w:val="00847CFF"/>
    <w:rsid w:val="008503A5"/>
    <w:rsid w:val="00850B86"/>
    <w:rsid w:val="00851CB6"/>
    <w:rsid w:val="00851D37"/>
    <w:rsid w:val="00851D7A"/>
    <w:rsid w:val="0085207E"/>
    <w:rsid w:val="008523A2"/>
    <w:rsid w:val="00852909"/>
    <w:rsid w:val="00852ABC"/>
    <w:rsid w:val="00852EE1"/>
    <w:rsid w:val="00853058"/>
    <w:rsid w:val="008534C7"/>
    <w:rsid w:val="00853803"/>
    <w:rsid w:val="00853F79"/>
    <w:rsid w:val="0085402D"/>
    <w:rsid w:val="0085419D"/>
    <w:rsid w:val="008545E8"/>
    <w:rsid w:val="00854D3E"/>
    <w:rsid w:val="008553C2"/>
    <w:rsid w:val="00855699"/>
    <w:rsid w:val="00855A3C"/>
    <w:rsid w:val="00855ACA"/>
    <w:rsid w:val="00855F11"/>
    <w:rsid w:val="00856171"/>
    <w:rsid w:val="00856C09"/>
    <w:rsid w:val="00856C72"/>
    <w:rsid w:val="00857419"/>
    <w:rsid w:val="008577BD"/>
    <w:rsid w:val="0085788E"/>
    <w:rsid w:val="008579B5"/>
    <w:rsid w:val="00857F37"/>
    <w:rsid w:val="00860395"/>
    <w:rsid w:val="008607FF"/>
    <w:rsid w:val="00860DBC"/>
    <w:rsid w:val="00860DD2"/>
    <w:rsid w:val="00860FFE"/>
    <w:rsid w:val="008619D4"/>
    <w:rsid w:val="00861F28"/>
    <w:rsid w:val="00861FF1"/>
    <w:rsid w:val="008620BE"/>
    <w:rsid w:val="00862567"/>
    <w:rsid w:val="008626B7"/>
    <w:rsid w:val="00862D85"/>
    <w:rsid w:val="00863020"/>
    <w:rsid w:val="008630E5"/>
    <w:rsid w:val="00863271"/>
    <w:rsid w:val="008633F2"/>
    <w:rsid w:val="00863438"/>
    <w:rsid w:val="0086415F"/>
    <w:rsid w:val="0086431F"/>
    <w:rsid w:val="00864351"/>
    <w:rsid w:val="008643C1"/>
    <w:rsid w:val="00864427"/>
    <w:rsid w:val="008644BD"/>
    <w:rsid w:val="00864FC9"/>
    <w:rsid w:val="00865349"/>
    <w:rsid w:val="00865601"/>
    <w:rsid w:val="0086585F"/>
    <w:rsid w:val="008665B3"/>
    <w:rsid w:val="00866BDD"/>
    <w:rsid w:val="00867378"/>
    <w:rsid w:val="00867506"/>
    <w:rsid w:val="00867B32"/>
    <w:rsid w:val="00867B72"/>
    <w:rsid w:val="00867BFB"/>
    <w:rsid w:val="00870577"/>
    <w:rsid w:val="0087062F"/>
    <w:rsid w:val="00870915"/>
    <w:rsid w:val="008709D2"/>
    <w:rsid w:val="00870F81"/>
    <w:rsid w:val="008711F9"/>
    <w:rsid w:val="00871567"/>
    <w:rsid w:val="00871689"/>
    <w:rsid w:val="00871709"/>
    <w:rsid w:val="008719C5"/>
    <w:rsid w:val="00871A07"/>
    <w:rsid w:val="00871AEE"/>
    <w:rsid w:val="00872117"/>
    <w:rsid w:val="00872125"/>
    <w:rsid w:val="008729FB"/>
    <w:rsid w:val="008734C2"/>
    <w:rsid w:val="00873CB6"/>
    <w:rsid w:val="00873D53"/>
    <w:rsid w:val="008741DE"/>
    <w:rsid w:val="0087479C"/>
    <w:rsid w:val="00874AC0"/>
    <w:rsid w:val="00874AF9"/>
    <w:rsid w:val="00874B4F"/>
    <w:rsid w:val="008754CB"/>
    <w:rsid w:val="0087564E"/>
    <w:rsid w:val="00875B22"/>
    <w:rsid w:val="00875B60"/>
    <w:rsid w:val="00876016"/>
    <w:rsid w:val="008762B2"/>
    <w:rsid w:val="00877079"/>
    <w:rsid w:val="008778D2"/>
    <w:rsid w:val="00877BC4"/>
    <w:rsid w:val="008804AE"/>
    <w:rsid w:val="008804E9"/>
    <w:rsid w:val="00880AA5"/>
    <w:rsid w:val="00881AD6"/>
    <w:rsid w:val="00881DDF"/>
    <w:rsid w:val="00882492"/>
    <w:rsid w:val="008834C3"/>
    <w:rsid w:val="00883A18"/>
    <w:rsid w:val="008850F0"/>
    <w:rsid w:val="0088530A"/>
    <w:rsid w:val="00885B3B"/>
    <w:rsid w:val="00885B4B"/>
    <w:rsid w:val="008861A1"/>
    <w:rsid w:val="00886A46"/>
    <w:rsid w:val="00886E67"/>
    <w:rsid w:val="00886F88"/>
    <w:rsid w:val="008873D1"/>
    <w:rsid w:val="00887931"/>
    <w:rsid w:val="00887A10"/>
    <w:rsid w:val="00887E24"/>
    <w:rsid w:val="00887FDF"/>
    <w:rsid w:val="00890540"/>
    <w:rsid w:val="008908EA"/>
    <w:rsid w:val="00890B12"/>
    <w:rsid w:val="00891412"/>
    <w:rsid w:val="008921E9"/>
    <w:rsid w:val="0089247B"/>
    <w:rsid w:val="00892764"/>
    <w:rsid w:val="00892A9A"/>
    <w:rsid w:val="00892F38"/>
    <w:rsid w:val="008930CD"/>
    <w:rsid w:val="00893822"/>
    <w:rsid w:val="00893E93"/>
    <w:rsid w:val="008942DE"/>
    <w:rsid w:val="008945F2"/>
    <w:rsid w:val="0089467C"/>
    <w:rsid w:val="00894E9B"/>
    <w:rsid w:val="008950D6"/>
    <w:rsid w:val="00896593"/>
    <w:rsid w:val="00897A25"/>
    <w:rsid w:val="008A0131"/>
    <w:rsid w:val="008A05C0"/>
    <w:rsid w:val="008A05EB"/>
    <w:rsid w:val="008A1027"/>
    <w:rsid w:val="008A186D"/>
    <w:rsid w:val="008A1CF8"/>
    <w:rsid w:val="008A266C"/>
    <w:rsid w:val="008A271F"/>
    <w:rsid w:val="008A2947"/>
    <w:rsid w:val="008A2B0B"/>
    <w:rsid w:val="008A31B4"/>
    <w:rsid w:val="008A3978"/>
    <w:rsid w:val="008A3D63"/>
    <w:rsid w:val="008A4493"/>
    <w:rsid w:val="008A47BD"/>
    <w:rsid w:val="008A4815"/>
    <w:rsid w:val="008A4B01"/>
    <w:rsid w:val="008A61E2"/>
    <w:rsid w:val="008A6220"/>
    <w:rsid w:val="008A668D"/>
    <w:rsid w:val="008A720D"/>
    <w:rsid w:val="008A72EE"/>
    <w:rsid w:val="008A76C5"/>
    <w:rsid w:val="008A7AC3"/>
    <w:rsid w:val="008B01A6"/>
    <w:rsid w:val="008B0533"/>
    <w:rsid w:val="008B0E90"/>
    <w:rsid w:val="008B108C"/>
    <w:rsid w:val="008B1392"/>
    <w:rsid w:val="008B1527"/>
    <w:rsid w:val="008B1813"/>
    <w:rsid w:val="008B1B44"/>
    <w:rsid w:val="008B1BA2"/>
    <w:rsid w:val="008B1C67"/>
    <w:rsid w:val="008B25CC"/>
    <w:rsid w:val="008B25FA"/>
    <w:rsid w:val="008B288E"/>
    <w:rsid w:val="008B30A5"/>
    <w:rsid w:val="008B3115"/>
    <w:rsid w:val="008B3771"/>
    <w:rsid w:val="008B3E1C"/>
    <w:rsid w:val="008B443B"/>
    <w:rsid w:val="008B4BFE"/>
    <w:rsid w:val="008B5F4A"/>
    <w:rsid w:val="008B5FAB"/>
    <w:rsid w:val="008B68C0"/>
    <w:rsid w:val="008B6A03"/>
    <w:rsid w:val="008B6C77"/>
    <w:rsid w:val="008B735F"/>
    <w:rsid w:val="008B74E8"/>
    <w:rsid w:val="008B78E4"/>
    <w:rsid w:val="008B7B2D"/>
    <w:rsid w:val="008B7BC7"/>
    <w:rsid w:val="008B7E68"/>
    <w:rsid w:val="008C0843"/>
    <w:rsid w:val="008C107E"/>
    <w:rsid w:val="008C1460"/>
    <w:rsid w:val="008C16E9"/>
    <w:rsid w:val="008C1716"/>
    <w:rsid w:val="008C1C7D"/>
    <w:rsid w:val="008C233A"/>
    <w:rsid w:val="008C3090"/>
    <w:rsid w:val="008C3214"/>
    <w:rsid w:val="008C374B"/>
    <w:rsid w:val="008C3C03"/>
    <w:rsid w:val="008C4859"/>
    <w:rsid w:val="008C48D7"/>
    <w:rsid w:val="008C4D93"/>
    <w:rsid w:val="008C5373"/>
    <w:rsid w:val="008C5430"/>
    <w:rsid w:val="008C562D"/>
    <w:rsid w:val="008C605B"/>
    <w:rsid w:val="008C6156"/>
    <w:rsid w:val="008C6667"/>
    <w:rsid w:val="008C6708"/>
    <w:rsid w:val="008C68CA"/>
    <w:rsid w:val="008C68F9"/>
    <w:rsid w:val="008C73E2"/>
    <w:rsid w:val="008C7637"/>
    <w:rsid w:val="008C7900"/>
    <w:rsid w:val="008C7D98"/>
    <w:rsid w:val="008C7DC0"/>
    <w:rsid w:val="008D037C"/>
    <w:rsid w:val="008D0396"/>
    <w:rsid w:val="008D03D9"/>
    <w:rsid w:val="008D08CD"/>
    <w:rsid w:val="008D09E5"/>
    <w:rsid w:val="008D0E60"/>
    <w:rsid w:val="008D0F8F"/>
    <w:rsid w:val="008D10DF"/>
    <w:rsid w:val="008D10FB"/>
    <w:rsid w:val="008D1153"/>
    <w:rsid w:val="008D12CA"/>
    <w:rsid w:val="008D1428"/>
    <w:rsid w:val="008D175E"/>
    <w:rsid w:val="008D18D3"/>
    <w:rsid w:val="008D1972"/>
    <w:rsid w:val="008D2343"/>
    <w:rsid w:val="008D23A7"/>
    <w:rsid w:val="008D25FC"/>
    <w:rsid w:val="008D27A2"/>
    <w:rsid w:val="008D27F6"/>
    <w:rsid w:val="008D2FBA"/>
    <w:rsid w:val="008D32C6"/>
    <w:rsid w:val="008D33B6"/>
    <w:rsid w:val="008D38FB"/>
    <w:rsid w:val="008D3B17"/>
    <w:rsid w:val="008D3C26"/>
    <w:rsid w:val="008D3E04"/>
    <w:rsid w:val="008D45FF"/>
    <w:rsid w:val="008D4D62"/>
    <w:rsid w:val="008D4F73"/>
    <w:rsid w:val="008D5026"/>
    <w:rsid w:val="008D5185"/>
    <w:rsid w:val="008D52AF"/>
    <w:rsid w:val="008D52C8"/>
    <w:rsid w:val="008D5745"/>
    <w:rsid w:val="008D59E1"/>
    <w:rsid w:val="008D5A33"/>
    <w:rsid w:val="008D5FBD"/>
    <w:rsid w:val="008D6166"/>
    <w:rsid w:val="008D6F88"/>
    <w:rsid w:val="008D6FB1"/>
    <w:rsid w:val="008D756F"/>
    <w:rsid w:val="008D786F"/>
    <w:rsid w:val="008D7918"/>
    <w:rsid w:val="008E0139"/>
    <w:rsid w:val="008E02A5"/>
    <w:rsid w:val="008E0434"/>
    <w:rsid w:val="008E05AE"/>
    <w:rsid w:val="008E0D0B"/>
    <w:rsid w:val="008E0E18"/>
    <w:rsid w:val="008E0F3A"/>
    <w:rsid w:val="008E1125"/>
    <w:rsid w:val="008E1363"/>
    <w:rsid w:val="008E1898"/>
    <w:rsid w:val="008E1CC4"/>
    <w:rsid w:val="008E2950"/>
    <w:rsid w:val="008E2A83"/>
    <w:rsid w:val="008E35B8"/>
    <w:rsid w:val="008E3B6F"/>
    <w:rsid w:val="008E3E49"/>
    <w:rsid w:val="008E4095"/>
    <w:rsid w:val="008E4204"/>
    <w:rsid w:val="008E44A6"/>
    <w:rsid w:val="008E47A6"/>
    <w:rsid w:val="008E48E6"/>
    <w:rsid w:val="008E4B4F"/>
    <w:rsid w:val="008E4B94"/>
    <w:rsid w:val="008E4DD0"/>
    <w:rsid w:val="008E4FAD"/>
    <w:rsid w:val="008E56F7"/>
    <w:rsid w:val="008E58E4"/>
    <w:rsid w:val="008E598F"/>
    <w:rsid w:val="008E6115"/>
    <w:rsid w:val="008E6289"/>
    <w:rsid w:val="008E704D"/>
    <w:rsid w:val="008F00B3"/>
    <w:rsid w:val="008F023A"/>
    <w:rsid w:val="008F131B"/>
    <w:rsid w:val="008F1481"/>
    <w:rsid w:val="008F1ADB"/>
    <w:rsid w:val="008F214D"/>
    <w:rsid w:val="008F295A"/>
    <w:rsid w:val="008F3008"/>
    <w:rsid w:val="008F33A9"/>
    <w:rsid w:val="008F346E"/>
    <w:rsid w:val="008F3661"/>
    <w:rsid w:val="008F3A8C"/>
    <w:rsid w:val="008F43AF"/>
    <w:rsid w:val="008F45AC"/>
    <w:rsid w:val="008F4ABD"/>
    <w:rsid w:val="008F4C7B"/>
    <w:rsid w:val="008F58D2"/>
    <w:rsid w:val="008F5907"/>
    <w:rsid w:val="008F5A42"/>
    <w:rsid w:val="008F5B08"/>
    <w:rsid w:val="008F5C9A"/>
    <w:rsid w:val="008F6305"/>
    <w:rsid w:val="008F6522"/>
    <w:rsid w:val="008F693B"/>
    <w:rsid w:val="008F69F0"/>
    <w:rsid w:val="008F6A19"/>
    <w:rsid w:val="008F6CDE"/>
    <w:rsid w:val="008F7150"/>
    <w:rsid w:val="008F759A"/>
    <w:rsid w:val="008F796F"/>
    <w:rsid w:val="008F79E0"/>
    <w:rsid w:val="008F7A9D"/>
    <w:rsid w:val="008F7F3B"/>
    <w:rsid w:val="0090027C"/>
    <w:rsid w:val="00900748"/>
    <w:rsid w:val="009007A2"/>
    <w:rsid w:val="009008AE"/>
    <w:rsid w:val="009019A6"/>
    <w:rsid w:val="00901F57"/>
    <w:rsid w:val="00902184"/>
    <w:rsid w:val="0090225B"/>
    <w:rsid w:val="00902532"/>
    <w:rsid w:val="0090255C"/>
    <w:rsid w:val="009025E2"/>
    <w:rsid w:val="009027F6"/>
    <w:rsid w:val="009033F2"/>
    <w:rsid w:val="009034E8"/>
    <w:rsid w:val="009034EB"/>
    <w:rsid w:val="0090456D"/>
    <w:rsid w:val="00904859"/>
    <w:rsid w:val="009048CC"/>
    <w:rsid w:val="00905F63"/>
    <w:rsid w:val="0090617B"/>
    <w:rsid w:val="0090645B"/>
    <w:rsid w:val="00906518"/>
    <w:rsid w:val="009065EF"/>
    <w:rsid w:val="00906600"/>
    <w:rsid w:val="00906779"/>
    <w:rsid w:val="009069E3"/>
    <w:rsid w:val="00906BE7"/>
    <w:rsid w:val="009075C7"/>
    <w:rsid w:val="00907D70"/>
    <w:rsid w:val="00907EE3"/>
    <w:rsid w:val="0091014D"/>
    <w:rsid w:val="00910603"/>
    <w:rsid w:val="00910D57"/>
    <w:rsid w:val="00910E2A"/>
    <w:rsid w:val="00911250"/>
    <w:rsid w:val="009112AE"/>
    <w:rsid w:val="00911F1F"/>
    <w:rsid w:val="0091264B"/>
    <w:rsid w:val="009127B8"/>
    <w:rsid w:val="00912C81"/>
    <w:rsid w:val="00912CA1"/>
    <w:rsid w:val="009132EF"/>
    <w:rsid w:val="00913881"/>
    <w:rsid w:val="00913AC5"/>
    <w:rsid w:val="00913F83"/>
    <w:rsid w:val="009141DB"/>
    <w:rsid w:val="00914AC3"/>
    <w:rsid w:val="00914EB4"/>
    <w:rsid w:val="009150A6"/>
    <w:rsid w:val="009154C6"/>
    <w:rsid w:val="009158A2"/>
    <w:rsid w:val="00915F92"/>
    <w:rsid w:val="0091643E"/>
    <w:rsid w:val="00916514"/>
    <w:rsid w:val="00916685"/>
    <w:rsid w:val="0091710E"/>
    <w:rsid w:val="00917166"/>
    <w:rsid w:val="00917BC2"/>
    <w:rsid w:val="00917D4B"/>
    <w:rsid w:val="00920021"/>
    <w:rsid w:val="00920351"/>
    <w:rsid w:val="00921366"/>
    <w:rsid w:val="009218C4"/>
    <w:rsid w:val="00921BE8"/>
    <w:rsid w:val="009220F4"/>
    <w:rsid w:val="0092237E"/>
    <w:rsid w:val="00922953"/>
    <w:rsid w:val="00922AB2"/>
    <w:rsid w:val="009232A1"/>
    <w:rsid w:val="00923786"/>
    <w:rsid w:val="00923DFB"/>
    <w:rsid w:val="009257AE"/>
    <w:rsid w:val="0092596C"/>
    <w:rsid w:val="00925AB5"/>
    <w:rsid w:val="00925C71"/>
    <w:rsid w:val="00925DE9"/>
    <w:rsid w:val="009266DD"/>
    <w:rsid w:val="009267CB"/>
    <w:rsid w:val="00926986"/>
    <w:rsid w:val="00926F5C"/>
    <w:rsid w:val="00926FE8"/>
    <w:rsid w:val="0092704F"/>
    <w:rsid w:val="009270D2"/>
    <w:rsid w:val="009272A3"/>
    <w:rsid w:val="0092733B"/>
    <w:rsid w:val="00927538"/>
    <w:rsid w:val="0092756D"/>
    <w:rsid w:val="0092769E"/>
    <w:rsid w:val="0092796F"/>
    <w:rsid w:val="00927CB1"/>
    <w:rsid w:val="0093006D"/>
    <w:rsid w:val="009303C3"/>
    <w:rsid w:val="009304B2"/>
    <w:rsid w:val="00930A28"/>
    <w:rsid w:val="00930F52"/>
    <w:rsid w:val="009315B1"/>
    <w:rsid w:val="00933321"/>
    <w:rsid w:val="0093343A"/>
    <w:rsid w:val="0093357E"/>
    <w:rsid w:val="00933897"/>
    <w:rsid w:val="00933C72"/>
    <w:rsid w:val="00934589"/>
    <w:rsid w:val="009345D3"/>
    <w:rsid w:val="00934E8C"/>
    <w:rsid w:val="00934FE1"/>
    <w:rsid w:val="0093537D"/>
    <w:rsid w:val="0093543B"/>
    <w:rsid w:val="00935546"/>
    <w:rsid w:val="00935987"/>
    <w:rsid w:val="00935A4F"/>
    <w:rsid w:val="00935DBF"/>
    <w:rsid w:val="00935F72"/>
    <w:rsid w:val="00936088"/>
    <w:rsid w:val="009366CC"/>
    <w:rsid w:val="009369B4"/>
    <w:rsid w:val="00937AB4"/>
    <w:rsid w:val="00937B02"/>
    <w:rsid w:val="00937CED"/>
    <w:rsid w:val="009406A5"/>
    <w:rsid w:val="0094071F"/>
    <w:rsid w:val="00940725"/>
    <w:rsid w:val="00940D78"/>
    <w:rsid w:val="00940F8C"/>
    <w:rsid w:val="009411D2"/>
    <w:rsid w:val="0094132A"/>
    <w:rsid w:val="009416B4"/>
    <w:rsid w:val="0094179E"/>
    <w:rsid w:val="00941975"/>
    <w:rsid w:val="00941A8F"/>
    <w:rsid w:val="00941B09"/>
    <w:rsid w:val="00941C50"/>
    <w:rsid w:val="0094216A"/>
    <w:rsid w:val="0094241B"/>
    <w:rsid w:val="00942493"/>
    <w:rsid w:val="00942770"/>
    <w:rsid w:val="00942830"/>
    <w:rsid w:val="009428B2"/>
    <w:rsid w:val="009430CE"/>
    <w:rsid w:val="0094357B"/>
    <w:rsid w:val="0094365D"/>
    <w:rsid w:val="00943A21"/>
    <w:rsid w:val="0094484E"/>
    <w:rsid w:val="00944A8B"/>
    <w:rsid w:val="00944D2B"/>
    <w:rsid w:val="009450EA"/>
    <w:rsid w:val="00945A54"/>
    <w:rsid w:val="00946399"/>
    <w:rsid w:val="00946680"/>
    <w:rsid w:val="00946B71"/>
    <w:rsid w:val="00946FF8"/>
    <w:rsid w:val="009474EF"/>
    <w:rsid w:val="00947CC3"/>
    <w:rsid w:val="00947CC6"/>
    <w:rsid w:val="00947F89"/>
    <w:rsid w:val="00950057"/>
    <w:rsid w:val="0095018E"/>
    <w:rsid w:val="00950755"/>
    <w:rsid w:val="009508CB"/>
    <w:rsid w:val="00950B21"/>
    <w:rsid w:val="00950EB0"/>
    <w:rsid w:val="009513D5"/>
    <w:rsid w:val="0095149F"/>
    <w:rsid w:val="00951801"/>
    <w:rsid w:val="00951E45"/>
    <w:rsid w:val="00954368"/>
    <w:rsid w:val="0095437B"/>
    <w:rsid w:val="00954566"/>
    <w:rsid w:val="00954E68"/>
    <w:rsid w:val="00955288"/>
    <w:rsid w:val="009554CF"/>
    <w:rsid w:val="009558BC"/>
    <w:rsid w:val="0095594E"/>
    <w:rsid w:val="00955F5A"/>
    <w:rsid w:val="00956014"/>
    <w:rsid w:val="00956689"/>
    <w:rsid w:val="00956AC0"/>
    <w:rsid w:val="0095709C"/>
    <w:rsid w:val="0095717D"/>
    <w:rsid w:val="00957F8C"/>
    <w:rsid w:val="00960044"/>
    <w:rsid w:val="0096008F"/>
    <w:rsid w:val="0096035B"/>
    <w:rsid w:val="009609A1"/>
    <w:rsid w:val="00960CAE"/>
    <w:rsid w:val="00961834"/>
    <w:rsid w:val="00961CEA"/>
    <w:rsid w:val="00962099"/>
    <w:rsid w:val="009620AA"/>
    <w:rsid w:val="0096266B"/>
    <w:rsid w:val="009627B1"/>
    <w:rsid w:val="00962A4F"/>
    <w:rsid w:val="00962EFD"/>
    <w:rsid w:val="00962F2D"/>
    <w:rsid w:val="00963A0B"/>
    <w:rsid w:val="00963A68"/>
    <w:rsid w:val="00964146"/>
    <w:rsid w:val="00964232"/>
    <w:rsid w:val="00964675"/>
    <w:rsid w:val="009649B8"/>
    <w:rsid w:val="0096528F"/>
    <w:rsid w:val="00965581"/>
    <w:rsid w:val="00965F32"/>
    <w:rsid w:val="00965F37"/>
    <w:rsid w:val="00966D11"/>
    <w:rsid w:val="009672C4"/>
    <w:rsid w:val="0096788B"/>
    <w:rsid w:val="00967A22"/>
    <w:rsid w:val="00967F98"/>
    <w:rsid w:val="00970BF1"/>
    <w:rsid w:val="00971556"/>
    <w:rsid w:val="009716CB"/>
    <w:rsid w:val="00971778"/>
    <w:rsid w:val="00971EE0"/>
    <w:rsid w:val="00972011"/>
    <w:rsid w:val="009729C8"/>
    <w:rsid w:val="00972A2C"/>
    <w:rsid w:val="00972BB0"/>
    <w:rsid w:val="00972D82"/>
    <w:rsid w:val="0097315C"/>
    <w:rsid w:val="009733B9"/>
    <w:rsid w:val="0097372B"/>
    <w:rsid w:val="00974010"/>
    <w:rsid w:val="009744EB"/>
    <w:rsid w:val="00974676"/>
    <w:rsid w:val="00974807"/>
    <w:rsid w:val="00974C7E"/>
    <w:rsid w:val="00974EC2"/>
    <w:rsid w:val="00974F56"/>
    <w:rsid w:val="009751D4"/>
    <w:rsid w:val="00975274"/>
    <w:rsid w:val="00975A40"/>
    <w:rsid w:val="00975C5B"/>
    <w:rsid w:val="00975C95"/>
    <w:rsid w:val="00975EF8"/>
    <w:rsid w:val="009761F7"/>
    <w:rsid w:val="00976493"/>
    <w:rsid w:val="009765C9"/>
    <w:rsid w:val="0097691D"/>
    <w:rsid w:val="00976F3B"/>
    <w:rsid w:val="009773C4"/>
    <w:rsid w:val="0097775A"/>
    <w:rsid w:val="00977771"/>
    <w:rsid w:val="00977CEA"/>
    <w:rsid w:val="00977E35"/>
    <w:rsid w:val="00980217"/>
    <w:rsid w:val="0098021C"/>
    <w:rsid w:val="00980CF1"/>
    <w:rsid w:val="00980DEF"/>
    <w:rsid w:val="00981C23"/>
    <w:rsid w:val="00982117"/>
    <w:rsid w:val="009828A2"/>
    <w:rsid w:val="00982D2F"/>
    <w:rsid w:val="00982F1C"/>
    <w:rsid w:val="00983065"/>
    <w:rsid w:val="009834EA"/>
    <w:rsid w:val="009843E1"/>
    <w:rsid w:val="0098468D"/>
    <w:rsid w:val="0098487C"/>
    <w:rsid w:val="00984BA8"/>
    <w:rsid w:val="009856B2"/>
    <w:rsid w:val="00985782"/>
    <w:rsid w:val="0098583F"/>
    <w:rsid w:val="00985F68"/>
    <w:rsid w:val="00986239"/>
    <w:rsid w:val="009865E2"/>
    <w:rsid w:val="00986A1F"/>
    <w:rsid w:val="009875C7"/>
    <w:rsid w:val="00987765"/>
    <w:rsid w:val="00987930"/>
    <w:rsid w:val="00987CDC"/>
    <w:rsid w:val="0099011C"/>
    <w:rsid w:val="0099022D"/>
    <w:rsid w:val="009903FC"/>
    <w:rsid w:val="00990400"/>
    <w:rsid w:val="00990790"/>
    <w:rsid w:val="00990B43"/>
    <w:rsid w:val="00990C6D"/>
    <w:rsid w:val="00990D62"/>
    <w:rsid w:val="00991188"/>
    <w:rsid w:val="00991271"/>
    <w:rsid w:val="009918BE"/>
    <w:rsid w:val="00991C87"/>
    <w:rsid w:val="0099203B"/>
    <w:rsid w:val="00992080"/>
    <w:rsid w:val="009921DF"/>
    <w:rsid w:val="009925E1"/>
    <w:rsid w:val="00992962"/>
    <w:rsid w:val="00992B1B"/>
    <w:rsid w:val="00992EB4"/>
    <w:rsid w:val="00993524"/>
    <w:rsid w:val="009937EC"/>
    <w:rsid w:val="0099382B"/>
    <w:rsid w:val="00994375"/>
    <w:rsid w:val="0099446F"/>
    <w:rsid w:val="00994569"/>
    <w:rsid w:val="0099556B"/>
    <w:rsid w:val="00995B0E"/>
    <w:rsid w:val="0099610A"/>
    <w:rsid w:val="00996187"/>
    <w:rsid w:val="009969E6"/>
    <w:rsid w:val="0099719C"/>
    <w:rsid w:val="00997258"/>
    <w:rsid w:val="009975C9"/>
    <w:rsid w:val="00997604"/>
    <w:rsid w:val="00997C86"/>
    <w:rsid w:val="009A0093"/>
    <w:rsid w:val="009A0516"/>
    <w:rsid w:val="009A0A25"/>
    <w:rsid w:val="009A0B43"/>
    <w:rsid w:val="009A0FAB"/>
    <w:rsid w:val="009A115B"/>
    <w:rsid w:val="009A2401"/>
    <w:rsid w:val="009A24BE"/>
    <w:rsid w:val="009A262F"/>
    <w:rsid w:val="009A268C"/>
    <w:rsid w:val="009A33E6"/>
    <w:rsid w:val="009A37A1"/>
    <w:rsid w:val="009A3B5F"/>
    <w:rsid w:val="009A3B7A"/>
    <w:rsid w:val="009A4103"/>
    <w:rsid w:val="009A43B1"/>
    <w:rsid w:val="009A4685"/>
    <w:rsid w:val="009A48A4"/>
    <w:rsid w:val="009A48E8"/>
    <w:rsid w:val="009A4989"/>
    <w:rsid w:val="009A4B8A"/>
    <w:rsid w:val="009A4E54"/>
    <w:rsid w:val="009A5032"/>
    <w:rsid w:val="009A5125"/>
    <w:rsid w:val="009A56DC"/>
    <w:rsid w:val="009A5DB1"/>
    <w:rsid w:val="009A635B"/>
    <w:rsid w:val="009A6AB2"/>
    <w:rsid w:val="009A70AF"/>
    <w:rsid w:val="009A7F7F"/>
    <w:rsid w:val="009B0181"/>
    <w:rsid w:val="009B076E"/>
    <w:rsid w:val="009B0A8E"/>
    <w:rsid w:val="009B0C5A"/>
    <w:rsid w:val="009B14B3"/>
    <w:rsid w:val="009B15AA"/>
    <w:rsid w:val="009B1672"/>
    <w:rsid w:val="009B1769"/>
    <w:rsid w:val="009B23C4"/>
    <w:rsid w:val="009B2450"/>
    <w:rsid w:val="009B2AB5"/>
    <w:rsid w:val="009B2DD2"/>
    <w:rsid w:val="009B2FCC"/>
    <w:rsid w:val="009B30CA"/>
    <w:rsid w:val="009B341D"/>
    <w:rsid w:val="009B34EE"/>
    <w:rsid w:val="009B38EA"/>
    <w:rsid w:val="009B4467"/>
    <w:rsid w:val="009B44E5"/>
    <w:rsid w:val="009B46F2"/>
    <w:rsid w:val="009B49C7"/>
    <w:rsid w:val="009B551A"/>
    <w:rsid w:val="009B58F4"/>
    <w:rsid w:val="009B5A2A"/>
    <w:rsid w:val="009B5DA3"/>
    <w:rsid w:val="009B6B37"/>
    <w:rsid w:val="009B7B92"/>
    <w:rsid w:val="009B7BA0"/>
    <w:rsid w:val="009B7CF5"/>
    <w:rsid w:val="009C0CF0"/>
    <w:rsid w:val="009C117E"/>
    <w:rsid w:val="009C1246"/>
    <w:rsid w:val="009C16D3"/>
    <w:rsid w:val="009C16D5"/>
    <w:rsid w:val="009C1AAE"/>
    <w:rsid w:val="009C1B31"/>
    <w:rsid w:val="009C1B95"/>
    <w:rsid w:val="009C1D1F"/>
    <w:rsid w:val="009C2AAC"/>
    <w:rsid w:val="009C2F8F"/>
    <w:rsid w:val="009C3994"/>
    <w:rsid w:val="009C3F5A"/>
    <w:rsid w:val="009C4041"/>
    <w:rsid w:val="009C49DC"/>
    <w:rsid w:val="009C4F96"/>
    <w:rsid w:val="009C5634"/>
    <w:rsid w:val="009C59E7"/>
    <w:rsid w:val="009C5D0D"/>
    <w:rsid w:val="009C5DB6"/>
    <w:rsid w:val="009C5E72"/>
    <w:rsid w:val="009C5F15"/>
    <w:rsid w:val="009C6015"/>
    <w:rsid w:val="009C6475"/>
    <w:rsid w:val="009C6C13"/>
    <w:rsid w:val="009C75B7"/>
    <w:rsid w:val="009C7ADF"/>
    <w:rsid w:val="009D0001"/>
    <w:rsid w:val="009D0100"/>
    <w:rsid w:val="009D0123"/>
    <w:rsid w:val="009D021D"/>
    <w:rsid w:val="009D0390"/>
    <w:rsid w:val="009D0590"/>
    <w:rsid w:val="009D062E"/>
    <w:rsid w:val="009D0CAA"/>
    <w:rsid w:val="009D0F55"/>
    <w:rsid w:val="009D0FAD"/>
    <w:rsid w:val="009D1869"/>
    <w:rsid w:val="009D18EE"/>
    <w:rsid w:val="009D2508"/>
    <w:rsid w:val="009D3065"/>
    <w:rsid w:val="009D30BD"/>
    <w:rsid w:val="009D3382"/>
    <w:rsid w:val="009D33C1"/>
    <w:rsid w:val="009D389F"/>
    <w:rsid w:val="009D3A89"/>
    <w:rsid w:val="009D3AA7"/>
    <w:rsid w:val="009D3C43"/>
    <w:rsid w:val="009D3E21"/>
    <w:rsid w:val="009D402E"/>
    <w:rsid w:val="009D4318"/>
    <w:rsid w:val="009D4A6E"/>
    <w:rsid w:val="009D4B40"/>
    <w:rsid w:val="009D52FA"/>
    <w:rsid w:val="009D5797"/>
    <w:rsid w:val="009D57C0"/>
    <w:rsid w:val="009D5CD1"/>
    <w:rsid w:val="009D632E"/>
    <w:rsid w:val="009D6A5E"/>
    <w:rsid w:val="009D6B36"/>
    <w:rsid w:val="009D6D35"/>
    <w:rsid w:val="009D767F"/>
    <w:rsid w:val="009D79E5"/>
    <w:rsid w:val="009D7E66"/>
    <w:rsid w:val="009D7FB1"/>
    <w:rsid w:val="009E01D9"/>
    <w:rsid w:val="009E0A93"/>
    <w:rsid w:val="009E1A44"/>
    <w:rsid w:val="009E1D24"/>
    <w:rsid w:val="009E20EC"/>
    <w:rsid w:val="009E24FD"/>
    <w:rsid w:val="009E2B3B"/>
    <w:rsid w:val="009E2C9B"/>
    <w:rsid w:val="009E30E0"/>
    <w:rsid w:val="009E3579"/>
    <w:rsid w:val="009E3B23"/>
    <w:rsid w:val="009E4105"/>
    <w:rsid w:val="009E4284"/>
    <w:rsid w:val="009E483A"/>
    <w:rsid w:val="009E4C04"/>
    <w:rsid w:val="009E50BB"/>
    <w:rsid w:val="009E531B"/>
    <w:rsid w:val="009E5D32"/>
    <w:rsid w:val="009E5E75"/>
    <w:rsid w:val="009E635D"/>
    <w:rsid w:val="009E64F8"/>
    <w:rsid w:val="009E65D1"/>
    <w:rsid w:val="009E6761"/>
    <w:rsid w:val="009E6EAA"/>
    <w:rsid w:val="009E74B2"/>
    <w:rsid w:val="009E7CF4"/>
    <w:rsid w:val="009F0286"/>
    <w:rsid w:val="009F13FF"/>
    <w:rsid w:val="009F1586"/>
    <w:rsid w:val="009F162E"/>
    <w:rsid w:val="009F197A"/>
    <w:rsid w:val="009F3120"/>
    <w:rsid w:val="009F3D21"/>
    <w:rsid w:val="009F425F"/>
    <w:rsid w:val="009F4527"/>
    <w:rsid w:val="009F4A9E"/>
    <w:rsid w:val="009F4AB4"/>
    <w:rsid w:val="009F5306"/>
    <w:rsid w:val="009F53F5"/>
    <w:rsid w:val="009F549B"/>
    <w:rsid w:val="009F59E3"/>
    <w:rsid w:val="009F5ADD"/>
    <w:rsid w:val="009F61A9"/>
    <w:rsid w:val="009F6253"/>
    <w:rsid w:val="009F6C30"/>
    <w:rsid w:val="009F6E06"/>
    <w:rsid w:val="009F6EF6"/>
    <w:rsid w:val="009F7910"/>
    <w:rsid w:val="009F7B7A"/>
    <w:rsid w:val="009F7E69"/>
    <w:rsid w:val="009F7F95"/>
    <w:rsid w:val="00A002C0"/>
    <w:rsid w:val="00A00415"/>
    <w:rsid w:val="00A005D7"/>
    <w:rsid w:val="00A00946"/>
    <w:rsid w:val="00A00B24"/>
    <w:rsid w:val="00A0140E"/>
    <w:rsid w:val="00A01A7F"/>
    <w:rsid w:val="00A01DA8"/>
    <w:rsid w:val="00A01E73"/>
    <w:rsid w:val="00A01EBF"/>
    <w:rsid w:val="00A02654"/>
    <w:rsid w:val="00A0276D"/>
    <w:rsid w:val="00A0280F"/>
    <w:rsid w:val="00A0302B"/>
    <w:rsid w:val="00A0313B"/>
    <w:rsid w:val="00A03490"/>
    <w:rsid w:val="00A034C4"/>
    <w:rsid w:val="00A03DEE"/>
    <w:rsid w:val="00A03E0B"/>
    <w:rsid w:val="00A040C9"/>
    <w:rsid w:val="00A045AA"/>
    <w:rsid w:val="00A04A56"/>
    <w:rsid w:val="00A04E15"/>
    <w:rsid w:val="00A04E60"/>
    <w:rsid w:val="00A0534B"/>
    <w:rsid w:val="00A06068"/>
    <w:rsid w:val="00A0616F"/>
    <w:rsid w:val="00A06222"/>
    <w:rsid w:val="00A06328"/>
    <w:rsid w:val="00A066D0"/>
    <w:rsid w:val="00A06A9C"/>
    <w:rsid w:val="00A06BA8"/>
    <w:rsid w:val="00A06C59"/>
    <w:rsid w:val="00A074D5"/>
    <w:rsid w:val="00A07871"/>
    <w:rsid w:val="00A07A8A"/>
    <w:rsid w:val="00A10546"/>
    <w:rsid w:val="00A10657"/>
    <w:rsid w:val="00A109B2"/>
    <w:rsid w:val="00A10C88"/>
    <w:rsid w:val="00A10E23"/>
    <w:rsid w:val="00A110E4"/>
    <w:rsid w:val="00A113AD"/>
    <w:rsid w:val="00A116DC"/>
    <w:rsid w:val="00A11818"/>
    <w:rsid w:val="00A12303"/>
    <w:rsid w:val="00A12589"/>
    <w:rsid w:val="00A127A9"/>
    <w:rsid w:val="00A13421"/>
    <w:rsid w:val="00A13C25"/>
    <w:rsid w:val="00A13D4E"/>
    <w:rsid w:val="00A1417B"/>
    <w:rsid w:val="00A14836"/>
    <w:rsid w:val="00A1484F"/>
    <w:rsid w:val="00A1528E"/>
    <w:rsid w:val="00A1583E"/>
    <w:rsid w:val="00A158D9"/>
    <w:rsid w:val="00A159BA"/>
    <w:rsid w:val="00A15BA6"/>
    <w:rsid w:val="00A1623A"/>
    <w:rsid w:val="00A16368"/>
    <w:rsid w:val="00A163C0"/>
    <w:rsid w:val="00A1651B"/>
    <w:rsid w:val="00A16C1E"/>
    <w:rsid w:val="00A16C97"/>
    <w:rsid w:val="00A16E85"/>
    <w:rsid w:val="00A17832"/>
    <w:rsid w:val="00A178A5"/>
    <w:rsid w:val="00A17A0A"/>
    <w:rsid w:val="00A17A21"/>
    <w:rsid w:val="00A17DC1"/>
    <w:rsid w:val="00A17FA4"/>
    <w:rsid w:val="00A2001D"/>
    <w:rsid w:val="00A20068"/>
    <w:rsid w:val="00A2092C"/>
    <w:rsid w:val="00A20989"/>
    <w:rsid w:val="00A20A62"/>
    <w:rsid w:val="00A20BCD"/>
    <w:rsid w:val="00A21291"/>
    <w:rsid w:val="00A212B2"/>
    <w:rsid w:val="00A21505"/>
    <w:rsid w:val="00A219D4"/>
    <w:rsid w:val="00A21E56"/>
    <w:rsid w:val="00A22046"/>
    <w:rsid w:val="00A224DB"/>
    <w:rsid w:val="00A22778"/>
    <w:rsid w:val="00A22FBC"/>
    <w:rsid w:val="00A23601"/>
    <w:rsid w:val="00A23694"/>
    <w:rsid w:val="00A238DC"/>
    <w:rsid w:val="00A23B1E"/>
    <w:rsid w:val="00A23D0E"/>
    <w:rsid w:val="00A24313"/>
    <w:rsid w:val="00A243B9"/>
    <w:rsid w:val="00A25341"/>
    <w:rsid w:val="00A257EE"/>
    <w:rsid w:val="00A257FD"/>
    <w:rsid w:val="00A258B0"/>
    <w:rsid w:val="00A25A65"/>
    <w:rsid w:val="00A25EA5"/>
    <w:rsid w:val="00A2606C"/>
    <w:rsid w:val="00A2658D"/>
    <w:rsid w:val="00A265EB"/>
    <w:rsid w:val="00A268B8"/>
    <w:rsid w:val="00A26B09"/>
    <w:rsid w:val="00A26DDD"/>
    <w:rsid w:val="00A26FA9"/>
    <w:rsid w:val="00A271E7"/>
    <w:rsid w:val="00A275D0"/>
    <w:rsid w:val="00A27646"/>
    <w:rsid w:val="00A27737"/>
    <w:rsid w:val="00A27C08"/>
    <w:rsid w:val="00A301F4"/>
    <w:rsid w:val="00A30444"/>
    <w:rsid w:val="00A3065D"/>
    <w:rsid w:val="00A30798"/>
    <w:rsid w:val="00A31816"/>
    <w:rsid w:val="00A31C77"/>
    <w:rsid w:val="00A324AA"/>
    <w:rsid w:val="00A32816"/>
    <w:rsid w:val="00A32817"/>
    <w:rsid w:val="00A32DBA"/>
    <w:rsid w:val="00A32EA7"/>
    <w:rsid w:val="00A32FDE"/>
    <w:rsid w:val="00A33324"/>
    <w:rsid w:val="00A33B71"/>
    <w:rsid w:val="00A3448A"/>
    <w:rsid w:val="00A345DC"/>
    <w:rsid w:val="00A347D8"/>
    <w:rsid w:val="00A34AF4"/>
    <w:rsid w:val="00A34B37"/>
    <w:rsid w:val="00A34C40"/>
    <w:rsid w:val="00A35092"/>
    <w:rsid w:val="00A356F3"/>
    <w:rsid w:val="00A357F0"/>
    <w:rsid w:val="00A36510"/>
    <w:rsid w:val="00A3658F"/>
    <w:rsid w:val="00A367DC"/>
    <w:rsid w:val="00A36F72"/>
    <w:rsid w:val="00A3701D"/>
    <w:rsid w:val="00A370F3"/>
    <w:rsid w:val="00A3721E"/>
    <w:rsid w:val="00A37653"/>
    <w:rsid w:val="00A37F0C"/>
    <w:rsid w:val="00A400C1"/>
    <w:rsid w:val="00A40BB6"/>
    <w:rsid w:val="00A40FC9"/>
    <w:rsid w:val="00A4138A"/>
    <w:rsid w:val="00A416E2"/>
    <w:rsid w:val="00A41821"/>
    <w:rsid w:val="00A41B00"/>
    <w:rsid w:val="00A41C89"/>
    <w:rsid w:val="00A41F9A"/>
    <w:rsid w:val="00A423DC"/>
    <w:rsid w:val="00A426E0"/>
    <w:rsid w:val="00A42709"/>
    <w:rsid w:val="00A427CE"/>
    <w:rsid w:val="00A42B35"/>
    <w:rsid w:val="00A42D0D"/>
    <w:rsid w:val="00A42FE4"/>
    <w:rsid w:val="00A431FF"/>
    <w:rsid w:val="00A434DB"/>
    <w:rsid w:val="00A44245"/>
    <w:rsid w:val="00A44C96"/>
    <w:rsid w:val="00A44F0A"/>
    <w:rsid w:val="00A44F77"/>
    <w:rsid w:val="00A453D2"/>
    <w:rsid w:val="00A4608E"/>
    <w:rsid w:val="00A460D2"/>
    <w:rsid w:val="00A466AC"/>
    <w:rsid w:val="00A46899"/>
    <w:rsid w:val="00A4742B"/>
    <w:rsid w:val="00A47660"/>
    <w:rsid w:val="00A506AC"/>
    <w:rsid w:val="00A5149C"/>
    <w:rsid w:val="00A51E02"/>
    <w:rsid w:val="00A51EC9"/>
    <w:rsid w:val="00A52032"/>
    <w:rsid w:val="00A521FB"/>
    <w:rsid w:val="00A52C1F"/>
    <w:rsid w:val="00A5353A"/>
    <w:rsid w:val="00A53775"/>
    <w:rsid w:val="00A53B43"/>
    <w:rsid w:val="00A5518D"/>
    <w:rsid w:val="00A55C7E"/>
    <w:rsid w:val="00A576DA"/>
    <w:rsid w:val="00A57B5D"/>
    <w:rsid w:val="00A60B12"/>
    <w:rsid w:val="00A61C9E"/>
    <w:rsid w:val="00A6227F"/>
    <w:rsid w:val="00A62468"/>
    <w:rsid w:val="00A63474"/>
    <w:rsid w:val="00A63484"/>
    <w:rsid w:val="00A63587"/>
    <w:rsid w:val="00A63A7F"/>
    <w:rsid w:val="00A6446E"/>
    <w:rsid w:val="00A6482A"/>
    <w:rsid w:val="00A64CD1"/>
    <w:rsid w:val="00A65054"/>
    <w:rsid w:val="00A65334"/>
    <w:rsid w:val="00A65559"/>
    <w:rsid w:val="00A65E0E"/>
    <w:rsid w:val="00A660C1"/>
    <w:rsid w:val="00A66994"/>
    <w:rsid w:val="00A66BB6"/>
    <w:rsid w:val="00A66D4B"/>
    <w:rsid w:val="00A66FEE"/>
    <w:rsid w:val="00A673D7"/>
    <w:rsid w:val="00A67830"/>
    <w:rsid w:val="00A67B87"/>
    <w:rsid w:val="00A701AA"/>
    <w:rsid w:val="00A70281"/>
    <w:rsid w:val="00A70E24"/>
    <w:rsid w:val="00A712FD"/>
    <w:rsid w:val="00A71408"/>
    <w:rsid w:val="00A71CEC"/>
    <w:rsid w:val="00A71D89"/>
    <w:rsid w:val="00A71FC8"/>
    <w:rsid w:val="00A7215C"/>
    <w:rsid w:val="00A7236E"/>
    <w:rsid w:val="00A723A0"/>
    <w:rsid w:val="00A73377"/>
    <w:rsid w:val="00A73430"/>
    <w:rsid w:val="00A73832"/>
    <w:rsid w:val="00A74516"/>
    <w:rsid w:val="00A7456D"/>
    <w:rsid w:val="00A7460E"/>
    <w:rsid w:val="00A74BCF"/>
    <w:rsid w:val="00A74EA8"/>
    <w:rsid w:val="00A756EF"/>
    <w:rsid w:val="00A75B1A"/>
    <w:rsid w:val="00A76A64"/>
    <w:rsid w:val="00A76DEA"/>
    <w:rsid w:val="00A76FA9"/>
    <w:rsid w:val="00A77B45"/>
    <w:rsid w:val="00A77BB1"/>
    <w:rsid w:val="00A77D7E"/>
    <w:rsid w:val="00A77E96"/>
    <w:rsid w:val="00A8006A"/>
    <w:rsid w:val="00A804F6"/>
    <w:rsid w:val="00A808B2"/>
    <w:rsid w:val="00A80A80"/>
    <w:rsid w:val="00A80B6E"/>
    <w:rsid w:val="00A80DE5"/>
    <w:rsid w:val="00A80E91"/>
    <w:rsid w:val="00A81679"/>
    <w:rsid w:val="00A8198C"/>
    <w:rsid w:val="00A819B7"/>
    <w:rsid w:val="00A81A8D"/>
    <w:rsid w:val="00A82308"/>
    <w:rsid w:val="00A82AD0"/>
    <w:rsid w:val="00A832C3"/>
    <w:rsid w:val="00A833AE"/>
    <w:rsid w:val="00A83857"/>
    <w:rsid w:val="00A8386D"/>
    <w:rsid w:val="00A83AC2"/>
    <w:rsid w:val="00A83BC1"/>
    <w:rsid w:val="00A83BCF"/>
    <w:rsid w:val="00A83C50"/>
    <w:rsid w:val="00A83EAB"/>
    <w:rsid w:val="00A84018"/>
    <w:rsid w:val="00A84365"/>
    <w:rsid w:val="00A84829"/>
    <w:rsid w:val="00A8488A"/>
    <w:rsid w:val="00A852A7"/>
    <w:rsid w:val="00A85BB0"/>
    <w:rsid w:val="00A8611E"/>
    <w:rsid w:val="00A86824"/>
    <w:rsid w:val="00A86FFF"/>
    <w:rsid w:val="00A870FF"/>
    <w:rsid w:val="00A875FE"/>
    <w:rsid w:val="00A87710"/>
    <w:rsid w:val="00A87C47"/>
    <w:rsid w:val="00A87C91"/>
    <w:rsid w:val="00A87D07"/>
    <w:rsid w:val="00A90589"/>
    <w:rsid w:val="00A905D1"/>
    <w:rsid w:val="00A908EA"/>
    <w:rsid w:val="00A90A93"/>
    <w:rsid w:val="00A90B77"/>
    <w:rsid w:val="00A90BAF"/>
    <w:rsid w:val="00A90CC8"/>
    <w:rsid w:val="00A90DF4"/>
    <w:rsid w:val="00A91509"/>
    <w:rsid w:val="00A9169E"/>
    <w:rsid w:val="00A9191F"/>
    <w:rsid w:val="00A920B9"/>
    <w:rsid w:val="00A92AB2"/>
    <w:rsid w:val="00A92BDE"/>
    <w:rsid w:val="00A92C1C"/>
    <w:rsid w:val="00A92CD5"/>
    <w:rsid w:val="00A92DF9"/>
    <w:rsid w:val="00A931DB"/>
    <w:rsid w:val="00A933EB"/>
    <w:rsid w:val="00A93869"/>
    <w:rsid w:val="00A93F34"/>
    <w:rsid w:val="00A9447D"/>
    <w:rsid w:val="00A94BB0"/>
    <w:rsid w:val="00A94E75"/>
    <w:rsid w:val="00A94EE9"/>
    <w:rsid w:val="00A9524E"/>
    <w:rsid w:val="00A9572A"/>
    <w:rsid w:val="00A957D6"/>
    <w:rsid w:val="00A95E65"/>
    <w:rsid w:val="00A95E71"/>
    <w:rsid w:val="00A95FC2"/>
    <w:rsid w:val="00A96832"/>
    <w:rsid w:val="00A969E1"/>
    <w:rsid w:val="00A97093"/>
    <w:rsid w:val="00A972B9"/>
    <w:rsid w:val="00AA0017"/>
    <w:rsid w:val="00AA0090"/>
    <w:rsid w:val="00AA0EEE"/>
    <w:rsid w:val="00AA1420"/>
    <w:rsid w:val="00AA148D"/>
    <w:rsid w:val="00AA1C47"/>
    <w:rsid w:val="00AA1D25"/>
    <w:rsid w:val="00AA1F25"/>
    <w:rsid w:val="00AA2F12"/>
    <w:rsid w:val="00AA318F"/>
    <w:rsid w:val="00AA3212"/>
    <w:rsid w:val="00AA3C7B"/>
    <w:rsid w:val="00AA4027"/>
    <w:rsid w:val="00AA413E"/>
    <w:rsid w:val="00AA416C"/>
    <w:rsid w:val="00AA4F82"/>
    <w:rsid w:val="00AA563F"/>
    <w:rsid w:val="00AA5ED2"/>
    <w:rsid w:val="00AA62D3"/>
    <w:rsid w:val="00AA6661"/>
    <w:rsid w:val="00AA6987"/>
    <w:rsid w:val="00AA71F7"/>
    <w:rsid w:val="00AA747C"/>
    <w:rsid w:val="00AB06A5"/>
    <w:rsid w:val="00AB07C8"/>
    <w:rsid w:val="00AB15E9"/>
    <w:rsid w:val="00AB20E6"/>
    <w:rsid w:val="00AB2D79"/>
    <w:rsid w:val="00AB32F2"/>
    <w:rsid w:val="00AB358B"/>
    <w:rsid w:val="00AB3902"/>
    <w:rsid w:val="00AB3A91"/>
    <w:rsid w:val="00AB446E"/>
    <w:rsid w:val="00AB4954"/>
    <w:rsid w:val="00AB4A38"/>
    <w:rsid w:val="00AB4AE3"/>
    <w:rsid w:val="00AB5683"/>
    <w:rsid w:val="00AB5C17"/>
    <w:rsid w:val="00AB641C"/>
    <w:rsid w:val="00AB694C"/>
    <w:rsid w:val="00AB6DC0"/>
    <w:rsid w:val="00AB6F4C"/>
    <w:rsid w:val="00AB7478"/>
    <w:rsid w:val="00AB7DBD"/>
    <w:rsid w:val="00AC057E"/>
    <w:rsid w:val="00AC08DA"/>
    <w:rsid w:val="00AC0AAD"/>
    <w:rsid w:val="00AC0B9E"/>
    <w:rsid w:val="00AC1219"/>
    <w:rsid w:val="00AC1A22"/>
    <w:rsid w:val="00AC1A2B"/>
    <w:rsid w:val="00AC1D88"/>
    <w:rsid w:val="00AC2260"/>
    <w:rsid w:val="00AC2601"/>
    <w:rsid w:val="00AC2921"/>
    <w:rsid w:val="00AC2AF6"/>
    <w:rsid w:val="00AC2C97"/>
    <w:rsid w:val="00AC3195"/>
    <w:rsid w:val="00AC3541"/>
    <w:rsid w:val="00AC384D"/>
    <w:rsid w:val="00AC398B"/>
    <w:rsid w:val="00AC3CB1"/>
    <w:rsid w:val="00AC4455"/>
    <w:rsid w:val="00AC480A"/>
    <w:rsid w:val="00AC4C5F"/>
    <w:rsid w:val="00AC521D"/>
    <w:rsid w:val="00AC530B"/>
    <w:rsid w:val="00AC598A"/>
    <w:rsid w:val="00AC5FF4"/>
    <w:rsid w:val="00AC65F0"/>
    <w:rsid w:val="00AC690B"/>
    <w:rsid w:val="00AC6EDF"/>
    <w:rsid w:val="00AC75FE"/>
    <w:rsid w:val="00AC7F22"/>
    <w:rsid w:val="00AD05F7"/>
    <w:rsid w:val="00AD0D88"/>
    <w:rsid w:val="00AD0D9D"/>
    <w:rsid w:val="00AD0DF3"/>
    <w:rsid w:val="00AD0E3D"/>
    <w:rsid w:val="00AD11D2"/>
    <w:rsid w:val="00AD211F"/>
    <w:rsid w:val="00AD22C6"/>
    <w:rsid w:val="00AD27E7"/>
    <w:rsid w:val="00AD29D7"/>
    <w:rsid w:val="00AD2CA9"/>
    <w:rsid w:val="00AD2D52"/>
    <w:rsid w:val="00AD2EBF"/>
    <w:rsid w:val="00AD30E5"/>
    <w:rsid w:val="00AD31D2"/>
    <w:rsid w:val="00AD395D"/>
    <w:rsid w:val="00AD3BA5"/>
    <w:rsid w:val="00AD3C12"/>
    <w:rsid w:val="00AD468B"/>
    <w:rsid w:val="00AD48D9"/>
    <w:rsid w:val="00AD4B47"/>
    <w:rsid w:val="00AD50BC"/>
    <w:rsid w:val="00AD560C"/>
    <w:rsid w:val="00AD5658"/>
    <w:rsid w:val="00AD5A36"/>
    <w:rsid w:val="00AD6094"/>
    <w:rsid w:val="00AD6704"/>
    <w:rsid w:val="00AD72D8"/>
    <w:rsid w:val="00AD7780"/>
    <w:rsid w:val="00AD796A"/>
    <w:rsid w:val="00AD7C4A"/>
    <w:rsid w:val="00AE059E"/>
    <w:rsid w:val="00AE083D"/>
    <w:rsid w:val="00AE0B3E"/>
    <w:rsid w:val="00AE0B49"/>
    <w:rsid w:val="00AE0E89"/>
    <w:rsid w:val="00AE1587"/>
    <w:rsid w:val="00AE193E"/>
    <w:rsid w:val="00AE199A"/>
    <w:rsid w:val="00AE1CCE"/>
    <w:rsid w:val="00AE20C6"/>
    <w:rsid w:val="00AE26F0"/>
    <w:rsid w:val="00AE3122"/>
    <w:rsid w:val="00AE33C5"/>
    <w:rsid w:val="00AE343F"/>
    <w:rsid w:val="00AE3533"/>
    <w:rsid w:val="00AE3710"/>
    <w:rsid w:val="00AE39F4"/>
    <w:rsid w:val="00AE3AD0"/>
    <w:rsid w:val="00AE4B5B"/>
    <w:rsid w:val="00AE4D6D"/>
    <w:rsid w:val="00AE53BE"/>
    <w:rsid w:val="00AE5B12"/>
    <w:rsid w:val="00AE5FD8"/>
    <w:rsid w:val="00AE6427"/>
    <w:rsid w:val="00AE693A"/>
    <w:rsid w:val="00AE6AFE"/>
    <w:rsid w:val="00AE6B60"/>
    <w:rsid w:val="00AE6E1E"/>
    <w:rsid w:val="00AE71C8"/>
    <w:rsid w:val="00AE7F72"/>
    <w:rsid w:val="00AF0AE8"/>
    <w:rsid w:val="00AF0B05"/>
    <w:rsid w:val="00AF1051"/>
    <w:rsid w:val="00AF137A"/>
    <w:rsid w:val="00AF1659"/>
    <w:rsid w:val="00AF26B0"/>
    <w:rsid w:val="00AF26E5"/>
    <w:rsid w:val="00AF295F"/>
    <w:rsid w:val="00AF2C4A"/>
    <w:rsid w:val="00AF2CAA"/>
    <w:rsid w:val="00AF3802"/>
    <w:rsid w:val="00AF383D"/>
    <w:rsid w:val="00AF3FBC"/>
    <w:rsid w:val="00AF40CC"/>
    <w:rsid w:val="00AF5D8A"/>
    <w:rsid w:val="00AF64F9"/>
    <w:rsid w:val="00AF67EB"/>
    <w:rsid w:val="00AF6842"/>
    <w:rsid w:val="00AF6A5D"/>
    <w:rsid w:val="00AF7780"/>
    <w:rsid w:val="00AF787F"/>
    <w:rsid w:val="00AF7AD8"/>
    <w:rsid w:val="00B000B1"/>
    <w:rsid w:val="00B0017F"/>
    <w:rsid w:val="00B00707"/>
    <w:rsid w:val="00B008B1"/>
    <w:rsid w:val="00B00ABF"/>
    <w:rsid w:val="00B00E11"/>
    <w:rsid w:val="00B01231"/>
    <w:rsid w:val="00B01A39"/>
    <w:rsid w:val="00B01C0A"/>
    <w:rsid w:val="00B01E31"/>
    <w:rsid w:val="00B023FE"/>
    <w:rsid w:val="00B031CD"/>
    <w:rsid w:val="00B0337D"/>
    <w:rsid w:val="00B03792"/>
    <w:rsid w:val="00B03FE8"/>
    <w:rsid w:val="00B04BAB"/>
    <w:rsid w:val="00B04D18"/>
    <w:rsid w:val="00B04D5F"/>
    <w:rsid w:val="00B04DD6"/>
    <w:rsid w:val="00B050A6"/>
    <w:rsid w:val="00B051B2"/>
    <w:rsid w:val="00B0685A"/>
    <w:rsid w:val="00B06921"/>
    <w:rsid w:val="00B06AC7"/>
    <w:rsid w:val="00B06C81"/>
    <w:rsid w:val="00B06E9C"/>
    <w:rsid w:val="00B074FD"/>
    <w:rsid w:val="00B10235"/>
    <w:rsid w:val="00B1038C"/>
    <w:rsid w:val="00B10678"/>
    <w:rsid w:val="00B10BBC"/>
    <w:rsid w:val="00B10E98"/>
    <w:rsid w:val="00B111BB"/>
    <w:rsid w:val="00B11B88"/>
    <w:rsid w:val="00B11C5D"/>
    <w:rsid w:val="00B11C75"/>
    <w:rsid w:val="00B1202A"/>
    <w:rsid w:val="00B12447"/>
    <w:rsid w:val="00B133CC"/>
    <w:rsid w:val="00B13454"/>
    <w:rsid w:val="00B13ACA"/>
    <w:rsid w:val="00B13B6E"/>
    <w:rsid w:val="00B13BD9"/>
    <w:rsid w:val="00B13DF9"/>
    <w:rsid w:val="00B14089"/>
    <w:rsid w:val="00B14399"/>
    <w:rsid w:val="00B143C5"/>
    <w:rsid w:val="00B1448D"/>
    <w:rsid w:val="00B14702"/>
    <w:rsid w:val="00B1477C"/>
    <w:rsid w:val="00B14E4E"/>
    <w:rsid w:val="00B15568"/>
    <w:rsid w:val="00B1558C"/>
    <w:rsid w:val="00B156B7"/>
    <w:rsid w:val="00B16050"/>
    <w:rsid w:val="00B164A9"/>
    <w:rsid w:val="00B16578"/>
    <w:rsid w:val="00B16912"/>
    <w:rsid w:val="00B16FC6"/>
    <w:rsid w:val="00B172C7"/>
    <w:rsid w:val="00B1736C"/>
    <w:rsid w:val="00B17A7F"/>
    <w:rsid w:val="00B17AFF"/>
    <w:rsid w:val="00B17E33"/>
    <w:rsid w:val="00B17FB3"/>
    <w:rsid w:val="00B200E2"/>
    <w:rsid w:val="00B20F15"/>
    <w:rsid w:val="00B21E2A"/>
    <w:rsid w:val="00B2220A"/>
    <w:rsid w:val="00B22799"/>
    <w:rsid w:val="00B228E5"/>
    <w:rsid w:val="00B22D5F"/>
    <w:rsid w:val="00B230D7"/>
    <w:rsid w:val="00B232D4"/>
    <w:rsid w:val="00B235DA"/>
    <w:rsid w:val="00B23621"/>
    <w:rsid w:val="00B237A4"/>
    <w:rsid w:val="00B23A5E"/>
    <w:rsid w:val="00B23ADC"/>
    <w:rsid w:val="00B23B90"/>
    <w:rsid w:val="00B23E60"/>
    <w:rsid w:val="00B243CC"/>
    <w:rsid w:val="00B24582"/>
    <w:rsid w:val="00B2477C"/>
    <w:rsid w:val="00B24B93"/>
    <w:rsid w:val="00B259F0"/>
    <w:rsid w:val="00B25AA9"/>
    <w:rsid w:val="00B26003"/>
    <w:rsid w:val="00B26677"/>
    <w:rsid w:val="00B268D1"/>
    <w:rsid w:val="00B26922"/>
    <w:rsid w:val="00B26BAC"/>
    <w:rsid w:val="00B26DE9"/>
    <w:rsid w:val="00B26F26"/>
    <w:rsid w:val="00B274DF"/>
    <w:rsid w:val="00B275EC"/>
    <w:rsid w:val="00B27950"/>
    <w:rsid w:val="00B27C29"/>
    <w:rsid w:val="00B27D52"/>
    <w:rsid w:val="00B27E87"/>
    <w:rsid w:val="00B30410"/>
    <w:rsid w:val="00B308F4"/>
    <w:rsid w:val="00B30B97"/>
    <w:rsid w:val="00B3114C"/>
    <w:rsid w:val="00B31494"/>
    <w:rsid w:val="00B31548"/>
    <w:rsid w:val="00B31EC3"/>
    <w:rsid w:val="00B31F22"/>
    <w:rsid w:val="00B32329"/>
    <w:rsid w:val="00B323BD"/>
    <w:rsid w:val="00B324E4"/>
    <w:rsid w:val="00B329B0"/>
    <w:rsid w:val="00B32B69"/>
    <w:rsid w:val="00B32C2B"/>
    <w:rsid w:val="00B34663"/>
    <w:rsid w:val="00B34F90"/>
    <w:rsid w:val="00B35155"/>
    <w:rsid w:val="00B3597A"/>
    <w:rsid w:val="00B35FF5"/>
    <w:rsid w:val="00B3637D"/>
    <w:rsid w:val="00B368EF"/>
    <w:rsid w:val="00B36C9E"/>
    <w:rsid w:val="00B36D9D"/>
    <w:rsid w:val="00B36E58"/>
    <w:rsid w:val="00B37140"/>
    <w:rsid w:val="00B374B5"/>
    <w:rsid w:val="00B374EF"/>
    <w:rsid w:val="00B37997"/>
    <w:rsid w:val="00B37CB0"/>
    <w:rsid w:val="00B40005"/>
    <w:rsid w:val="00B402A1"/>
    <w:rsid w:val="00B40E16"/>
    <w:rsid w:val="00B40F85"/>
    <w:rsid w:val="00B41240"/>
    <w:rsid w:val="00B413DA"/>
    <w:rsid w:val="00B416A2"/>
    <w:rsid w:val="00B41CE7"/>
    <w:rsid w:val="00B42184"/>
    <w:rsid w:val="00B4259F"/>
    <w:rsid w:val="00B425B7"/>
    <w:rsid w:val="00B429F9"/>
    <w:rsid w:val="00B43395"/>
    <w:rsid w:val="00B44AB3"/>
    <w:rsid w:val="00B45403"/>
    <w:rsid w:val="00B4543E"/>
    <w:rsid w:val="00B4546C"/>
    <w:rsid w:val="00B454EC"/>
    <w:rsid w:val="00B45612"/>
    <w:rsid w:val="00B45698"/>
    <w:rsid w:val="00B45983"/>
    <w:rsid w:val="00B45D58"/>
    <w:rsid w:val="00B46462"/>
    <w:rsid w:val="00B46C92"/>
    <w:rsid w:val="00B4751F"/>
    <w:rsid w:val="00B47A07"/>
    <w:rsid w:val="00B47D2D"/>
    <w:rsid w:val="00B501BA"/>
    <w:rsid w:val="00B5074D"/>
    <w:rsid w:val="00B50A66"/>
    <w:rsid w:val="00B50CAE"/>
    <w:rsid w:val="00B513E1"/>
    <w:rsid w:val="00B51433"/>
    <w:rsid w:val="00B51D81"/>
    <w:rsid w:val="00B5242D"/>
    <w:rsid w:val="00B52B6B"/>
    <w:rsid w:val="00B52BF2"/>
    <w:rsid w:val="00B52E83"/>
    <w:rsid w:val="00B52EDA"/>
    <w:rsid w:val="00B530CF"/>
    <w:rsid w:val="00B533B5"/>
    <w:rsid w:val="00B538AA"/>
    <w:rsid w:val="00B54400"/>
    <w:rsid w:val="00B54456"/>
    <w:rsid w:val="00B5463F"/>
    <w:rsid w:val="00B54AC6"/>
    <w:rsid w:val="00B54E1A"/>
    <w:rsid w:val="00B556FE"/>
    <w:rsid w:val="00B55747"/>
    <w:rsid w:val="00B55749"/>
    <w:rsid w:val="00B55DC1"/>
    <w:rsid w:val="00B56C2C"/>
    <w:rsid w:val="00B575D8"/>
    <w:rsid w:val="00B57C50"/>
    <w:rsid w:val="00B57F94"/>
    <w:rsid w:val="00B6037C"/>
    <w:rsid w:val="00B60391"/>
    <w:rsid w:val="00B603C9"/>
    <w:rsid w:val="00B6047D"/>
    <w:rsid w:val="00B605C7"/>
    <w:rsid w:val="00B607CC"/>
    <w:rsid w:val="00B617BC"/>
    <w:rsid w:val="00B618A5"/>
    <w:rsid w:val="00B61A38"/>
    <w:rsid w:val="00B61DD6"/>
    <w:rsid w:val="00B62DCA"/>
    <w:rsid w:val="00B63093"/>
    <w:rsid w:val="00B634DD"/>
    <w:rsid w:val="00B6399C"/>
    <w:rsid w:val="00B63C7F"/>
    <w:rsid w:val="00B63CF6"/>
    <w:rsid w:val="00B646EF"/>
    <w:rsid w:val="00B64EF1"/>
    <w:rsid w:val="00B65087"/>
    <w:rsid w:val="00B6595C"/>
    <w:rsid w:val="00B65C8B"/>
    <w:rsid w:val="00B66786"/>
    <w:rsid w:val="00B66AB4"/>
    <w:rsid w:val="00B66D99"/>
    <w:rsid w:val="00B66EB3"/>
    <w:rsid w:val="00B67080"/>
    <w:rsid w:val="00B672BA"/>
    <w:rsid w:val="00B70DA6"/>
    <w:rsid w:val="00B710D8"/>
    <w:rsid w:val="00B7151C"/>
    <w:rsid w:val="00B72289"/>
    <w:rsid w:val="00B722AC"/>
    <w:rsid w:val="00B7250F"/>
    <w:rsid w:val="00B727E1"/>
    <w:rsid w:val="00B72D2F"/>
    <w:rsid w:val="00B72FDD"/>
    <w:rsid w:val="00B73256"/>
    <w:rsid w:val="00B734EC"/>
    <w:rsid w:val="00B7377F"/>
    <w:rsid w:val="00B73D7A"/>
    <w:rsid w:val="00B744BA"/>
    <w:rsid w:val="00B74AD4"/>
    <w:rsid w:val="00B74ADA"/>
    <w:rsid w:val="00B75F03"/>
    <w:rsid w:val="00B75FBD"/>
    <w:rsid w:val="00B76018"/>
    <w:rsid w:val="00B760D4"/>
    <w:rsid w:val="00B77017"/>
    <w:rsid w:val="00B771D9"/>
    <w:rsid w:val="00B7734F"/>
    <w:rsid w:val="00B77520"/>
    <w:rsid w:val="00B77B2C"/>
    <w:rsid w:val="00B80368"/>
    <w:rsid w:val="00B80433"/>
    <w:rsid w:val="00B80640"/>
    <w:rsid w:val="00B80670"/>
    <w:rsid w:val="00B80FC3"/>
    <w:rsid w:val="00B81099"/>
    <w:rsid w:val="00B81191"/>
    <w:rsid w:val="00B817F1"/>
    <w:rsid w:val="00B81FA5"/>
    <w:rsid w:val="00B82088"/>
    <w:rsid w:val="00B82263"/>
    <w:rsid w:val="00B82380"/>
    <w:rsid w:val="00B82FA9"/>
    <w:rsid w:val="00B831B4"/>
    <w:rsid w:val="00B83759"/>
    <w:rsid w:val="00B83819"/>
    <w:rsid w:val="00B839D9"/>
    <w:rsid w:val="00B83C0F"/>
    <w:rsid w:val="00B83E69"/>
    <w:rsid w:val="00B83EAD"/>
    <w:rsid w:val="00B8440A"/>
    <w:rsid w:val="00B8446E"/>
    <w:rsid w:val="00B84643"/>
    <w:rsid w:val="00B84732"/>
    <w:rsid w:val="00B8505C"/>
    <w:rsid w:val="00B850C5"/>
    <w:rsid w:val="00B854CD"/>
    <w:rsid w:val="00B85644"/>
    <w:rsid w:val="00B85E53"/>
    <w:rsid w:val="00B866F3"/>
    <w:rsid w:val="00B86819"/>
    <w:rsid w:val="00B86B23"/>
    <w:rsid w:val="00B86F6F"/>
    <w:rsid w:val="00B8768E"/>
    <w:rsid w:val="00B87A09"/>
    <w:rsid w:val="00B87EE9"/>
    <w:rsid w:val="00B87F17"/>
    <w:rsid w:val="00B9011F"/>
    <w:rsid w:val="00B90CEB"/>
    <w:rsid w:val="00B90DD1"/>
    <w:rsid w:val="00B91147"/>
    <w:rsid w:val="00B9140A"/>
    <w:rsid w:val="00B91751"/>
    <w:rsid w:val="00B91896"/>
    <w:rsid w:val="00B919E0"/>
    <w:rsid w:val="00B91F48"/>
    <w:rsid w:val="00B92748"/>
    <w:rsid w:val="00B92863"/>
    <w:rsid w:val="00B93165"/>
    <w:rsid w:val="00B93475"/>
    <w:rsid w:val="00B93859"/>
    <w:rsid w:val="00B93B4B"/>
    <w:rsid w:val="00B93DE5"/>
    <w:rsid w:val="00B941EC"/>
    <w:rsid w:val="00B944CB"/>
    <w:rsid w:val="00B94CF9"/>
    <w:rsid w:val="00B94DE6"/>
    <w:rsid w:val="00B94E9A"/>
    <w:rsid w:val="00B952B9"/>
    <w:rsid w:val="00B9552F"/>
    <w:rsid w:val="00B95842"/>
    <w:rsid w:val="00B95CAA"/>
    <w:rsid w:val="00B96237"/>
    <w:rsid w:val="00B96266"/>
    <w:rsid w:val="00B96623"/>
    <w:rsid w:val="00B966E1"/>
    <w:rsid w:val="00B967B5"/>
    <w:rsid w:val="00B967CA"/>
    <w:rsid w:val="00B969C1"/>
    <w:rsid w:val="00B9747C"/>
    <w:rsid w:val="00B97A5E"/>
    <w:rsid w:val="00B97CC3"/>
    <w:rsid w:val="00B97EF4"/>
    <w:rsid w:val="00BA031E"/>
    <w:rsid w:val="00BA046F"/>
    <w:rsid w:val="00BA0C45"/>
    <w:rsid w:val="00BA19C1"/>
    <w:rsid w:val="00BA1C59"/>
    <w:rsid w:val="00BA24D2"/>
    <w:rsid w:val="00BA2D55"/>
    <w:rsid w:val="00BA3100"/>
    <w:rsid w:val="00BA34E3"/>
    <w:rsid w:val="00BA3DB0"/>
    <w:rsid w:val="00BA4698"/>
    <w:rsid w:val="00BA4E45"/>
    <w:rsid w:val="00BA5AA2"/>
    <w:rsid w:val="00BA5AB6"/>
    <w:rsid w:val="00BA645D"/>
    <w:rsid w:val="00BA6602"/>
    <w:rsid w:val="00BA6685"/>
    <w:rsid w:val="00BA6797"/>
    <w:rsid w:val="00BA69DB"/>
    <w:rsid w:val="00BA6C12"/>
    <w:rsid w:val="00BA6CAB"/>
    <w:rsid w:val="00BA6EF1"/>
    <w:rsid w:val="00BA6F96"/>
    <w:rsid w:val="00BA72D1"/>
    <w:rsid w:val="00BA7D69"/>
    <w:rsid w:val="00BB001A"/>
    <w:rsid w:val="00BB01AA"/>
    <w:rsid w:val="00BB0780"/>
    <w:rsid w:val="00BB0CB0"/>
    <w:rsid w:val="00BB10B1"/>
    <w:rsid w:val="00BB10DD"/>
    <w:rsid w:val="00BB11C5"/>
    <w:rsid w:val="00BB12E4"/>
    <w:rsid w:val="00BB16CA"/>
    <w:rsid w:val="00BB1A63"/>
    <w:rsid w:val="00BB1B7B"/>
    <w:rsid w:val="00BB2405"/>
    <w:rsid w:val="00BB2A7F"/>
    <w:rsid w:val="00BB30ED"/>
    <w:rsid w:val="00BB31BF"/>
    <w:rsid w:val="00BB328A"/>
    <w:rsid w:val="00BB35A2"/>
    <w:rsid w:val="00BB371E"/>
    <w:rsid w:val="00BB37E3"/>
    <w:rsid w:val="00BB3AB1"/>
    <w:rsid w:val="00BB3B6B"/>
    <w:rsid w:val="00BB3F0B"/>
    <w:rsid w:val="00BB487F"/>
    <w:rsid w:val="00BB4C7C"/>
    <w:rsid w:val="00BB51A6"/>
    <w:rsid w:val="00BB591D"/>
    <w:rsid w:val="00BB5A59"/>
    <w:rsid w:val="00BB5C09"/>
    <w:rsid w:val="00BB62D9"/>
    <w:rsid w:val="00BB6827"/>
    <w:rsid w:val="00BB6937"/>
    <w:rsid w:val="00BB6B75"/>
    <w:rsid w:val="00BB74F9"/>
    <w:rsid w:val="00BB753A"/>
    <w:rsid w:val="00BB7941"/>
    <w:rsid w:val="00BC0284"/>
    <w:rsid w:val="00BC0431"/>
    <w:rsid w:val="00BC060F"/>
    <w:rsid w:val="00BC079A"/>
    <w:rsid w:val="00BC0842"/>
    <w:rsid w:val="00BC0AA7"/>
    <w:rsid w:val="00BC0F5D"/>
    <w:rsid w:val="00BC1072"/>
    <w:rsid w:val="00BC109F"/>
    <w:rsid w:val="00BC125D"/>
    <w:rsid w:val="00BC1B5B"/>
    <w:rsid w:val="00BC1D4D"/>
    <w:rsid w:val="00BC1F63"/>
    <w:rsid w:val="00BC24DC"/>
    <w:rsid w:val="00BC297F"/>
    <w:rsid w:val="00BC29F1"/>
    <w:rsid w:val="00BC2DC4"/>
    <w:rsid w:val="00BC2EDC"/>
    <w:rsid w:val="00BC31B2"/>
    <w:rsid w:val="00BC36FD"/>
    <w:rsid w:val="00BC3746"/>
    <w:rsid w:val="00BC3BD8"/>
    <w:rsid w:val="00BC3CB3"/>
    <w:rsid w:val="00BC3F1C"/>
    <w:rsid w:val="00BC405D"/>
    <w:rsid w:val="00BC4A85"/>
    <w:rsid w:val="00BC4E7F"/>
    <w:rsid w:val="00BC575C"/>
    <w:rsid w:val="00BC5B5F"/>
    <w:rsid w:val="00BC68D7"/>
    <w:rsid w:val="00BC6BEC"/>
    <w:rsid w:val="00BC6F17"/>
    <w:rsid w:val="00BC70E0"/>
    <w:rsid w:val="00BC7EA5"/>
    <w:rsid w:val="00BC7FC9"/>
    <w:rsid w:val="00BD0294"/>
    <w:rsid w:val="00BD075D"/>
    <w:rsid w:val="00BD0D18"/>
    <w:rsid w:val="00BD0E3D"/>
    <w:rsid w:val="00BD1052"/>
    <w:rsid w:val="00BD1104"/>
    <w:rsid w:val="00BD110E"/>
    <w:rsid w:val="00BD11AE"/>
    <w:rsid w:val="00BD13E1"/>
    <w:rsid w:val="00BD167B"/>
    <w:rsid w:val="00BD1F8C"/>
    <w:rsid w:val="00BD223C"/>
    <w:rsid w:val="00BD2764"/>
    <w:rsid w:val="00BD338C"/>
    <w:rsid w:val="00BD41F6"/>
    <w:rsid w:val="00BD4271"/>
    <w:rsid w:val="00BD4411"/>
    <w:rsid w:val="00BD4414"/>
    <w:rsid w:val="00BD46B1"/>
    <w:rsid w:val="00BD47CB"/>
    <w:rsid w:val="00BD4A8B"/>
    <w:rsid w:val="00BD4AAB"/>
    <w:rsid w:val="00BD4B75"/>
    <w:rsid w:val="00BD4C9D"/>
    <w:rsid w:val="00BD4D27"/>
    <w:rsid w:val="00BD4D92"/>
    <w:rsid w:val="00BD4DFF"/>
    <w:rsid w:val="00BD51BE"/>
    <w:rsid w:val="00BD550F"/>
    <w:rsid w:val="00BD58AF"/>
    <w:rsid w:val="00BD5ED7"/>
    <w:rsid w:val="00BD6463"/>
    <w:rsid w:val="00BD6E8A"/>
    <w:rsid w:val="00BD7666"/>
    <w:rsid w:val="00BD7C56"/>
    <w:rsid w:val="00BD7EC1"/>
    <w:rsid w:val="00BD7EFC"/>
    <w:rsid w:val="00BE00A9"/>
    <w:rsid w:val="00BE043C"/>
    <w:rsid w:val="00BE093B"/>
    <w:rsid w:val="00BE11C3"/>
    <w:rsid w:val="00BE13E8"/>
    <w:rsid w:val="00BE14B2"/>
    <w:rsid w:val="00BE159D"/>
    <w:rsid w:val="00BE16A9"/>
    <w:rsid w:val="00BE1772"/>
    <w:rsid w:val="00BE1DF1"/>
    <w:rsid w:val="00BE1EC7"/>
    <w:rsid w:val="00BE2576"/>
    <w:rsid w:val="00BE2B26"/>
    <w:rsid w:val="00BE2C28"/>
    <w:rsid w:val="00BE306A"/>
    <w:rsid w:val="00BE33E2"/>
    <w:rsid w:val="00BE3649"/>
    <w:rsid w:val="00BE476F"/>
    <w:rsid w:val="00BE49DB"/>
    <w:rsid w:val="00BE4DAF"/>
    <w:rsid w:val="00BE4E65"/>
    <w:rsid w:val="00BE68C5"/>
    <w:rsid w:val="00BE68F1"/>
    <w:rsid w:val="00BE710D"/>
    <w:rsid w:val="00BE78A1"/>
    <w:rsid w:val="00BF0587"/>
    <w:rsid w:val="00BF0908"/>
    <w:rsid w:val="00BF0B2E"/>
    <w:rsid w:val="00BF1200"/>
    <w:rsid w:val="00BF12D0"/>
    <w:rsid w:val="00BF1837"/>
    <w:rsid w:val="00BF21E8"/>
    <w:rsid w:val="00BF2397"/>
    <w:rsid w:val="00BF3784"/>
    <w:rsid w:val="00BF3A7A"/>
    <w:rsid w:val="00BF3ECD"/>
    <w:rsid w:val="00BF416D"/>
    <w:rsid w:val="00BF467E"/>
    <w:rsid w:val="00BF4853"/>
    <w:rsid w:val="00BF4A26"/>
    <w:rsid w:val="00BF4B0B"/>
    <w:rsid w:val="00BF4FB3"/>
    <w:rsid w:val="00BF4FC4"/>
    <w:rsid w:val="00BF5085"/>
    <w:rsid w:val="00BF580F"/>
    <w:rsid w:val="00BF585B"/>
    <w:rsid w:val="00BF5908"/>
    <w:rsid w:val="00BF5C43"/>
    <w:rsid w:val="00BF602B"/>
    <w:rsid w:val="00BF67B2"/>
    <w:rsid w:val="00BF6B82"/>
    <w:rsid w:val="00BF6EB7"/>
    <w:rsid w:val="00BF6F36"/>
    <w:rsid w:val="00BF6F73"/>
    <w:rsid w:val="00BF6FA3"/>
    <w:rsid w:val="00BF716D"/>
    <w:rsid w:val="00BF7511"/>
    <w:rsid w:val="00BF7827"/>
    <w:rsid w:val="00C000C1"/>
    <w:rsid w:val="00C0014B"/>
    <w:rsid w:val="00C001DA"/>
    <w:rsid w:val="00C00A4E"/>
    <w:rsid w:val="00C00E17"/>
    <w:rsid w:val="00C00FB4"/>
    <w:rsid w:val="00C00FEB"/>
    <w:rsid w:val="00C011F2"/>
    <w:rsid w:val="00C01239"/>
    <w:rsid w:val="00C0125A"/>
    <w:rsid w:val="00C013B0"/>
    <w:rsid w:val="00C01608"/>
    <w:rsid w:val="00C02168"/>
    <w:rsid w:val="00C02542"/>
    <w:rsid w:val="00C02C61"/>
    <w:rsid w:val="00C02E5D"/>
    <w:rsid w:val="00C030EA"/>
    <w:rsid w:val="00C03108"/>
    <w:rsid w:val="00C033C6"/>
    <w:rsid w:val="00C03F0F"/>
    <w:rsid w:val="00C03F50"/>
    <w:rsid w:val="00C03F8F"/>
    <w:rsid w:val="00C04106"/>
    <w:rsid w:val="00C041F6"/>
    <w:rsid w:val="00C04BD3"/>
    <w:rsid w:val="00C0537B"/>
    <w:rsid w:val="00C05803"/>
    <w:rsid w:val="00C05D03"/>
    <w:rsid w:val="00C06400"/>
    <w:rsid w:val="00C0665A"/>
    <w:rsid w:val="00C06778"/>
    <w:rsid w:val="00C067F5"/>
    <w:rsid w:val="00C06D7D"/>
    <w:rsid w:val="00C06DB5"/>
    <w:rsid w:val="00C104AA"/>
    <w:rsid w:val="00C10887"/>
    <w:rsid w:val="00C10DA0"/>
    <w:rsid w:val="00C11AEF"/>
    <w:rsid w:val="00C11BC0"/>
    <w:rsid w:val="00C11CFA"/>
    <w:rsid w:val="00C11EB8"/>
    <w:rsid w:val="00C121D3"/>
    <w:rsid w:val="00C12753"/>
    <w:rsid w:val="00C12C7B"/>
    <w:rsid w:val="00C12D0D"/>
    <w:rsid w:val="00C12D61"/>
    <w:rsid w:val="00C12DC6"/>
    <w:rsid w:val="00C12EC0"/>
    <w:rsid w:val="00C1343A"/>
    <w:rsid w:val="00C13DF3"/>
    <w:rsid w:val="00C1453B"/>
    <w:rsid w:val="00C14592"/>
    <w:rsid w:val="00C14C1C"/>
    <w:rsid w:val="00C14C84"/>
    <w:rsid w:val="00C14CE7"/>
    <w:rsid w:val="00C14F80"/>
    <w:rsid w:val="00C15716"/>
    <w:rsid w:val="00C15E26"/>
    <w:rsid w:val="00C1655D"/>
    <w:rsid w:val="00C1698A"/>
    <w:rsid w:val="00C1715D"/>
    <w:rsid w:val="00C172B6"/>
    <w:rsid w:val="00C176F0"/>
    <w:rsid w:val="00C17919"/>
    <w:rsid w:val="00C17985"/>
    <w:rsid w:val="00C20299"/>
    <w:rsid w:val="00C211AE"/>
    <w:rsid w:val="00C21556"/>
    <w:rsid w:val="00C21587"/>
    <w:rsid w:val="00C22191"/>
    <w:rsid w:val="00C2225D"/>
    <w:rsid w:val="00C22375"/>
    <w:rsid w:val="00C2268D"/>
    <w:rsid w:val="00C22891"/>
    <w:rsid w:val="00C22C15"/>
    <w:rsid w:val="00C231BD"/>
    <w:rsid w:val="00C231D4"/>
    <w:rsid w:val="00C23267"/>
    <w:rsid w:val="00C23639"/>
    <w:rsid w:val="00C2374F"/>
    <w:rsid w:val="00C23967"/>
    <w:rsid w:val="00C23AC3"/>
    <w:rsid w:val="00C23DFD"/>
    <w:rsid w:val="00C2432A"/>
    <w:rsid w:val="00C2434C"/>
    <w:rsid w:val="00C24B32"/>
    <w:rsid w:val="00C24BC7"/>
    <w:rsid w:val="00C24C21"/>
    <w:rsid w:val="00C24C29"/>
    <w:rsid w:val="00C24C2C"/>
    <w:rsid w:val="00C24D73"/>
    <w:rsid w:val="00C24EFE"/>
    <w:rsid w:val="00C250F4"/>
    <w:rsid w:val="00C2558F"/>
    <w:rsid w:val="00C256BC"/>
    <w:rsid w:val="00C25779"/>
    <w:rsid w:val="00C25916"/>
    <w:rsid w:val="00C26722"/>
    <w:rsid w:val="00C267F3"/>
    <w:rsid w:val="00C26948"/>
    <w:rsid w:val="00C2720A"/>
    <w:rsid w:val="00C27D7F"/>
    <w:rsid w:val="00C27F5C"/>
    <w:rsid w:val="00C30FC2"/>
    <w:rsid w:val="00C31503"/>
    <w:rsid w:val="00C322C3"/>
    <w:rsid w:val="00C32B59"/>
    <w:rsid w:val="00C32B9B"/>
    <w:rsid w:val="00C32D17"/>
    <w:rsid w:val="00C32E7E"/>
    <w:rsid w:val="00C32F8E"/>
    <w:rsid w:val="00C32FAA"/>
    <w:rsid w:val="00C3358C"/>
    <w:rsid w:val="00C345C8"/>
    <w:rsid w:val="00C3542A"/>
    <w:rsid w:val="00C35B18"/>
    <w:rsid w:val="00C35DE3"/>
    <w:rsid w:val="00C35E93"/>
    <w:rsid w:val="00C35F4B"/>
    <w:rsid w:val="00C36876"/>
    <w:rsid w:val="00C368B7"/>
    <w:rsid w:val="00C36C32"/>
    <w:rsid w:val="00C36CAB"/>
    <w:rsid w:val="00C3720D"/>
    <w:rsid w:val="00C3741E"/>
    <w:rsid w:val="00C377FE"/>
    <w:rsid w:val="00C400BC"/>
    <w:rsid w:val="00C402A9"/>
    <w:rsid w:val="00C40421"/>
    <w:rsid w:val="00C40E92"/>
    <w:rsid w:val="00C40FCF"/>
    <w:rsid w:val="00C419BC"/>
    <w:rsid w:val="00C41BB6"/>
    <w:rsid w:val="00C41D8B"/>
    <w:rsid w:val="00C41F36"/>
    <w:rsid w:val="00C41FCD"/>
    <w:rsid w:val="00C42850"/>
    <w:rsid w:val="00C428AB"/>
    <w:rsid w:val="00C43820"/>
    <w:rsid w:val="00C43E55"/>
    <w:rsid w:val="00C44539"/>
    <w:rsid w:val="00C4478C"/>
    <w:rsid w:val="00C448FC"/>
    <w:rsid w:val="00C44AF3"/>
    <w:rsid w:val="00C44B17"/>
    <w:rsid w:val="00C44E61"/>
    <w:rsid w:val="00C45728"/>
    <w:rsid w:val="00C46153"/>
    <w:rsid w:val="00C46223"/>
    <w:rsid w:val="00C462B6"/>
    <w:rsid w:val="00C46774"/>
    <w:rsid w:val="00C467B1"/>
    <w:rsid w:val="00C4682D"/>
    <w:rsid w:val="00C46D3F"/>
    <w:rsid w:val="00C46F93"/>
    <w:rsid w:val="00C47841"/>
    <w:rsid w:val="00C47A8F"/>
    <w:rsid w:val="00C47BA4"/>
    <w:rsid w:val="00C47C7B"/>
    <w:rsid w:val="00C47C9A"/>
    <w:rsid w:val="00C47CBB"/>
    <w:rsid w:val="00C47D7C"/>
    <w:rsid w:val="00C47EB9"/>
    <w:rsid w:val="00C506B7"/>
    <w:rsid w:val="00C507D2"/>
    <w:rsid w:val="00C50CE7"/>
    <w:rsid w:val="00C51598"/>
    <w:rsid w:val="00C51987"/>
    <w:rsid w:val="00C522F3"/>
    <w:rsid w:val="00C5235C"/>
    <w:rsid w:val="00C52AF8"/>
    <w:rsid w:val="00C534D1"/>
    <w:rsid w:val="00C539A5"/>
    <w:rsid w:val="00C549DB"/>
    <w:rsid w:val="00C5531F"/>
    <w:rsid w:val="00C555C5"/>
    <w:rsid w:val="00C5615E"/>
    <w:rsid w:val="00C56536"/>
    <w:rsid w:val="00C56702"/>
    <w:rsid w:val="00C56CB5"/>
    <w:rsid w:val="00C56D24"/>
    <w:rsid w:val="00C57003"/>
    <w:rsid w:val="00C601D2"/>
    <w:rsid w:val="00C6056D"/>
    <w:rsid w:val="00C60A07"/>
    <w:rsid w:val="00C60F1D"/>
    <w:rsid w:val="00C612F9"/>
    <w:rsid w:val="00C621DB"/>
    <w:rsid w:val="00C62264"/>
    <w:rsid w:val="00C63DD9"/>
    <w:rsid w:val="00C6452D"/>
    <w:rsid w:val="00C64553"/>
    <w:rsid w:val="00C64595"/>
    <w:rsid w:val="00C645C4"/>
    <w:rsid w:val="00C649AA"/>
    <w:rsid w:val="00C649CA"/>
    <w:rsid w:val="00C64A1B"/>
    <w:rsid w:val="00C64E5C"/>
    <w:rsid w:val="00C65418"/>
    <w:rsid w:val="00C655A1"/>
    <w:rsid w:val="00C65B41"/>
    <w:rsid w:val="00C662CE"/>
    <w:rsid w:val="00C66498"/>
    <w:rsid w:val="00C66578"/>
    <w:rsid w:val="00C6680B"/>
    <w:rsid w:val="00C66D8A"/>
    <w:rsid w:val="00C67720"/>
    <w:rsid w:val="00C67977"/>
    <w:rsid w:val="00C67D39"/>
    <w:rsid w:val="00C71344"/>
    <w:rsid w:val="00C7186B"/>
    <w:rsid w:val="00C71CE9"/>
    <w:rsid w:val="00C72198"/>
    <w:rsid w:val="00C72559"/>
    <w:rsid w:val="00C72630"/>
    <w:rsid w:val="00C72649"/>
    <w:rsid w:val="00C729CD"/>
    <w:rsid w:val="00C72AA2"/>
    <w:rsid w:val="00C72CE3"/>
    <w:rsid w:val="00C7323E"/>
    <w:rsid w:val="00C73346"/>
    <w:rsid w:val="00C7344F"/>
    <w:rsid w:val="00C7352A"/>
    <w:rsid w:val="00C73A53"/>
    <w:rsid w:val="00C747D0"/>
    <w:rsid w:val="00C74D3F"/>
    <w:rsid w:val="00C7535E"/>
    <w:rsid w:val="00C7583A"/>
    <w:rsid w:val="00C760A5"/>
    <w:rsid w:val="00C7617A"/>
    <w:rsid w:val="00C7650D"/>
    <w:rsid w:val="00C76D3D"/>
    <w:rsid w:val="00C778E6"/>
    <w:rsid w:val="00C7792B"/>
    <w:rsid w:val="00C77A1B"/>
    <w:rsid w:val="00C77E3F"/>
    <w:rsid w:val="00C80165"/>
    <w:rsid w:val="00C806DC"/>
    <w:rsid w:val="00C806EE"/>
    <w:rsid w:val="00C80874"/>
    <w:rsid w:val="00C80A3B"/>
    <w:rsid w:val="00C819FF"/>
    <w:rsid w:val="00C82159"/>
    <w:rsid w:val="00C8215A"/>
    <w:rsid w:val="00C821ED"/>
    <w:rsid w:val="00C82F20"/>
    <w:rsid w:val="00C8321E"/>
    <w:rsid w:val="00C84BE1"/>
    <w:rsid w:val="00C84C64"/>
    <w:rsid w:val="00C85213"/>
    <w:rsid w:val="00C85524"/>
    <w:rsid w:val="00C857FD"/>
    <w:rsid w:val="00C85E84"/>
    <w:rsid w:val="00C85F60"/>
    <w:rsid w:val="00C86380"/>
    <w:rsid w:val="00C86A73"/>
    <w:rsid w:val="00C86F2F"/>
    <w:rsid w:val="00C876D6"/>
    <w:rsid w:val="00C9032D"/>
    <w:rsid w:val="00C9083C"/>
    <w:rsid w:val="00C90C62"/>
    <w:rsid w:val="00C912C5"/>
    <w:rsid w:val="00C9149A"/>
    <w:rsid w:val="00C91AEB"/>
    <w:rsid w:val="00C92072"/>
    <w:rsid w:val="00C921A1"/>
    <w:rsid w:val="00C92453"/>
    <w:rsid w:val="00C92DFD"/>
    <w:rsid w:val="00C93363"/>
    <w:rsid w:val="00C933EB"/>
    <w:rsid w:val="00C93560"/>
    <w:rsid w:val="00C9376C"/>
    <w:rsid w:val="00C941C8"/>
    <w:rsid w:val="00C946E2"/>
    <w:rsid w:val="00C94F67"/>
    <w:rsid w:val="00C954B8"/>
    <w:rsid w:val="00C958AB"/>
    <w:rsid w:val="00C9597E"/>
    <w:rsid w:val="00C95C00"/>
    <w:rsid w:val="00C96F1F"/>
    <w:rsid w:val="00C9738B"/>
    <w:rsid w:val="00C97473"/>
    <w:rsid w:val="00C97AB1"/>
    <w:rsid w:val="00C97B24"/>
    <w:rsid w:val="00C97C58"/>
    <w:rsid w:val="00C97C86"/>
    <w:rsid w:val="00CA0299"/>
    <w:rsid w:val="00CA1612"/>
    <w:rsid w:val="00CA196E"/>
    <w:rsid w:val="00CA1B25"/>
    <w:rsid w:val="00CA1C54"/>
    <w:rsid w:val="00CA21E7"/>
    <w:rsid w:val="00CA2582"/>
    <w:rsid w:val="00CA2E98"/>
    <w:rsid w:val="00CA374A"/>
    <w:rsid w:val="00CA3BC1"/>
    <w:rsid w:val="00CA3F8D"/>
    <w:rsid w:val="00CA428A"/>
    <w:rsid w:val="00CA43CE"/>
    <w:rsid w:val="00CA50A1"/>
    <w:rsid w:val="00CA519E"/>
    <w:rsid w:val="00CA54CB"/>
    <w:rsid w:val="00CA54D6"/>
    <w:rsid w:val="00CA5842"/>
    <w:rsid w:val="00CA59A4"/>
    <w:rsid w:val="00CA6832"/>
    <w:rsid w:val="00CA7304"/>
    <w:rsid w:val="00CA7488"/>
    <w:rsid w:val="00CA7742"/>
    <w:rsid w:val="00CA77C3"/>
    <w:rsid w:val="00CA7B70"/>
    <w:rsid w:val="00CA7C8B"/>
    <w:rsid w:val="00CA7F69"/>
    <w:rsid w:val="00CB00B3"/>
    <w:rsid w:val="00CB0A0C"/>
    <w:rsid w:val="00CB0B59"/>
    <w:rsid w:val="00CB0B79"/>
    <w:rsid w:val="00CB13AA"/>
    <w:rsid w:val="00CB1BAF"/>
    <w:rsid w:val="00CB2F52"/>
    <w:rsid w:val="00CB3611"/>
    <w:rsid w:val="00CB3655"/>
    <w:rsid w:val="00CB3E0D"/>
    <w:rsid w:val="00CB4073"/>
    <w:rsid w:val="00CB4CF8"/>
    <w:rsid w:val="00CB4DEC"/>
    <w:rsid w:val="00CB4EFA"/>
    <w:rsid w:val="00CB53D8"/>
    <w:rsid w:val="00CB53E5"/>
    <w:rsid w:val="00CB5447"/>
    <w:rsid w:val="00CB5C0F"/>
    <w:rsid w:val="00CB6007"/>
    <w:rsid w:val="00CB669D"/>
    <w:rsid w:val="00CB6A6A"/>
    <w:rsid w:val="00CB73CE"/>
    <w:rsid w:val="00CB769C"/>
    <w:rsid w:val="00CB770E"/>
    <w:rsid w:val="00CB7801"/>
    <w:rsid w:val="00CB7BC4"/>
    <w:rsid w:val="00CB7E0D"/>
    <w:rsid w:val="00CC0184"/>
    <w:rsid w:val="00CC04B1"/>
    <w:rsid w:val="00CC0BE5"/>
    <w:rsid w:val="00CC0EE0"/>
    <w:rsid w:val="00CC14EB"/>
    <w:rsid w:val="00CC15C5"/>
    <w:rsid w:val="00CC19E4"/>
    <w:rsid w:val="00CC1EE3"/>
    <w:rsid w:val="00CC29F9"/>
    <w:rsid w:val="00CC2F9D"/>
    <w:rsid w:val="00CC3A4B"/>
    <w:rsid w:val="00CC3C9D"/>
    <w:rsid w:val="00CC3E52"/>
    <w:rsid w:val="00CC4AD2"/>
    <w:rsid w:val="00CC51C3"/>
    <w:rsid w:val="00CC586D"/>
    <w:rsid w:val="00CC59E6"/>
    <w:rsid w:val="00CC5C51"/>
    <w:rsid w:val="00CC5F4B"/>
    <w:rsid w:val="00CC5FED"/>
    <w:rsid w:val="00CC604B"/>
    <w:rsid w:val="00CC6481"/>
    <w:rsid w:val="00CC662C"/>
    <w:rsid w:val="00CC6673"/>
    <w:rsid w:val="00CC6D9C"/>
    <w:rsid w:val="00CC7165"/>
    <w:rsid w:val="00CC7177"/>
    <w:rsid w:val="00CC7431"/>
    <w:rsid w:val="00CC7502"/>
    <w:rsid w:val="00CC7E3D"/>
    <w:rsid w:val="00CC7F15"/>
    <w:rsid w:val="00CD03C5"/>
    <w:rsid w:val="00CD0891"/>
    <w:rsid w:val="00CD0F33"/>
    <w:rsid w:val="00CD101B"/>
    <w:rsid w:val="00CD1737"/>
    <w:rsid w:val="00CD1EF5"/>
    <w:rsid w:val="00CD2012"/>
    <w:rsid w:val="00CD22AB"/>
    <w:rsid w:val="00CD2566"/>
    <w:rsid w:val="00CD2A9D"/>
    <w:rsid w:val="00CD2F39"/>
    <w:rsid w:val="00CD395A"/>
    <w:rsid w:val="00CD3F46"/>
    <w:rsid w:val="00CD3FE6"/>
    <w:rsid w:val="00CD42A5"/>
    <w:rsid w:val="00CD4698"/>
    <w:rsid w:val="00CD46AD"/>
    <w:rsid w:val="00CD4BAA"/>
    <w:rsid w:val="00CD4BC0"/>
    <w:rsid w:val="00CD4CC9"/>
    <w:rsid w:val="00CD5533"/>
    <w:rsid w:val="00CD5DC8"/>
    <w:rsid w:val="00CD62B0"/>
    <w:rsid w:val="00CD63D7"/>
    <w:rsid w:val="00CD68E6"/>
    <w:rsid w:val="00CD6B9D"/>
    <w:rsid w:val="00CD6E50"/>
    <w:rsid w:val="00CD6F33"/>
    <w:rsid w:val="00CE01F7"/>
    <w:rsid w:val="00CE07E8"/>
    <w:rsid w:val="00CE0B03"/>
    <w:rsid w:val="00CE0C22"/>
    <w:rsid w:val="00CE1083"/>
    <w:rsid w:val="00CE1219"/>
    <w:rsid w:val="00CE1741"/>
    <w:rsid w:val="00CE1C93"/>
    <w:rsid w:val="00CE1D84"/>
    <w:rsid w:val="00CE2376"/>
    <w:rsid w:val="00CE2506"/>
    <w:rsid w:val="00CE2660"/>
    <w:rsid w:val="00CE283C"/>
    <w:rsid w:val="00CE28D7"/>
    <w:rsid w:val="00CE2925"/>
    <w:rsid w:val="00CE37B1"/>
    <w:rsid w:val="00CE3A8A"/>
    <w:rsid w:val="00CE3AEC"/>
    <w:rsid w:val="00CE3FCD"/>
    <w:rsid w:val="00CE43CA"/>
    <w:rsid w:val="00CE4D8D"/>
    <w:rsid w:val="00CE648D"/>
    <w:rsid w:val="00CE65B1"/>
    <w:rsid w:val="00CE6A61"/>
    <w:rsid w:val="00CE6AB4"/>
    <w:rsid w:val="00CE6E90"/>
    <w:rsid w:val="00CE6F7F"/>
    <w:rsid w:val="00CE7D30"/>
    <w:rsid w:val="00CE7E09"/>
    <w:rsid w:val="00CF0A0A"/>
    <w:rsid w:val="00CF0B49"/>
    <w:rsid w:val="00CF0E87"/>
    <w:rsid w:val="00CF16D1"/>
    <w:rsid w:val="00CF194B"/>
    <w:rsid w:val="00CF1B9C"/>
    <w:rsid w:val="00CF1E95"/>
    <w:rsid w:val="00CF1FD4"/>
    <w:rsid w:val="00CF2061"/>
    <w:rsid w:val="00CF26B4"/>
    <w:rsid w:val="00CF2730"/>
    <w:rsid w:val="00CF2EA8"/>
    <w:rsid w:val="00CF3705"/>
    <w:rsid w:val="00CF386A"/>
    <w:rsid w:val="00CF3B15"/>
    <w:rsid w:val="00CF3DC0"/>
    <w:rsid w:val="00CF3F12"/>
    <w:rsid w:val="00CF424F"/>
    <w:rsid w:val="00CF42D9"/>
    <w:rsid w:val="00CF42F2"/>
    <w:rsid w:val="00CF45EB"/>
    <w:rsid w:val="00CF463F"/>
    <w:rsid w:val="00CF48AD"/>
    <w:rsid w:val="00CF4E61"/>
    <w:rsid w:val="00CF4FEA"/>
    <w:rsid w:val="00CF54D7"/>
    <w:rsid w:val="00CF5742"/>
    <w:rsid w:val="00CF58AD"/>
    <w:rsid w:val="00CF5A04"/>
    <w:rsid w:val="00CF5AA7"/>
    <w:rsid w:val="00CF62EB"/>
    <w:rsid w:val="00CF65D8"/>
    <w:rsid w:val="00CF6B16"/>
    <w:rsid w:val="00CF7063"/>
    <w:rsid w:val="00D00915"/>
    <w:rsid w:val="00D00D0F"/>
    <w:rsid w:val="00D00E9E"/>
    <w:rsid w:val="00D01401"/>
    <w:rsid w:val="00D015A6"/>
    <w:rsid w:val="00D01A82"/>
    <w:rsid w:val="00D0251A"/>
    <w:rsid w:val="00D02B32"/>
    <w:rsid w:val="00D0348B"/>
    <w:rsid w:val="00D03D5A"/>
    <w:rsid w:val="00D03FA9"/>
    <w:rsid w:val="00D04055"/>
    <w:rsid w:val="00D0429D"/>
    <w:rsid w:val="00D043CF"/>
    <w:rsid w:val="00D04668"/>
    <w:rsid w:val="00D04ACA"/>
    <w:rsid w:val="00D04D05"/>
    <w:rsid w:val="00D05024"/>
    <w:rsid w:val="00D05046"/>
    <w:rsid w:val="00D05169"/>
    <w:rsid w:val="00D0548F"/>
    <w:rsid w:val="00D058E8"/>
    <w:rsid w:val="00D060AF"/>
    <w:rsid w:val="00D060D6"/>
    <w:rsid w:val="00D063F3"/>
    <w:rsid w:val="00D06A28"/>
    <w:rsid w:val="00D06B67"/>
    <w:rsid w:val="00D06E4C"/>
    <w:rsid w:val="00D0785C"/>
    <w:rsid w:val="00D079F3"/>
    <w:rsid w:val="00D104EF"/>
    <w:rsid w:val="00D10786"/>
    <w:rsid w:val="00D10879"/>
    <w:rsid w:val="00D10B07"/>
    <w:rsid w:val="00D10CDF"/>
    <w:rsid w:val="00D10D5A"/>
    <w:rsid w:val="00D10DCA"/>
    <w:rsid w:val="00D11A06"/>
    <w:rsid w:val="00D11E2F"/>
    <w:rsid w:val="00D12089"/>
    <w:rsid w:val="00D12259"/>
    <w:rsid w:val="00D12346"/>
    <w:rsid w:val="00D125C7"/>
    <w:rsid w:val="00D125FE"/>
    <w:rsid w:val="00D12878"/>
    <w:rsid w:val="00D12B45"/>
    <w:rsid w:val="00D12C78"/>
    <w:rsid w:val="00D12D8D"/>
    <w:rsid w:val="00D1304B"/>
    <w:rsid w:val="00D1324F"/>
    <w:rsid w:val="00D13828"/>
    <w:rsid w:val="00D13E10"/>
    <w:rsid w:val="00D14244"/>
    <w:rsid w:val="00D146BF"/>
    <w:rsid w:val="00D14850"/>
    <w:rsid w:val="00D14DA3"/>
    <w:rsid w:val="00D153AC"/>
    <w:rsid w:val="00D156DD"/>
    <w:rsid w:val="00D15827"/>
    <w:rsid w:val="00D15964"/>
    <w:rsid w:val="00D15988"/>
    <w:rsid w:val="00D159DB"/>
    <w:rsid w:val="00D15D6E"/>
    <w:rsid w:val="00D16483"/>
    <w:rsid w:val="00D167B8"/>
    <w:rsid w:val="00D16847"/>
    <w:rsid w:val="00D17309"/>
    <w:rsid w:val="00D17BF6"/>
    <w:rsid w:val="00D20046"/>
    <w:rsid w:val="00D20F3F"/>
    <w:rsid w:val="00D21282"/>
    <w:rsid w:val="00D21760"/>
    <w:rsid w:val="00D21F43"/>
    <w:rsid w:val="00D2203F"/>
    <w:rsid w:val="00D22371"/>
    <w:rsid w:val="00D22AF5"/>
    <w:rsid w:val="00D22C6E"/>
    <w:rsid w:val="00D22E0F"/>
    <w:rsid w:val="00D23051"/>
    <w:rsid w:val="00D23442"/>
    <w:rsid w:val="00D2358D"/>
    <w:rsid w:val="00D23B66"/>
    <w:rsid w:val="00D23DA1"/>
    <w:rsid w:val="00D24BE0"/>
    <w:rsid w:val="00D24D41"/>
    <w:rsid w:val="00D24DF0"/>
    <w:rsid w:val="00D24E25"/>
    <w:rsid w:val="00D2533A"/>
    <w:rsid w:val="00D2547E"/>
    <w:rsid w:val="00D257DC"/>
    <w:rsid w:val="00D25DAA"/>
    <w:rsid w:val="00D25E7F"/>
    <w:rsid w:val="00D260CE"/>
    <w:rsid w:val="00D26EC8"/>
    <w:rsid w:val="00D26F90"/>
    <w:rsid w:val="00D27147"/>
    <w:rsid w:val="00D27350"/>
    <w:rsid w:val="00D2784B"/>
    <w:rsid w:val="00D27958"/>
    <w:rsid w:val="00D27B51"/>
    <w:rsid w:val="00D27F73"/>
    <w:rsid w:val="00D27F7B"/>
    <w:rsid w:val="00D3126D"/>
    <w:rsid w:val="00D31313"/>
    <w:rsid w:val="00D31953"/>
    <w:rsid w:val="00D31B72"/>
    <w:rsid w:val="00D32247"/>
    <w:rsid w:val="00D3294F"/>
    <w:rsid w:val="00D32C4C"/>
    <w:rsid w:val="00D33500"/>
    <w:rsid w:val="00D336F2"/>
    <w:rsid w:val="00D337A6"/>
    <w:rsid w:val="00D33EB8"/>
    <w:rsid w:val="00D3400A"/>
    <w:rsid w:val="00D343EB"/>
    <w:rsid w:val="00D345EA"/>
    <w:rsid w:val="00D34638"/>
    <w:rsid w:val="00D352C7"/>
    <w:rsid w:val="00D356DE"/>
    <w:rsid w:val="00D35762"/>
    <w:rsid w:val="00D357D1"/>
    <w:rsid w:val="00D35A67"/>
    <w:rsid w:val="00D35B96"/>
    <w:rsid w:val="00D35E65"/>
    <w:rsid w:val="00D35EA9"/>
    <w:rsid w:val="00D36452"/>
    <w:rsid w:val="00D36623"/>
    <w:rsid w:val="00D369D0"/>
    <w:rsid w:val="00D37509"/>
    <w:rsid w:val="00D3751D"/>
    <w:rsid w:val="00D40312"/>
    <w:rsid w:val="00D40607"/>
    <w:rsid w:val="00D40731"/>
    <w:rsid w:val="00D408F2"/>
    <w:rsid w:val="00D40DB1"/>
    <w:rsid w:val="00D410FC"/>
    <w:rsid w:val="00D412AB"/>
    <w:rsid w:val="00D414BD"/>
    <w:rsid w:val="00D4152B"/>
    <w:rsid w:val="00D41CA6"/>
    <w:rsid w:val="00D4208F"/>
    <w:rsid w:val="00D421D7"/>
    <w:rsid w:val="00D42766"/>
    <w:rsid w:val="00D42C3A"/>
    <w:rsid w:val="00D42DD2"/>
    <w:rsid w:val="00D4308C"/>
    <w:rsid w:val="00D433B5"/>
    <w:rsid w:val="00D43AA0"/>
    <w:rsid w:val="00D43F79"/>
    <w:rsid w:val="00D446DE"/>
    <w:rsid w:val="00D447FB"/>
    <w:rsid w:val="00D4494C"/>
    <w:rsid w:val="00D45AFA"/>
    <w:rsid w:val="00D46050"/>
    <w:rsid w:val="00D4609A"/>
    <w:rsid w:val="00D46CA0"/>
    <w:rsid w:val="00D46E8F"/>
    <w:rsid w:val="00D46EBA"/>
    <w:rsid w:val="00D47039"/>
    <w:rsid w:val="00D4731C"/>
    <w:rsid w:val="00D473C8"/>
    <w:rsid w:val="00D4780A"/>
    <w:rsid w:val="00D47B29"/>
    <w:rsid w:val="00D50128"/>
    <w:rsid w:val="00D5027D"/>
    <w:rsid w:val="00D503A5"/>
    <w:rsid w:val="00D50493"/>
    <w:rsid w:val="00D50665"/>
    <w:rsid w:val="00D5095B"/>
    <w:rsid w:val="00D50D0E"/>
    <w:rsid w:val="00D517A0"/>
    <w:rsid w:val="00D5195C"/>
    <w:rsid w:val="00D51BEF"/>
    <w:rsid w:val="00D51D9E"/>
    <w:rsid w:val="00D51E8C"/>
    <w:rsid w:val="00D52838"/>
    <w:rsid w:val="00D52957"/>
    <w:rsid w:val="00D5348C"/>
    <w:rsid w:val="00D537D9"/>
    <w:rsid w:val="00D540A2"/>
    <w:rsid w:val="00D541B3"/>
    <w:rsid w:val="00D5422A"/>
    <w:rsid w:val="00D545CF"/>
    <w:rsid w:val="00D54677"/>
    <w:rsid w:val="00D54805"/>
    <w:rsid w:val="00D54D11"/>
    <w:rsid w:val="00D54D8A"/>
    <w:rsid w:val="00D55C85"/>
    <w:rsid w:val="00D5648F"/>
    <w:rsid w:val="00D56522"/>
    <w:rsid w:val="00D569B0"/>
    <w:rsid w:val="00D5738D"/>
    <w:rsid w:val="00D57777"/>
    <w:rsid w:val="00D57A71"/>
    <w:rsid w:val="00D57D6B"/>
    <w:rsid w:val="00D57EEC"/>
    <w:rsid w:val="00D60503"/>
    <w:rsid w:val="00D60930"/>
    <w:rsid w:val="00D60D7D"/>
    <w:rsid w:val="00D61757"/>
    <w:rsid w:val="00D61C29"/>
    <w:rsid w:val="00D62171"/>
    <w:rsid w:val="00D622F7"/>
    <w:rsid w:val="00D62791"/>
    <w:rsid w:val="00D630DD"/>
    <w:rsid w:val="00D631B9"/>
    <w:rsid w:val="00D6354F"/>
    <w:rsid w:val="00D63629"/>
    <w:rsid w:val="00D642DD"/>
    <w:rsid w:val="00D64D4F"/>
    <w:rsid w:val="00D65155"/>
    <w:rsid w:val="00D6573B"/>
    <w:rsid w:val="00D659D1"/>
    <w:rsid w:val="00D65ACB"/>
    <w:rsid w:val="00D66275"/>
    <w:rsid w:val="00D66CCA"/>
    <w:rsid w:val="00D671D8"/>
    <w:rsid w:val="00D67CC5"/>
    <w:rsid w:val="00D70521"/>
    <w:rsid w:val="00D705C7"/>
    <w:rsid w:val="00D70735"/>
    <w:rsid w:val="00D70A63"/>
    <w:rsid w:val="00D7103B"/>
    <w:rsid w:val="00D71060"/>
    <w:rsid w:val="00D71131"/>
    <w:rsid w:val="00D7117D"/>
    <w:rsid w:val="00D717FF"/>
    <w:rsid w:val="00D71830"/>
    <w:rsid w:val="00D71B34"/>
    <w:rsid w:val="00D725E0"/>
    <w:rsid w:val="00D72FF2"/>
    <w:rsid w:val="00D73220"/>
    <w:rsid w:val="00D73A48"/>
    <w:rsid w:val="00D73D20"/>
    <w:rsid w:val="00D7407A"/>
    <w:rsid w:val="00D742C3"/>
    <w:rsid w:val="00D75856"/>
    <w:rsid w:val="00D7593A"/>
    <w:rsid w:val="00D75AAD"/>
    <w:rsid w:val="00D76EFF"/>
    <w:rsid w:val="00D76FAA"/>
    <w:rsid w:val="00D76FB3"/>
    <w:rsid w:val="00D770A3"/>
    <w:rsid w:val="00D77511"/>
    <w:rsid w:val="00D77604"/>
    <w:rsid w:val="00D77755"/>
    <w:rsid w:val="00D77BC1"/>
    <w:rsid w:val="00D77CE7"/>
    <w:rsid w:val="00D77FBE"/>
    <w:rsid w:val="00D80161"/>
    <w:rsid w:val="00D8057D"/>
    <w:rsid w:val="00D80AA9"/>
    <w:rsid w:val="00D80D44"/>
    <w:rsid w:val="00D81642"/>
    <w:rsid w:val="00D816FA"/>
    <w:rsid w:val="00D81D95"/>
    <w:rsid w:val="00D81DF7"/>
    <w:rsid w:val="00D82052"/>
    <w:rsid w:val="00D82A78"/>
    <w:rsid w:val="00D82AAB"/>
    <w:rsid w:val="00D8316E"/>
    <w:rsid w:val="00D83984"/>
    <w:rsid w:val="00D83C2C"/>
    <w:rsid w:val="00D83C3C"/>
    <w:rsid w:val="00D84703"/>
    <w:rsid w:val="00D84B58"/>
    <w:rsid w:val="00D84C08"/>
    <w:rsid w:val="00D84E01"/>
    <w:rsid w:val="00D852FE"/>
    <w:rsid w:val="00D85F17"/>
    <w:rsid w:val="00D861F7"/>
    <w:rsid w:val="00D86AAF"/>
    <w:rsid w:val="00D86D91"/>
    <w:rsid w:val="00D86F98"/>
    <w:rsid w:val="00D8734B"/>
    <w:rsid w:val="00D87C44"/>
    <w:rsid w:val="00D87DA0"/>
    <w:rsid w:val="00D90CAC"/>
    <w:rsid w:val="00D9134E"/>
    <w:rsid w:val="00D91BE6"/>
    <w:rsid w:val="00D91D74"/>
    <w:rsid w:val="00D92874"/>
    <w:rsid w:val="00D92D4A"/>
    <w:rsid w:val="00D93CAF"/>
    <w:rsid w:val="00D946F8"/>
    <w:rsid w:val="00D94A62"/>
    <w:rsid w:val="00D95314"/>
    <w:rsid w:val="00D95EC2"/>
    <w:rsid w:val="00D96368"/>
    <w:rsid w:val="00D96D5B"/>
    <w:rsid w:val="00D96DC2"/>
    <w:rsid w:val="00D97006"/>
    <w:rsid w:val="00D9718F"/>
    <w:rsid w:val="00D975C5"/>
    <w:rsid w:val="00D97B07"/>
    <w:rsid w:val="00D97B45"/>
    <w:rsid w:val="00D97CCE"/>
    <w:rsid w:val="00D97F3C"/>
    <w:rsid w:val="00D97F87"/>
    <w:rsid w:val="00DA00D7"/>
    <w:rsid w:val="00DA0479"/>
    <w:rsid w:val="00DA0666"/>
    <w:rsid w:val="00DA08D3"/>
    <w:rsid w:val="00DA0A39"/>
    <w:rsid w:val="00DA0BCF"/>
    <w:rsid w:val="00DA0D83"/>
    <w:rsid w:val="00DA0F51"/>
    <w:rsid w:val="00DA1179"/>
    <w:rsid w:val="00DA2984"/>
    <w:rsid w:val="00DA2BEE"/>
    <w:rsid w:val="00DA32A3"/>
    <w:rsid w:val="00DA33E1"/>
    <w:rsid w:val="00DA341B"/>
    <w:rsid w:val="00DA34BD"/>
    <w:rsid w:val="00DA36AE"/>
    <w:rsid w:val="00DA37D5"/>
    <w:rsid w:val="00DA3821"/>
    <w:rsid w:val="00DA3861"/>
    <w:rsid w:val="00DA438E"/>
    <w:rsid w:val="00DA48B7"/>
    <w:rsid w:val="00DA52C7"/>
    <w:rsid w:val="00DA6006"/>
    <w:rsid w:val="00DA662A"/>
    <w:rsid w:val="00DA66E8"/>
    <w:rsid w:val="00DA67D3"/>
    <w:rsid w:val="00DA6D98"/>
    <w:rsid w:val="00DA7248"/>
    <w:rsid w:val="00DA7296"/>
    <w:rsid w:val="00DA75EF"/>
    <w:rsid w:val="00DA7A69"/>
    <w:rsid w:val="00DA7C1F"/>
    <w:rsid w:val="00DA7EB2"/>
    <w:rsid w:val="00DB014C"/>
    <w:rsid w:val="00DB096C"/>
    <w:rsid w:val="00DB09B5"/>
    <w:rsid w:val="00DB0AF7"/>
    <w:rsid w:val="00DB0B11"/>
    <w:rsid w:val="00DB0BC3"/>
    <w:rsid w:val="00DB11AD"/>
    <w:rsid w:val="00DB128F"/>
    <w:rsid w:val="00DB14B7"/>
    <w:rsid w:val="00DB1794"/>
    <w:rsid w:val="00DB1833"/>
    <w:rsid w:val="00DB1A7F"/>
    <w:rsid w:val="00DB1DCD"/>
    <w:rsid w:val="00DB2CDD"/>
    <w:rsid w:val="00DB2E87"/>
    <w:rsid w:val="00DB30E3"/>
    <w:rsid w:val="00DB3191"/>
    <w:rsid w:val="00DB339F"/>
    <w:rsid w:val="00DB3677"/>
    <w:rsid w:val="00DB4109"/>
    <w:rsid w:val="00DB42E8"/>
    <w:rsid w:val="00DB4557"/>
    <w:rsid w:val="00DB4622"/>
    <w:rsid w:val="00DB483D"/>
    <w:rsid w:val="00DB4BF3"/>
    <w:rsid w:val="00DB4DF1"/>
    <w:rsid w:val="00DB54E1"/>
    <w:rsid w:val="00DB56AC"/>
    <w:rsid w:val="00DB59C1"/>
    <w:rsid w:val="00DB5FB3"/>
    <w:rsid w:val="00DB66F4"/>
    <w:rsid w:val="00DB6922"/>
    <w:rsid w:val="00DB69BC"/>
    <w:rsid w:val="00DB6AE4"/>
    <w:rsid w:val="00DB6E3F"/>
    <w:rsid w:val="00DB798C"/>
    <w:rsid w:val="00DB7AB8"/>
    <w:rsid w:val="00DB7AC9"/>
    <w:rsid w:val="00DB7B82"/>
    <w:rsid w:val="00DC0657"/>
    <w:rsid w:val="00DC095E"/>
    <w:rsid w:val="00DC1178"/>
    <w:rsid w:val="00DC156F"/>
    <w:rsid w:val="00DC1669"/>
    <w:rsid w:val="00DC1AD4"/>
    <w:rsid w:val="00DC1C7D"/>
    <w:rsid w:val="00DC1E4C"/>
    <w:rsid w:val="00DC1EDE"/>
    <w:rsid w:val="00DC218F"/>
    <w:rsid w:val="00DC23E1"/>
    <w:rsid w:val="00DC2436"/>
    <w:rsid w:val="00DC2848"/>
    <w:rsid w:val="00DC2D8A"/>
    <w:rsid w:val="00DC336F"/>
    <w:rsid w:val="00DC3600"/>
    <w:rsid w:val="00DC3EB0"/>
    <w:rsid w:val="00DC41CC"/>
    <w:rsid w:val="00DC4212"/>
    <w:rsid w:val="00DC4D3B"/>
    <w:rsid w:val="00DC4DB9"/>
    <w:rsid w:val="00DC4F11"/>
    <w:rsid w:val="00DC5482"/>
    <w:rsid w:val="00DC54A8"/>
    <w:rsid w:val="00DC5620"/>
    <w:rsid w:val="00DC5658"/>
    <w:rsid w:val="00DC5720"/>
    <w:rsid w:val="00DC5A08"/>
    <w:rsid w:val="00DC609B"/>
    <w:rsid w:val="00DC62AD"/>
    <w:rsid w:val="00DC6959"/>
    <w:rsid w:val="00DC71F8"/>
    <w:rsid w:val="00DC73FC"/>
    <w:rsid w:val="00DC7B62"/>
    <w:rsid w:val="00DD01DF"/>
    <w:rsid w:val="00DD03DC"/>
    <w:rsid w:val="00DD0D8C"/>
    <w:rsid w:val="00DD115C"/>
    <w:rsid w:val="00DD1408"/>
    <w:rsid w:val="00DD1FD6"/>
    <w:rsid w:val="00DD2476"/>
    <w:rsid w:val="00DD2984"/>
    <w:rsid w:val="00DD2A7E"/>
    <w:rsid w:val="00DD39F2"/>
    <w:rsid w:val="00DD4085"/>
    <w:rsid w:val="00DD40FE"/>
    <w:rsid w:val="00DD491A"/>
    <w:rsid w:val="00DD499F"/>
    <w:rsid w:val="00DD4BEA"/>
    <w:rsid w:val="00DD59DA"/>
    <w:rsid w:val="00DD60EF"/>
    <w:rsid w:val="00DD6118"/>
    <w:rsid w:val="00DD65D9"/>
    <w:rsid w:val="00DD6FF2"/>
    <w:rsid w:val="00DD7760"/>
    <w:rsid w:val="00DD7787"/>
    <w:rsid w:val="00DE00A0"/>
    <w:rsid w:val="00DE00B3"/>
    <w:rsid w:val="00DE173C"/>
    <w:rsid w:val="00DE1A3A"/>
    <w:rsid w:val="00DE1C00"/>
    <w:rsid w:val="00DE1D43"/>
    <w:rsid w:val="00DE1DB4"/>
    <w:rsid w:val="00DE2136"/>
    <w:rsid w:val="00DE233E"/>
    <w:rsid w:val="00DE2805"/>
    <w:rsid w:val="00DE2D7F"/>
    <w:rsid w:val="00DE2D84"/>
    <w:rsid w:val="00DE2E85"/>
    <w:rsid w:val="00DE30AE"/>
    <w:rsid w:val="00DE30CC"/>
    <w:rsid w:val="00DE4172"/>
    <w:rsid w:val="00DE47CD"/>
    <w:rsid w:val="00DE4C57"/>
    <w:rsid w:val="00DE4EA7"/>
    <w:rsid w:val="00DE5407"/>
    <w:rsid w:val="00DE5788"/>
    <w:rsid w:val="00DE590D"/>
    <w:rsid w:val="00DE59DF"/>
    <w:rsid w:val="00DE5A12"/>
    <w:rsid w:val="00DE5B64"/>
    <w:rsid w:val="00DE5DD8"/>
    <w:rsid w:val="00DE6280"/>
    <w:rsid w:val="00DE6639"/>
    <w:rsid w:val="00DE7203"/>
    <w:rsid w:val="00DE74EB"/>
    <w:rsid w:val="00DE76AB"/>
    <w:rsid w:val="00DE7704"/>
    <w:rsid w:val="00DE7889"/>
    <w:rsid w:val="00DE7A02"/>
    <w:rsid w:val="00DE7AF9"/>
    <w:rsid w:val="00DE7C6B"/>
    <w:rsid w:val="00DF00B8"/>
    <w:rsid w:val="00DF00E0"/>
    <w:rsid w:val="00DF0D85"/>
    <w:rsid w:val="00DF1613"/>
    <w:rsid w:val="00DF16A8"/>
    <w:rsid w:val="00DF17D7"/>
    <w:rsid w:val="00DF1AF4"/>
    <w:rsid w:val="00DF1B72"/>
    <w:rsid w:val="00DF25AA"/>
    <w:rsid w:val="00DF2D43"/>
    <w:rsid w:val="00DF357C"/>
    <w:rsid w:val="00DF3593"/>
    <w:rsid w:val="00DF35B8"/>
    <w:rsid w:val="00DF3656"/>
    <w:rsid w:val="00DF3726"/>
    <w:rsid w:val="00DF3BE0"/>
    <w:rsid w:val="00DF3BE4"/>
    <w:rsid w:val="00DF3DB2"/>
    <w:rsid w:val="00DF478F"/>
    <w:rsid w:val="00DF4E8E"/>
    <w:rsid w:val="00DF522C"/>
    <w:rsid w:val="00DF5248"/>
    <w:rsid w:val="00DF539D"/>
    <w:rsid w:val="00DF58EA"/>
    <w:rsid w:val="00DF595B"/>
    <w:rsid w:val="00DF5E75"/>
    <w:rsid w:val="00DF5E95"/>
    <w:rsid w:val="00DF6349"/>
    <w:rsid w:val="00DF63A9"/>
    <w:rsid w:val="00DF651B"/>
    <w:rsid w:val="00DF6AC7"/>
    <w:rsid w:val="00DF7831"/>
    <w:rsid w:val="00DF78CC"/>
    <w:rsid w:val="00DF7B3A"/>
    <w:rsid w:val="00E00B0B"/>
    <w:rsid w:val="00E01436"/>
    <w:rsid w:val="00E01CE9"/>
    <w:rsid w:val="00E01DCD"/>
    <w:rsid w:val="00E01E32"/>
    <w:rsid w:val="00E01F11"/>
    <w:rsid w:val="00E02511"/>
    <w:rsid w:val="00E02C7B"/>
    <w:rsid w:val="00E02E2D"/>
    <w:rsid w:val="00E031B2"/>
    <w:rsid w:val="00E03233"/>
    <w:rsid w:val="00E03477"/>
    <w:rsid w:val="00E03AF5"/>
    <w:rsid w:val="00E04062"/>
    <w:rsid w:val="00E0411C"/>
    <w:rsid w:val="00E041C6"/>
    <w:rsid w:val="00E0428B"/>
    <w:rsid w:val="00E0442F"/>
    <w:rsid w:val="00E04D2C"/>
    <w:rsid w:val="00E0528F"/>
    <w:rsid w:val="00E0588F"/>
    <w:rsid w:val="00E059F2"/>
    <w:rsid w:val="00E05CA5"/>
    <w:rsid w:val="00E05CCC"/>
    <w:rsid w:val="00E06018"/>
    <w:rsid w:val="00E06DCB"/>
    <w:rsid w:val="00E074B7"/>
    <w:rsid w:val="00E07C60"/>
    <w:rsid w:val="00E10166"/>
    <w:rsid w:val="00E1049C"/>
    <w:rsid w:val="00E10AAD"/>
    <w:rsid w:val="00E10CCF"/>
    <w:rsid w:val="00E10D43"/>
    <w:rsid w:val="00E10F1D"/>
    <w:rsid w:val="00E110C1"/>
    <w:rsid w:val="00E113C4"/>
    <w:rsid w:val="00E1162A"/>
    <w:rsid w:val="00E11D56"/>
    <w:rsid w:val="00E11E89"/>
    <w:rsid w:val="00E11F8D"/>
    <w:rsid w:val="00E121EC"/>
    <w:rsid w:val="00E12A97"/>
    <w:rsid w:val="00E12C39"/>
    <w:rsid w:val="00E12E6D"/>
    <w:rsid w:val="00E138B6"/>
    <w:rsid w:val="00E138F3"/>
    <w:rsid w:val="00E143F0"/>
    <w:rsid w:val="00E1473E"/>
    <w:rsid w:val="00E148BF"/>
    <w:rsid w:val="00E14CE1"/>
    <w:rsid w:val="00E155E6"/>
    <w:rsid w:val="00E15B86"/>
    <w:rsid w:val="00E15CA4"/>
    <w:rsid w:val="00E15F14"/>
    <w:rsid w:val="00E1613A"/>
    <w:rsid w:val="00E16209"/>
    <w:rsid w:val="00E17B15"/>
    <w:rsid w:val="00E17B7C"/>
    <w:rsid w:val="00E17BB8"/>
    <w:rsid w:val="00E20142"/>
    <w:rsid w:val="00E204AA"/>
    <w:rsid w:val="00E205BF"/>
    <w:rsid w:val="00E205F2"/>
    <w:rsid w:val="00E20D55"/>
    <w:rsid w:val="00E21EEA"/>
    <w:rsid w:val="00E2200F"/>
    <w:rsid w:val="00E22A0E"/>
    <w:rsid w:val="00E22C2B"/>
    <w:rsid w:val="00E2331F"/>
    <w:rsid w:val="00E2389B"/>
    <w:rsid w:val="00E239EA"/>
    <w:rsid w:val="00E23CA7"/>
    <w:rsid w:val="00E23DB5"/>
    <w:rsid w:val="00E23E18"/>
    <w:rsid w:val="00E24505"/>
    <w:rsid w:val="00E248A0"/>
    <w:rsid w:val="00E24E4E"/>
    <w:rsid w:val="00E24EF2"/>
    <w:rsid w:val="00E24F8E"/>
    <w:rsid w:val="00E25620"/>
    <w:rsid w:val="00E25629"/>
    <w:rsid w:val="00E25834"/>
    <w:rsid w:val="00E25A68"/>
    <w:rsid w:val="00E25A80"/>
    <w:rsid w:val="00E2673E"/>
    <w:rsid w:val="00E26C68"/>
    <w:rsid w:val="00E26DDA"/>
    <w:rsid w:val="00E26F3A"/>
    <w:rsid w:val="00E2760C"/>
    <w:rsid w:val="00E27C94"/>
    <w:rsid w:val="00E27D5C"/>
    <w:rsid w:val="00E30050"/>
    <w:rsid w:val="00E3032A"/>
    <w:rsid w:val="00E3048F"/>
    <w:rsid w:val="00E305B3"/>
    <w:rsid w:val="00E30B3B"/>
    <w:rsid w:val="00E30C10"/>
    <w:rsid w:val="00E30FFB"/>
    <w:rsid w:val="00E3154E"/>
    <w:rsid w:val="00E31B0E"/>
    <w:rsid w:val="00E31F73"/>
    <w:rsid w:val="00E31FA8"/>
    <w:rsid w:val="00E32195"/>
    <w:rsid w:val="00E32467"/>
    <w:rsid w:val="00E325DA"/>
    <w:rsid w:val="00E338E3"/>
    <w:rsid w:val="00E33986"/>
    <w:rsid w:val="00E33F65"/>
    <w:rsid w:val="00E34394"/>
    <w:rsid w:val="00E34476"/>
    <w:rsid w:val="00E34B40"/>
    <w:rsid w:val="00E34CCB"/>
    <w:rsid w:val="00E35009"/>
    <w:rsid w:val="00E352A4"/>
    <w:rsid w:val="00E353DD"/>
    <w:rsid w:val="00E353FF"/>
    <w:rsid w:val="00E35564"/>
    <w:rsid w:val="00E355EE"/>
    <w:rsid w:val="00E356CF"/>
    <w:rsid w:val="00E35CE0"/>
    <w:rsid w:val="00E370C8"/>
    <w:rsid w:val="00E37670"/>
    <w:rsid w:val="00E37946"/>
    <w:rsid w:val="00E37B55"/>
    <w:rsid w:val="00E37DE6"/>
    <w:rsid w:val="00E404B1"/>
    <w:rsid w:val="00E40551"/>
    <w:rsid w:val="00E40A58"/>
    <w:rsid w:val="00E40BA8"/>
    <w:rsid w:val="00E40DAE"/>
    <w:rsid w:val="00E411E4"/>
    <w:rsid w:val="00E417C4"/>
    <w:rsid w:val="00E418D3"/>
    <w:rsid w:val="00E420DF"/>
    <w:rsid w:val="00E4293B"/>
    <w:rsid w:val="00E42C09"/>
    <w:rsid w:val="00E43230"/>
    <w:rsid w:val="00E43DF7"/>
    <w:rsid w:val="00E440AD"/>
    <w:rsid w:val="00E440C7"/>
    <w:rsid w:val="00E44881"/>
    <w:rsid w:val="00E44D16"/>
    <w:rsid w:val="00E4523E"/>
    <w:rsid w:val="00E45542"/>
    <w:rsid w:val="00E455BC"/>
    <w:rsid w:val="00E45838"/>
    <w:rsid w:val="00E45961"/>
    <w:rsid w:val="00E45A51"/>
    <w:rsid w:val="00E45A9C"/>
    <w:rsid w:val="00E45D28"/>
    <w:rsid w:val="00E46093"/>
    <w:rsid w:val="00E462ED"/>
    <w:rsid w:val="00E46819"/>
    <w:rsid w:val="00E469EB"/>
    <w:rsid w:val="00E46D33"/>
    <w:rsid w:val="00E47495"/>
    <w:rsid w:val="00E47556"/>
    <w:rsid w:val="00E479C2"/>
    <w:rsid w:val="00E47AED"/>
    <w:rsid w:val="00E47CB4"/>
    <w:rsid w:val="00E501CF"/>
    <w:rsid w:val="00E50264"/>
    <w:rsid w:val="00E5037C"/>
    <w:rsid w:val="00E504E1"/>
    <w:rsid w:val="00E50A6A"/>
    <w:rsid w:val="00E50AF0"/>
    <w:rsid w:val="00E51089"/>
    <w:rsid w:val="00E5109B"/>
    <w:rsid w:val="00E51828"/>
    <w:rsid w:val="00E5190E"/>
    <w:rsid w:val="00E51AC8"/>
    <w:rsid w:val="00E52288"/>
    <w:rsid w:val="00E522F9"/>
    <w:rsid w:val="00E52401"/>
    <w:rsid w:val="00E52FAE"/>
    <w:rsid w:val="00E53401"/>
    <w:rsid w:val="00E5340A"/>
    <w:rsid w:val="00E5375B"/>
    <w:rsid w:val="00E53AED"/>
    <w:rsid w:val="00E53BE2"/>
    <w:rsid w:val="00E5400F"/>
    <w:rsid w:val="00E546E8"/>
    <w:rsid w:val="00E54CD7"/>
    <w:rsid w:val="00E54D4A"/>
    <w:rsid w:val="00E55567"/>
    <w:rsid w:val="00E55B5F"/>
    <w:rsid w:val="00E55C39"/>
    <w:rsid w:val="00E55EE7"/>
    <w:rsid w:val="00E56065"/>
    <w:rsid w:val="00E563E8"/>
    <w:rsid w:val="00E56582"/>
    <w:rsid w:val="00E56669"/>
    <w:rsid w:val="00E56FCF"/>
    <w:rsid w:val="00E5780F"/>
    <w:rsid w:val="00E57991"/>
    <w:rsid w:val="00E57E42"/>
    <w:rsid w:val="00E57F51"/>
    <w:rsid w:val="00E6003E"/>
    <w:rsid w:val="00E60525"/>
    <w:rsid w:val="00E6089C"/>
    <w:rsid w:val="00E60CC5"/>
    <w:rsid w:val="00E6102E"/>
    <w:rsid w:val="00E6177A"/>
    <w:rsid w:val="00E617E7"/>
    <w:rsid w:val="00E61DEF"/>
    <w:rsid w:val="00E621D8"/>
    <w:rsid w:val="00E629AE"/>
    <w:rsid w:val="00E62E0A"/>
    <w:rsid w:val="00E63D9D"/>
    <w:rsid w:val="00E63DA2"/>
    <w:rsid w:val="00E640ED"/>
    <w:rsid w:val="00E644A8"/>
    <w:rsid w:val="00E64DA9"/>
    <w:rsid w:val="00E654AB"/>
    <w:rsid w:val="00E65AEE"/>
    <w:rsid w:val="00E65DAF"/>
    <w:rsid w:val="00E660C0"/>
    <w:rsid w:val="00E664C3"/>
    <w:rsid w:val="00E6666C"/>
    <w:rsid w:val="00E66740"/>
    <w:rsid w:val="00E66CDE"/>
    <w:rsid w:val="00E67731"/>
    <w:rsid w:val="00E70681"/>
    <w:rsid w:val="00E7119E"/>
    <w:rsid w:val="00E71274"/>
    <w:rsid w:val="00E714E3"/>
    <w:rsid w:val="00E71C7F"/>
    <w:rsid w:val="00E71CE0"/>
    <w:rsid w:val="00E7210B"/>
    <w:rsid w:val="00E72282"/>
    <w:rsid w:val="00E722D0"/>
    <w:rsid w:val="00E72BBE"/>
    <w:rsid w:val="00E732DC"/>
    <w:rsid w:val="00E7343B"/>
    <w:rsid w:val="00E73715"/>
    <w:rsid w:val="00E73B41"/>
    <w:rsid w:val="00E741F2"/>
    <w:rsid w:val="00E750A3"/>
    <w:rsid w:val="00E750BC"/>
    <w:rsid w:val="00E751E4"/>
    <w:rsid w:val="00E75674"/>
    <w:rsid w:val="00E756DC"/>
    <w:rsid w:val="00E75B5C"/>
    <w:rsid w:val="00E75DF7"/>
    <w:rsid w:val="00E7685D"/>
    <w:rsid w:val="00E76D05"/>
    <w:rsid w:val="00E76F1D"/>
    <w:rsid w:val="00E77297"/>
    <w:rsid w:val="00E77467"/>
    <w:rsid w:val="00E774EB"/>
    <w:rsid w:val="00E7766A"/>
    <w:rsid w:val="00E77725"/>
    <w:rsid w:val="00E77973"/>
    <w:rsid w:val="00E77CAB"/>
    <w:rsid w:val="00E8009F"/>
    <w:rsid w:val="00E80D08"/>
    <w:rsid w:val="00E81077"/>
    <w:rsid w:val="00E812DA"/>
    <w:rsid w:val="00E828A7"/>
    <w:rsid w:val="00E82AA5"/>
    <w:rsid w:val="00E82B78"/>
    <w:rsid w:val="00E83080"/>
    <w:rsid w:val="00E83157"/>
    <w:rsid w:val="00E8364E"/>
    <w:rsid w:val="00E83B3C"/>
    <w:rsid w:val="00E83EC0"/>
    <w:rsid w:val="00E83EF9"/>
    <w:rsid w:val="00E84D35"/>
    <w:rsid w:val="00E84E4C"/>
    <w:rsid w:val="00E852C0"/>
    <w:rsid w:val="00E855F6"/>
    <w:rsid w:val="00E85871"/>
    <w:rsid w:val="00E859A8"/>
    <w:rsid w:val="00E85B81"/>
    <w:rsid w:val="00E86036"/>
    <w:rsid w:val="00E8619B"/>
    <w:rsid w:val="00E86567"/>
    <w:rsid w:val="00E86675"/>
    <w:rsid w:val="00E86B35"/>
    <w:rsid w:val="00E875DA"/>
    <w:rsid w:val="00E87705"/>
    <w:rsid w:val="00E90476"/>
    <w:rsid w:val="00E905D6"/>
    <w:rsid w:val="00E909A5"/>
    <w:rsid w:val="00E90BA1"/>
    <w:rsid w:val="00E90BFB"/>
    <w:rsid w:val="00E90C70"/>
    <w:rsid w:val="00E90CE7"/>
    <w:rsid w:val="00E90D7F"/>
    <w:rsid w:val="00E9127C"/>
    <w:rsid w:val="00E91A6A"/>
    <w:rsid w:val="00E91AF3"/>
    <w:rsid w:val="00E91DFC"/>
    <w:rsid w:val="00E92442"/>
    <w:rsid w:val="00E924AA"/>
    <w:rsid w:val="00E92AFD"/>
    <w:rsid w:val="00E93477"/>
    <w:rsid w:val="00E93738"/>
    <w:rsid w:val="00E93914"/>
    <w:rsid w:val="00E9461A"/>
    <w:rsid w:val="00E95327"/>
    <w:rsid w:val="00E9535B"/>
    <w:rsid w:val="00E956DF"/>
    <w:rsid w:val="00E9579A"/>
    <w:rsid w:val="00E96266"/>
    <w:rsid w:val="00E96633"/>
    <w:rsid w:val="00E96AF8"/>
    <w:rsid w:val="00E96B10"/>
    <w:rsid w:val="00E96F54"/>
    <w:rsid w:val="00E96F73"/>
    <w:rsid w:val="00E97184"/>
    <w:rsid w:val="00E97440"/>
    <w:rsid w:val="00E97558"/>
    <w:rsid w:val="00E97B53"/>
    <w:rsid w:val="00EA00CB"/>
    <w:rsid w:val="00EA0779"/>
    <w:rsid w:val="00EA0C45"/>
    <w:rsid w:val="00EA0E9B"/>
    <w:rsid w:val="00EA10E6"/>
    <w:rsid w:val="00EA141C"/>
    <w:rsid w:val="00EA1484"/>
    <w:rsid w:val="00EA1545"/>
    <w:rsid w:val="00EA1649"/>
    <w:rsid w:val="00EA1C80"/>
    <w:rsid w:val="00EA1FF2"/>
    <w:rsid w:val="00EA1FFB"/>
    <w:rsid w:val="00EA2321"/>
    <w:rsid w:val="00EA2399"/>
    <w:rsid w:val="00EA248F"/>
    <w:rsid w:val="00EA27CE"/>
    <w:rsid w:val="00EA29EB"/>
    <w:rsid w:val="00EA2F30"/>
    <w:rsid w:val="00EA2FBE"/>
    <w:rsid w:val="00EA3EBA"/>
    <w:rsid w:val="00EA3F3F"/>
    <w:rsid w:val="00EA3F88"/>
    <w:rsid w:val="00EA40C0"/>
    <w:rsid w:val="00EA46D8"/>
    <w:rsid w:val="00EA471E"/>
    <w:rsid w:val="00EA494F"/>
    <w:rsid w:val="00EA4C7E"/>
    <w:rsid w:val="00EA52AF"/>
    <w:rsid w:val="00EA547E"/>
    <w:rsid w:val="00EA59B5"/>
    <w:rsid w:val="00EA6355"/>
    <w:rsid w:val="00EA6649"/>
    <w:rsid w:val="00EA6930"/>
    <w:rsid w:val="00EA69FA"/>
    <w:rsid w:val="00EA6DFD"/>
    <w:rsid w:val="00EA708A"/>
    <w:rsid w:val="00EA71A0"/>
    <w:rsid w:val="00EA7601"/>
    <w:rsid w:val="00EA769E"/>
    <w:rsid w:val="00EA76DB"/>
    <w:rsid w:val="00EA7C04"/>
    <w:rsid w:val="00EA7E0D"/>
    <w:rsid w:val="00EB13CE"/>
    <w:rsid w:val="00EB18FA"/>
    <w:rsid w:val="00EB1D0C"/>
    <w:rsid w:val="00EB1D21"/>
    <w:rsid w:val="00EB1EA4"/>
    <w:rsid w:val="00EB21C4"/>
    <w:rsid w:val="00EB26B0"/>
    <w:rsid w:val="00EB283B"/>
    <w:rsid w:val="00EB2BAD"/>
    <w:rsid w:val="00EB32C5"/>
    <w:rsid w:val="00EB33E0"/>
    <w:rsid w:val="00EB35D6"/>
    <w:rsid w:val="00EB3CF9"/>
    <w:rsid w:val="00EB4431"/>
    <w:rsid w:val="00EB4D23"/>
    <w:rsid w:val="00EB5177"/>
    <w:rsid w:val="00EB5220"/>
    <w:rsid w:val="00EB5253"/>
    <w:rsid w:val="00EB54E3"/>
    <w:rsid w:val="00EB55A1"/>
    <w:rsid w:val="00EB598B"/>
    <w:rsid w:val="00EB6631"/>
    <w:rsid w:val="00EB6AC2"/>
    <w:rsid w:val="00EB6E64"/>
    <w:rsid w:val="00EB7557"/>
    <w:rsid w:val="00EB7787"/>
    <w:rsid w:val="00EB7E66"/>
    <w:rsid w:val="00EC0311"/>
    <w:rsid w:val="00EC03C4"/>
    <w:rsid w:val="00EC0B91"/>
    <w:rsid w:val="00EC104D"/>
    <w:rsid w:val="00EC1A8D"/>
    <w:rsid w:val="00EC1DAD"/>
    <w:rsid w:val="00EC1FF3"/>
    <w:rsid w:val="00EC2366"/>
    <w:rsid w:val="00EC239B"/>
    <w:rsid w:val="00EC29DF"/>
    <w:rsid w:val="00EC3103"/>
    <w:rsid w:val="00EC333B"/>
    <w:rsid w:val="00EC34BD"/>
    <w:rsid w:val="00EC36DD"/>
    <w:rsid w:val="00EC37EE"/>
    <w:rsid w:val="00EC3E73"/>
    <w:rsid w:val="00EC511A"/>
    <w:rsid w:val="00EC5211"/>
    <w:rsid w:val="00EC531C"/>
    <w:rsid w:val="00EC5382"/>
    <w:rsid w:val="00EC54DC"/>
    <w:rsid w:val="00EC55A6"/>
    <w:rsid w:val="00EC5C82"/>
    <w:rsid w:val="00EC5DA9"/>
    <w:rsid w:val="00EC5F12"/>
    <w:rsid w:val="00EC5F29"/>
    <w:rsid w:val="00EC6399"/>
    <w:rsid w:val="00EC664C"/>
    <w:rsid w:val="00EC691D"/>
    <w:rsid w:val="00EC6A27"/>
    <w:rsid w:val="00EC750A"/>
    <w:rsid w:val="00EC755E"/>
    <w:rsid w:val="00EC7CB4"/>
    <w:rsid w:val="00EC7E3A"/>
    <w:rsid w:val="00EC7E45"/>
    <w:rsid w:val="00ED00F4"/>
    <w:rsid w:val="00ED137C"/>
    <w:rsid w:val="00ED177C"/>
    <w:rsid w:val="00ED18AE"/>
    <w:rsid w:val="00ED2390"/>
    <w:rsid w:val="00ED239F"/>
    <w:rsid w:val="00ED328E"/>
    <w:rsid w:val="00ED32AD"/>
    <w:rsid w:val="00ED3472"/>
    <w:rsid w:val="00ED3678"/>
    <w:rsid w:val="00ED3CAD"/>
    <w:rsid w:val="00ED3F34"/>
    <w:rsid w:val="00ED47B7"/>
    <w:rsid w:val="00ED4A4E"/>
    <w:rsid w:val="00ED4B00"/>
    <w:rsid w:val="00ED5A13"/>
    <w:rsid w:val="00ED5DC0"/>
    <w:rsid w:val="00ED5F75"/>
    <w:rsid w:val="00ED60AD"/>
    <w:rsid w:val="00ED613C"/>
    <w:rsid w:val="00ED7A3F"/>
    <w:rsid w:val="00ED7AAC"/>
    <w:rsid w:val="00EE0106"/>
    <w:rsid w:val="00EE04AF"/>
    <w:rsid w:val="00EE0703"/>
    <w:rsid w:val="00EE09A9"/>
    <w:rsid w:val="00EE0CF9"/>
    <w:rsid w:val="00EE0E7A"/>
    <w:rsid w:val="00EE161A"/>
    <w:rsid w:val="00EE2036"/>
    <w:rsid w:val="00EE238C"/>
    <w:rsid w:val="00EE2511"/>
    <w:rsid w:val="00EE3015"/>
    <w:rsid w:val="00EE337D"/>
    <w:rsid w:val="00EE3D57"/>
    <w:rsid w:val="00EE4A3C"/>
    <w:rsid w:val="00EE4D5F"/>
    <w:rsid w:val="00EE4EA1"/>
    <w:rsid w:val="00EE571D"/>
    <w:rsid w:val="00EE5A10"/>
    <w:rsid w:val="00EE5BF6"/>
    <w:rsid w:val="00EE5E1D"/>
    <w:rsid w:val="00EE5F3B"/>
    <w:rsid w:val="00EE60FC"/>
    <w:rsid w:val="00EE61C1"/>
    <w:rsid w:val="00EE7156"/>
    <w:rsid w:val="00EE745F"/>
    <w:rsid w:val="00EE7A5A"/>
    <w:rsid w:val="00EE7A95"/>
    <w:rsid w:val="00EE7C4B"/>
    <w:rsid w:val="00EF0BFA"/>
    <w:rsid w:val="00EF0C4B"/>
    <w:rsid w:val="00EF0CE3"/>
    <w:rsid w:val="00EF0D27"/>
    <w:rsid w:val="00EF0EC4"/>
    <w:rsid w:val="00EF1259"/>
    <w:rsid w:val="00EF12A6"/>
    <w:rsid w:val="00EF1E7A"/>
    <w:rsid w:val="00EF262F"/>
    <w:rsid w:val="00EF28B2"/>
    <w:rsid w:val="00EF2B35"/>
    <w:rsid w:val="00EF338F"/>
    <w:rsid w:val="00EF3403"/>
    <w:rsid w:val="00EF342B"/>
    <w:rsid w:val="00EF3546"/>
    <w:rsid w:val="00EF35BB"/>
    <w:rsid w:val="00EF3CF9"/>
    <w:rsid w:val="00EF4228"/>
    <w:rsid w:val="00EF4ADA"/>
    <w:rsid w:val="00EF5128"/>
    <w:rsid w:val="00EF533E"/>
    <w:rsid w:val="00EF53BB"/>
    <w:rsid w:val="00EF54A1"/>
    <w:rsid w:val="00EF5B84"/>
    <w:rsid w:val="00EF5ED6"/>
    <w:rsid w:val="00EF6355"/>
    <w:rsid w:val="00EF6503"/>
    <w:rsid w:val="00EF65B3"/>
    <w:rsid w:val="00EF6903"/>
    <w:rsid w:val="00EF6FD7"/>
    <w:rsid w:val="00EF7125"/>
    <w:rsid w:val="00EF73C6"/>
    <w:rsid w:val="00EF7445"/>
    <w:rsid w:val="00EF7760"/>
    <w:rsid w:val="00EF79AC"/>
    <w:rsid w:val="00F00476"/>
    <w:rsid w:val="00F007A2"/>
    <w:rsid w:val="00F01662"/>
    <w:rsid w:val="00F01AC6"/>
    <w:rsid w:val="00F01C98"/>
    <w:rsid w:val="00F01FFF"/>
    <w:rsid w:val="00F020CF"/>
    <w:rsid w:val="00F02931"/>
    <w:rsid w:val="00F029FD"/>
    <w:rsid w:val="00F0334D"/>
    <w:rsid w:val="00F03B9B"/>
    <w:rsid w:val="00F03C76"/>
    <w:rsid w:val="00F03F25"/>
    <w:rsid w:val="00F0438D"/>
    <w:rsid w:val="00F0442D"/>
    <w:rsid w:val="00F04671"/>
    <w:rsid w:val="00F04CF4"/>
    <w:rsid w:val="00F05363"/>
    <w:rsid w:val="00F05831"/>
    <w:rsid w:val="00F05FE0"/>
    <w:rsid w:val="00F06596"/>
    <w:rsid w:val="00F065C2"/>
    <w:rsid w:val="00F06A7D"/>
    <w:rsid w:val="00F06DD1"/>
    <w:rsid w:val="00F06F78"/>
    <w:rsid w:val="00F0748D"/>
    <w:rsid w:val="00F07573"/>
    <w:rsid w:val="00F079C2"/>
    <w:rsid w:val="00F07B51"/>
    <w:rsid w:val="00F07D90"/>
    <w:rsid w:val="00F10089"/>
    <w:rsid w:val="00F100CA"/>
    <w:rsid w:val="00F1021B"/>
    <w:rsid w:val="00F10649"/>
    <w:rsid w:val="00F1078C"/>
    <w:rsid w:val="00F11172"/>
    <w:rsid w:val="00F117AF"/>
    <w:rsid w:val="00F11819"/>
    <w:rsid w:val="00F1197B"/>
    <w:rsid w:val="00F11F59"/>
    <w:rsid w:val="00F1211A"/>
    <w:rsid w:val="00F12403"/>
    <w:rsid w:val="00F129EF"/>
    <w:rsid w:val="00F12F39"/>
    <w:rsid w:val="00F130DA"/>
    <w:rsid w:val="00F13136"/>
    <w:rsid w:val="00F131D3"/>
    <w:rsid w:val="00F13617"/>
    <w:rsid w:val="00F13A77"/>
    <w:rsid w:val="00F13C41"/>
    <w:rsid w:val="00F13E87"/>
    <w:rsid w:val="00F14434"/>
    <w:rsid w:val="00F1496F"/>
    <w:rsid w:val="00F14A2F"/>
    <w:rsid w:val="00F14E1C"/>
    <w:rsid w:val="00F15895"/>
    <w:rsid w:val="00F15A19"/>
    <w:rsid w:val="00F15CD7"/>
    <w:rsid w:val="00F1676C"/>
    <w:rsid w:val="00F1701B"/>
    <w:rsid w:val="00F170E8"/>
    <w:rsid w:val="00F174C1"/>
    <w:rsid w:val="00F176D8"/>
    <w:rsid w:val="00F17AAB"/>
    <w:rsid w:val="00F17B32"/>
    <w:rsid w:val="00F2038B"/>
    <w:rsid w:val="00F21008"/>
    <w:rsid w:val="00F21B67"/>
    <w:rsid w:val="00F21B8D"/>
    <w:rsid w:val="00F21F1D"/>
    <w:rsid w:val="00F22093"/>
    <w:rsid w:val="00F22755"/>
    <w:rsid w:val="00F22913"/>
    <w:rsid w:val="00F2352C"/>
    <w:rsid w:val="00F2391C"/>
    <w:rsid w:val="00F24371"/>
    <w:rsid w:val="00F244C2"/>
    <w:rsid w:val="00F247D9"/>
    <w:rsid w:val="00F24A3D"/>
    <w:rsid w:val="00F251F2"/>
    <w:rsid w:val="00F257CB"/>
    <w:rsid w:val="00F25850"/>
    <w:rsid w:val="00F25A91"/>
    <w:rsid w:val="00F25B51"/>
    <w:rsid w:val="00F2616B"/>
    <w:rsid w:val="00F261FA"/>
    <w:rsid w:val="00F26809"/>
    <w:rsid w:val="00F26B05"/>
    <w:rsid w:val="00F27279"/>
    <w:rsid w:val="00F2776E"/>
    <w:rsid w:val="00F27F6C"/>
    <w:rsid w:val="00F30263"/>
    <w:rsid w:val="00F30329"/>
    <w:rsid w:val="00F30631"/>
    <w:rsid w:val="00F307E4"/>
    <w:rsid w:val="00F316BB"/>
    <w:rsid w:val="00F31CFE"/>
    <w:rsid w:val="00F32191"/>
    <w:rsid w:val="00F32639"/>
    <w:rsid w:val="00F327E5"/>
    <w:rsid w:val="00F32B2B"/>
    <w:rsid w:val="00F32D60"/>
    <w:rsid w:val="00F330B5"/>
    <w:rsid w:val="00F33F56"/>
    <w:rsid w:val="00F34112"/>
    <w:rsid w:val="00F34587"/>
    <w:rsid w:val="00F34F44"/>
    <w:rsid w:val="00F35177"/>
    <w:rsid w:val="00F3517B"/>
    <w:rsid w:val="00F3550F"/>
    <w:rsid w:val="00F356CA"/>
    <w:rsid w:val="00F35ED8"/>
    <w:rsid w:val="00F361F4"/>
    <w:rsid w:val="00F3624F"/>
    <w:rsid w:val="00F363EE"/>
    <w:rsid w:val="00F370F0"/>
    <w:rsid w:val="00F37170"/>
    <w:rsid w:val="00F37200"/>
    <w:rsid w:val="00F373D6"/>
    <w:rsid w:val="00F37553"/>
    <w:rsid w:val="00F37696"/>
    <w:rsid w:val="00F37826"/>
    <w:rsid w:val="00F37841"/>
    <w:rsid w:val="00F37B25"/>
    <w:rsid w:val="00F37B46"/>
    <w:rsid w:val="00F37F92"/>
    <w:rsid w:val="00F400DB"/>
    <w:rsid w:val="00F403EF"/>
    <w:rsid w:val="00F40566"/>
    <w:rsid w:val="00F40A63"/>
    <w:rsid w:val="00F40AFF"/>
    <w:rsid w:val="00F40C4C"/>
    <w:rsid w:val="00F40E24"/>
    <w:rsid w:val="00F40F2F"/>
    <w:rsid w:val="00F41606"/>
    <w:rsid w:val="00F41850"/>
    <w:rsid w:val="00F419C2"/>
    <w:rsid w:val="00F41A4E"/>
    <w:rsid w:val="00F41BA9"/>
    <w:rsid w:val="00F41EF9"/>
    <w:rsid w:val="00F42646"/>
    <w:rsid w:val="00F428E0"/>
    <w:rsid w:val="00F42DC3"/>
    <w:rsid w:val="00F43281"/>
    <w:rsid w:val="00F436B7"/>
    <w:rsid w:val="00F43D7A"/>
    <w:rsid w:val="00F43E82"/>
    <w:rsid w:val="00F43E8A"/>
    <w:rsid w:val="00F43FFE"/>
    <w:rsid w:val="00F440A1"/>
    <w:rsid w:val="00F44D27"/>
    <w:rsid w:val="00F44EF9"/>
    <w:rsid w:val="00F45BB4"/>
    <w:rsid w:val="00F45BB6"/>
    <w:rsid w:val="00F465A1"/>
    <w:rsid w:val="00F46919"/>
    <w:rsid w:val="00F472D7"/>
    <w:rsid w:val="00F47300"/>
    <w:rsid w:val="00F47D81"/>
    <w:rsid w:val="00F47DF0"/>
    <w:rsid w:val="00F502D2"/>
    <w:rsid w:val="00F5032E"/>
    <w:rsid w:val="00F50487"/>
    <w:rsid w:val="00F50CAF"/>
    <w:rsid w:val="00F51034"/>
    <w:rsid w:val="00F51616"/>
    <w:rsid w:val="00F52657"/>
    <w:rsid w:val="00F52920"/>
    <w:rsid w:val="00F52D80"/>
    <w:rsid w:val="00F532A0"/>
    <w:rsid w:val="00F532F4"/>
    <w:rsid w:val="00F53432"/>
    <w:rsid w:val="00F536A9"/>
    <w:rsid w:val="00F53AB6"/>
    <w:rsid w:val="00F53BA5"/>
    <w:rsid w:val="00F53C57"/>
    <w:rsid w:val="00F54541"/>
    <w:rsid w:val="00F54605"/>
    <w:rsid w:val="00F553AC"/>
    <w:rsid w:val="00F55756"/>
    <w:rsid w:val="00F558AF"/>
    <w:rsid w:val="00F55B73"/>
    <w:rsid w:val="00F56018"/>
    <w:rsid w:val="00F562ED"/>
    <w:rsid w:val="00F56A71"/>
    <w:rsid w:val="00F56F2D"/>
    <w:rsid w:val="00F56FFD"/>
    <w:rsid w:val="00F575B5"/>
    <w:rsid w:val="00F576CF"/>
    <w:rsid w:val="00F5776B"/>
    <w:rsid w:val="00F57889"/>
    <w:rsid w:val="00F578A4"/>
    <w:rsid w:val="00F578B1"/>
    <w:rsid w:val="00F57E17"/>
    <w:rsid w:val="00F60867"/>
    <w:rsid w:val="00F61100"/>
    <w:rsid w:val="00F61144"/>
    <w:rsid w:val="00F61267"/>
    <w:rsid w:val="00F61458"/>
    <w:rsid w:val="00F61CEA"/>
    <w:rsid w:val="00F62536"/>
    <w:rsid w:val="00F62852"/>
    <w:rsid w:val="00F6340A"/>
    <w:rsid w:val="00F642D0"/>
    <w:rsid w:val="00F6505E"/>
    <w:rsid w:val="00F655B1"/>
    <w:rsid w:val="00F65620"/>
    <w:rsid w:val="00F65C49"/>
    <w:rsid w:val="00F65F8E"/>
    <w:rsid w:val="00F66220"/>
    <w:rsid w:val="00F662AE"/>
    <w:rsid w:val="00F66484"/>
    <w:rsid w:val="00F664AB"/>
    <w:rsid w:val="00F66898"/>
    <w:rsid w:val="00F66B99"/>
    <w:rsid w:val="00F66D13"/>
    <w:rsid w:val="00F66FAD"/>
    <w:rsid w:val="00F6737D"/>
    <w:rsid w:val="00F67979"/>
    <w:rsid w:val="00F67A10"/>
    <w:rsid w:val="00F67E1D"/>
    <w:rsid w:val="00F67E1E"/>
    <w:rsid w:val="00F7022A"/>
    <w:rsid w:val="00F7023D"/>
    <w:rsid w:val="00F70394"/>
    <w:rsid w:val="00F7044A"/>
    <w:rsid w:val="00F7056A"/>
    <w:rsid w:val="00F70F71"/>
    <w:rsid w:val="00F71315"/>
    <w:rsid w:val="00F71DE2"/>
    <w:rsid w:val="00F71FD9"/>
    <w:rsid w:val="00F727E2"/>
    <w:rsid w:val="00F72A64"/>
    <w:rsid w:val="00F72BFA"/>
    <w:rsid w:val="00F72C7F"/>
    <w:rsid w:val="00F72D5E"/>
    <w:rsid w:val="00F73086"/>
    <w:rsid w:val="00F7341D"/>
    <w:rsid w:val="00F73C75"/>
    <w:rsid w:val="00F73EB6"/>
    <w:rsid w:val="00F74615"/>
    <w:rsid w:val="00F7567D"/>
    <w:rsid w:val="00F765DC"/>
    <w:rsid w:val="00F7665B"/>
    <w:rsid w:val="00F76FED"/>
    <w:rsid w:val="00F771CF"/>
    <w:rsid w:val="00F77BF6"/>
    <w:rsid w:val="00F77DC0"/>
    <w:rsid w:val="00F8065C"/>
    <w:rsid w:val="00F80818"/>
    <w:rsid w:val="00F808DC"/>
    <w:rsid w:val="00F810F5"/>
    <w:rsid w:val="00F81331"/>
    <w:rsid w:val="00F81753"/>
    <w:rsid w:val="00F81790"/>
    <w:rsid w:val="00F81929"/>
    <w:rsid w:val="00F8197F"/>
    <w:rsid w:val="00F819EA"/>
    <w:rsid w:val="00F82456"/>
    <w:rsid w:val="00F828C1"/>
    <w:rsid w:val="00F83081"/>
    <w:rsid w:val="00F83325"/>
    <w:rsid w:val="00F83739"/>
    <w:rsid w:val="00F83BDB"/>
    <w:rsid w:val="00F84224"/>
    <w:rsid w:val="00F84F63"/>
    <w:rsid w:val="00F855B4"/>
    <w:rsid w:val="00F85F08"/>
    <w:rsid w:val="00F866F6"/>
    <w:rsid w:val="00F8676E"/>
    <w:rsid w:val="00F86BEF"/>
    <w:rsid w:val="00F86BF4"/>
    <w:rsid w:val="00F86CF8"/>
    <w:rsid w:val="00F86E9B"/>
    <w:rsid w:val="00F876FE"/>
    <w:rsid w:val="00F87C04"/>
    <w:rsid w:val="00F87F7F"/>
    <w:rsid w:val="00F903CD"/>
    <w:rsid w:val="00F90680"/>
    <w:rsid w:val="00F90CD0"/>
    <w:rsid w:val="00F912AD"/>
    <w:rsid w:val="00F91FAB"/>
    <w:rsid w:val="00F9245F"/>
    <w:rsid w:val="00F92B58"/>
    <w:rsid w:val="00F92BC9"/>
    <w:rsid w:val="00F93626"/>
    <w:rsid w:val="00F9379A"/>
    <w:rsid w:val="00F942D7"/>
    <w:rsid w:val="00F949E7"/>
    <w:rsid w:val="00F94A7D"/>
    <w:rsid w:val="00F95062"/>
    <w:rsid w:val="00F952BA"/>
    <w:rsid w:val="00F95657"/>
    <w:rsid w:val="00F95DCD"/>
    <w:rsid w:val="00F962AA"/>
    <w:rsid w:val="00F965AA"/>
    <w:rsid w:val="00F97301"/>
    <w:rsid w:val="00F9731D"/>
    <w:rsid w:val="00F97A57"/>
    <w:rsid w:val="00F97D7D"/>
    <w:rsid w:val="00FA0591"/>
    <w:rsid w:val="00FA05D4"/>
    <w:rsid w:val="00FA0FE5"/>
    <w:rsid w:val="00FA1524"/>
    <w:rsid w:val="00FA1620"/>
    <w:rsid w:val="00FA189E"/>
    <w:rsid w:val="00FA19B7"/>
    <w:rsid w:val="00FA24A9"/>
    <w:rsid w:val="00FA2730"/>
    <w:rsid w:val="00FA2C52"/>
    <w:rsid w:val="00FA2D3C"/>
    <w:rsid w:val="00FA3670"/>
    <w:rsid w:val="00FA372F"/>
    <w:rsid w:val="00FA3758"/>
    <w:rsid w:val="00FA3892"/>
    <w:rsid w:val="00FA3BFB"/>
    <w:rsid w:val="00FA40B4"/>
    <w:rsid w:val="00FA4234"/>
    <w:rsid w:val="00FA4681"/>
    <w:rsid w:val="00FA47E6"/>
    <w:rsid w:val="00FA4CBF"/>
    <w:rsid w:val="00FA513D"/>
    <w:rsid w:val="00FA6416"/>
    <w:rsid w:val="00FA680E"/>
    <w:rsid w:val="00FA69FF"/>
    <w:rsid w:val="00FA6D78"/>
    <w:rsid w:val="00FA7448"/>
    <w:rsid w:val="00FA7481"/>
    <w:rsid w:val="00FA7593"/>
    <w:rsid w:val="00FA7BCC"/>
    <w:rsid w:val="00FB002A"/>
    <w:rsid w:val="00FB0C16"/>
    <w:rsid w:val="00FB1764"/>
    <w:rsid w:val="00FB1B1E"/>
    <w:rsid w:val="00FB2029"/>
    <w:rsid w:val="00FB221A"/>
    <w:rsid w:val="00FB2281"/>
    <w:rsid w:val="00FB23C9"/>
    <w:rsid w:val="00FB28EF"/>
    <w:rsid w:val="00FB2F1D"/>
    <w:rsid w:val="00FB38BC"/>
    <w:rsid w:val="00FB3C5F"/>
    <w:rsid w:val="00FB3DD0"/>
    <w:rsid w:val="00FB4A83"/>
    <w:rsid w:val="00FB4C09"/>
    <w:rsid w:val="00FB5A29"/>
    <w:rsid w:val="00FB63BF"/>
    <w:rsid w:val="00FB6410"/>
    <w:rsid w:val="00FB65BB"/>
    <w:rsid w:val="00FB6A4B"/>
    <w:rsid w:val="00FB6FBB"/>
    <w:rsid w:val="00FB71D4"/>
    <w:rsid w:val="00FB723A"/>
    <w:rsid w:val="00FB7535"/>
    <w:rsid w:val="00FB7878"/>
    <w:rsid w:val="00FB796F"/>
    <w:rsid w:val="00FB7E71"/>
    <w:rsid w:val="00FB7F80"/>
    <w:rsid w:val="00FC03AD"/>
    <w:rsid w:val="00FC0528"/>
    <w:rsid w:val="00FC0868"/>
    <w:rsid w:val="00FC1647"/>
    <w:rsid w:val="00FC1BC7"/>
    <w:rsid w:val="00FC20A6"/>
    <w:rsid w:val="00FC226C"/>
    <w:rsid w:val="00FC2D09"/>
    <w:rsid w:val="00FC3455"/>
    <w:rsid w:val="00FC3656"/>
    <w:rsid w:val="00FC4344"/>
    <w:rsid w:val="00FC43AF"/>
    <w:rsid w:val="00FC465D"/>
    <w:rsid w:val="00FC4A26"/>
    <w:rsid w:val="00FC4B47"/>
    <w:rsid w:val="00FC4EBF"/>
    <w:rsid w:val="00FC5B92"/>
    <w:rsid w:val="00FC60A4"/>
    <w:rsid w:val="00FC697D"/>
    <w:rsid w:val="00FC70BC"/>
    <w:rsid w:val="00FC72F3"/>
    <w:rsid w:val="00FC73D4"/>
    <w:rsid w:val="00FC785B"/>
    <w:rsid w:val="00FD0678"/>
    <w:rsid w:val="00FD0C9F"/>
    <w:rsid w:val="00FD0CC2"/>
    <w:rsid w:val="00FD0E8A"/>
    <w:rsid w:val="00FD0EE6"/>
    <w:rsid w:val="00FD13FA"/>
    <w:rsid w:val="00FD14F1"/>
    <w:rsid w:val="00FD16F0"/>
    <w:rsid w:val="00FD19B3"/>
    <w:rsid w:val="00FD1A40"/>
    <w:rsid w:val="00FD222D"/>
    <w:rsid w:val="00FD2AD7"/>
    <w:rsid w:val="00FD3997"/>
    <w:rsid w:val="00FD3A17"/>
    <w:rsid w:val="00FD4095"/>
    <w:rsid w:val="00FD4286"/>
    <w:rsid w:val="00FD4B4B"/>
    <w:rsid w:val="00FD4E06"/>
    <w:rsid w:val="00FD4FB6"/>
    <w:rsid w:val="00FD5148"/>
    <w:rsid w:val="00FD5420"/>
    <w:rsid w:val="00FD5561"/>
    <w:rsid w:val="00FD57F9"/>
    <w:rsid w:val="00FD62F1"/>
    <w:rsid w:val="00FD67BA"/>
    <w:rsid w:val="00FD68D5"/>
    <w:rsid w:val="00FD6F1D"/>
    <w:rsid w:val="00FD74DE"/>
    <w:rsid w:val="00FD7773"/>
    <w:rsid w:val="00FD794E"/>
    <w:rsid w:val="00FE046F"/>
    <w:rsid w:val="00FE073E"/>
    <w:rsid w:val="00FE0E57"/>
    <w:rsid w:val="00FE1314"/>
    <w:rsid w:val="00FE1A36"/>
    <w:rsid w:val="00FE1C29"/>
    <w:rsid w:val="00FE1FB2"/>
    <w:rsid w:val="00FE200B"/>
    <w:rsid w:val="00FE2442"/>
    <w:rsid w:val="00FE30B6"/>
    <w:rsid w:val="00FE33E1"/>
    <w:rsid w:val="00FE38D1"/>
    <w:rsid w:val="00FE3A34"/>
    <w:rsid w:val="00FE4AC6"/>
    <w:rsid w:val="00FE54D9"/>
    <w:rsid w:val="00FE5AE2"/>
    <w:rsid w:val="00FE5CFD"/>
    <w:rsid w:val="00FE5DE4"/>
    <w:rsid w:val="00FE5F72"/>
    <w:rsid w:val="00FE60F4"/>
    <w:rsid w:val="00FE6164"/>
    <w:rsid w:val="00FE62BC"/>
    <w:rsid w:val="00FE6AE1"/>
    <w:rsid w:val="00FE7022"/>
    <w:rsid w:val="00FE7669"/>
    <w:rsid w:val="00FE7C14"/>
    <w:rsid w:val="00FF0726"/>
    <w:rsid w:val="00FF09CC"/>
    <w:rsid w:val="00FF09E0"/>
    <w:rsid w:val="00FF0B9C"/>
    <w:rsid w:val="00FF1271"/>
    <w:rsid w:val="00FF1736"/>
    <w:rsid w:val="00FF183B"/>
    <w:rsid w:val="00FF1886"/>
    <w:rsid w:val="00FF1F12"/>
    <w:rsid w:val="00FF2177"/>
    <w:rsid w:val="00FF2358"/>
    <w:rsid w:val="00FF23E5"/>
    <w:rsid w:val="00FF27AD"/>
    <w:rsid w:val="00FF2BF5"/>
    <w:rsid w:val="00FF381B"/>
    <w:rsid w:val="00FF3BC0"/>
    <w:rsid w:val="00FF3D5D"/>
    <w:rsid w:val="00FF42CE"/>
    <w:rsid w:val="00FF459D"/>
    <w:rsid w:val="00FF489E"/>
    <w:rsid w:val="00FF4DA6"/>
    <w:rsid w:val="00FF5A88"/>
    <w:rsid w:val="00FF5B24"/>
    <w:rsid w:val="00FF6A3D"/>
    <w:rsid w:val="00FF7037"/>
    <w:rsid w:val="00FF70A8"/>
    <w:rsid w:val="00FF77AD"/>
    <w:rsid w:val="011C4016"/>
    <w:rsid w:val="021A25B1"/>
    <w:rsid w:val="03490C91"/>
    <w:rsid w:val="05A772D4"/>
    <w:rsid w:val="06CC4509"/>
    <w:rsid w:val="096E622E"/>
    <w:rsid w:val="0BBB2DCC"/>
    <w:rsid w:val="0C082F32"/>
    <w:rsid w:val="11420BBF"/>
    <w:rsid w:val="1262296B"/>
    <w:rsid w:val="1AFE12C4"/>
    <w:rsid w:val="1BA35578"/>
    <w:rsid w:val="1C2C1601"/>
    <w:rsid w:val="1F544100"/>
    <w:rsid w:val="209B66A0"/>
    <w:rsid w:val="22FD3CF7"/>
    <w:rsid w:val="245840FC"/>
    <w:rsid w:val="2936465A"/>
    <w:rsid w:val="2CAC286A"/>
    <w:rsid w:val="2E442F76"/>
    <w:rsid w:val="2EF91E1F"/>
    <w:rsid w:val="2F2F7581"/>
    <w:rsid w:val="2F3A51EA"/>
    <w:rsid w:val="31A11CF2"/>
    <w:rsid w:val="32C90E73"/>
    <w:rsid w:val="368D0A96"/>
    <w:rsid w:val="380F20AB"/>
    <w:rsid w:val="383D449E"/>
    <w:rsid w:val="385F5313"/>
    <w:rsid w:val="3C1942F7"/>
    <w:rsid w:val="3CBD0CFF"/>
    <w:rsid w:val="3EF129BC"/>
    <w:rsid w:val="4EA62F4C"/>
    <w:rsid w:val="53EC2E48"/>
    <w:rsid w:val="54FE72D7"/>
    <w:rsid w:val="55CE2806"/>
    <w:rsid w:val="58F76517"/>
    <w:rsid w:val="5E3873B6"/>
    <w:rsid w:val="5F337039"/>
    <w:rsid w:val="60C37EC3"/>
    <w:rsid w:val="62270CAB"/>
    <w:rsid w:val="646B40D3"/>
    <w:rsid w:val="66826200"/>
    <w:rsid w:val="69C0001D"/>
    <w:rsid w:val="717604C9"/>
    <w:rsid w:val="73775E44"/>
    <w:rsid w:val="74DD2410"/>
    <w:rsid w:val="76841F56"/>
    <w:rsid w:val="7845753B"/>
    <w:rsid w:val="79D51B05"/>
    <w:rsid w:val="7B223D6B"/>
    <w:rsid w:val="7D5316BF"/>
    <w:rsid w:val="7DE05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99"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480" w:firstLineChars="200"/>
      <w:jc w:val="both"/>
    </w:pPr>
    <w:rPr>
      <w:rFonts w:ascii="宋体" w:hAnsi="宋体" w:eastAsia="宋体" w:cstheme="minorBidi"/>
      <w:kern w:val="2"/>
      <w:sz w:val="24"/>
      <w:szCs w:val="22"/>
      <w:lang w:val="en-US" w:eastAsia="zh-CN" w:bidi="ar-SA"/>
      <w14:ligatures w14:val="none"/>
    </w:rPr>
  </w:style>
  <w:style w:type="paragraph" w:styleId="2">
    <w:name w:val="heading 1"/>
    <w:basedOn w:val="1"/>
    <w:next w:val="1"/>
    <w:link w:val="47"/>
    <w:qFormat/>
    <w:uiPriority w:val="0"/>
    <w:pPr>
      <w:keepNext/>
      <w:keepLines/>
      <w:spacing w:before="340" w:after="330" w:line="578" w:lineRule="auto"/>
      <w:outlineLvl w:val="0"/>
    </w:pPr>
    <w:rPr>
      <w:b/>
      <w:bCs/>
      <w:kern w:val="44"/>
      <w:sz w:val="44"/>
      <w:szCs w:val="44"/>
    </w:rPr>
  </w:style>
  <w:style w:type="paragraph" w:styleId="3">
    <w:name w:val="heading 2"/>
    <w:basedOn w:val="1"/>
    <w:next w:val="4"/>
    <w:qFormat/>
    <w:uiPriority w:val="0"/>
    <w:pPr>
      <w:keepNext/>
      <w:keepLines/>
      <w:spacing w:before="120" w:after="120"/>
      <w:ind w:firstLine="641"/>
      <w:outlineLvl w:val="1"/>
    </w:pPr>
    <w:rPr>
      <w:rFonts w:ascii="Arial" w:hAnsi="Arial" w:eastAsia="黑体"/>
      <w:b/>
      <w:sz w:val="32"/>
      <w:szCs w:val="20"/>
    </w:rPr>
  </w:style>
  <w:style w:type="paragraph" w:styleId="5">
    <w:name w:val="heading 3"/>
    <w:basedOn w:val="1"/>
    <w:next w:val="4"/>
    <w:qFormat/>
    <w:uiPriority w:val="9"/>
    <w:pPr>
      <w:keepNext/>
      <w:keepLines/>
      <w:spacing w:before="120"/>
      <w:outlineLvl w:val="2"/>
    </w:pPr>
    <w:rPr>
      <w:rFonts w:eastAsia="黑体"/>
      <w:b/>
      <w:sz w:val="30"/>
      <w:szCs w:val="20"/>
    </w:rPr>
  </w:style>
  <w:style w:type="paragraph" w:styleId="6">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after="290" w:line="376" w:lineRule="auto"/>
      <w:outlineLvl w:val="4"/>
    </w:pPr>
    <w:rPr>
      <w:b/>
      <w:bCs/>
      <w:sz w:val="28"/>
      <w:szCs w:val="28"/>
    </w:rPr>
  </w:style>
  <w:style w:type="character" w:default="1" w:styleId="39">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48"/>
    <w:qFormat/>
    <w:uiPriority w:val="0"/>
    <w:pPr>
      <w:spacing w:line="240" w:lineRule="auto"/>
      <w:ind w:firstLine="420"/>
    </w:pPr>
    <w:rPr>
      <w:sz w:val="21"/>
      <w:szCs w:val="20"/>
    </w:rPr>
  </w:style>
  <w:style w:type="paragraph" w:styleId="8">
    <w:name w:val="toc 7"/>
    <w:basedOn w:val="1"/>
    <w:next w:val="1"/>
    <w:autoRedefine/>
    <w:qFormat/>
    <w:uiPriority w:val="39"/>
    <w:pPr>
      <w:ind w:left="1440"/>
      <w:jc w:val="left"/>
    </w:pPr>
    <w:rPr>
      <w:sz w:val="18"/>
      <w:szCs w:val="18"/>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Body Text"/>
    <w:basedOn w:val="1"/>
    <w:qFormat/>
    <w:uiPriority w:val="0"/>
    <w:pPr>
      <w:spacing w:after="120" w:line="240" w:lineRule="auto"/>
    </w:pPr>
    <w:rPr>
      <w:sz w:val="21"/>
      <w:szCs w:val="20"/>
    </w:rPr>
  </w:style>
  <w:style w:type="paragraph" w:styleId="12">
    <w:name w:val="Body Text Indent"/>
    <w:basedOn w:val="1"/>
    <w:qFormat/>
    <w:uiPriority w:val="0"/>
    <w:pPr>
      <w:spacing w:beforeLines="50" w:line="440" w:lineRule="exact"/>
      <w:ind w:firstLine="420"/>
    </w:pPr>
    <w:rPr>
      <w:rFonts w:ascii="Arial" w:hAnsi="Arial" w:eastAsia="仿宋_GB2312"/>
      <w:sz w:val="28"/>
      <w:szCs w:val="28"/>
    </w:rPr>
  </w:style>
  <w:style w:type="paragraph" w:styleId="13">
    <w:name w:val="toc 5"/>
    <w:basedOn w:val="1"/>
    <w:next w:val="1"/>
    <w:autoRedefine/>
    <w:qFormat/>
    <w:uiPriority w:val="39"/>
    <w:pPr>
      <w:ind w:left="960"/>
      <w:jc w:val="left"/>
    </w:pPr>
    <w:rPr>
      <w:sz w:val="18"/>
      <w:szCs w:val="18"/>
    </w:rPr>
  </w:style>
  <w:style w:type="paragraph" w:styleId="14">
    <w:name w:val="toc 3"/>
    <w:basedOn w:val="1"/>
    <w:next w:val="1"/>
    <w:autoRedefine/>
    <w:qFormat/>
    <w:uiPriority w:val="39"/>
    <w:pPr>
      <w:tabs>
        <w:tab w:val="right" w:leader="dot" w:pos="8297"/>
      </w:tabs>
      <w:ind w:left="480" w:firstLine="86" w:firstLineChars="36"/>
      <w:jc w:val="left"/>
    </w:pPr>
    <w:rPr>
      <w:iCs/>
      <w:szCs w:val="20"/>
    </w:rPr>
  </w:style>
  <w:style w:type="paragraph" w:styleId="15">
    <w:name w:val="Plain Text"/>
    <w:basedOn w:val="1"/>
    <w:link w:val="50"/>
    <w:qFormat/>
    <w:uiPriority w:val="99"/>
    <w:pPr>
      <w:spacing w:line="240" w:lineRule="auto"/>
    </w:pPr>
    <w:rPr>
      <w:rFonts w:hAnsi="Courier New"/>
      <w:sz w:val="21"/>
      <w:szCs w:val="21"/>
    </w:rPr>
  </w:style>
  <w:style w:type="paragraph" w:styleId="16">
    <w:name w:val="toc 8"/>
    <w:basedOn w:val="1"/>
    <w:next w:val="1"/>
    <w:autoRedefine/>
    <w:qFormat/>
    <w:uiPriority w:val="39"/>
    <w:pPr>
      <w:ind w:left="1680"/>
      <w:jc w:val="left"/>
    </w:pPr>
    <w:rPr>
      <w:sz w:val="18"/>
      <w:szCs w:val="18"/>
    </w:rPr>
  </w:style>
  <w:style w:type="paragraph" w:styleId="17">
    <w:name w:val="Date"/>
    <w:basedOn w:val="1"/>
    <w:next w:val="1"/>
    <w:link w:val="72"/>
    <w:qFormat/>
    <w:uiPriority w:val="0"/>
    <w:pPr>
      <w:spacing w:line="240" w:lineRule="auto"/>
    </w:pPr>
    <w:rPr>
      <w:szCs w:val="20"/>
    </w:rPr>
  </w:style>
  <w:style w:type="paragraph" w:styleId="18">
    <w:name w:val="Body Text Indent 2"/>
    <w:basedOn w:val="1"/>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qFormat/>
    <w:uiPriority w:val="0"/>
    <w:pPr>
      <w:tabs>
        <w:tab w:val="center" w:pos="4153"/>
        <w:tab w:val="right" w:pos="8306"/>
      </w:tabs>
      <w:spacing w:line="240" w:lineRule="auto"/>
      <w:jc w:val="left"/>
    </w:pPr>
    <w:rPr>
      <w:sz w:val="18"/>
      <w:szCs w:val="18"/>
    </w:rPr>
  </w:style>
  <w:style w:type="paragraph" w:styleId="21">
    <w:name w:val="header"/>
    <w:basedOn w:val="1"/>
    <w:link w:val="77"/>
    <w:qFormat/>
    <w:uiPriority w:val="0"/>
    <w:pPr>
      <w:pBdr>
        <w:bottom w:val="single" w:color="auto" w:sz="6" w:space="1"/>
      </w:pBdr>
      <w:tabs>
        <w:tab w:val="center" w:pos="4153"/>
        <w:tab w:val="right" w:pos="8306"/>
      </w:tabs>
      <w:spacing w:line="240" w:lineRule="auto"/>
      <w:jc w:val="center"/>
    </w:pPr>
    <w:rPr>
      <w:sz w:val="18"/>
      <w:szCs w:val="18"/>
    </w:rPr>
  </w:style>
  <w:style w:type="paragraph" w:styleId="22">
    <w:name w:val="toc 1"/>
    <w:basedOn w:val="23"/>
    <w:next w:val="1"/>
    <w:autoRedefine/>
    <w:qFormat/>
    <w:uiPriority w:val="39"/>
    <w:pPr>
      <w:tabs>
        <w:tab w:val="right" w:leader="dot" w:pos="8297"/>
        <w:tab w:val="right" w:leader="dot" w:pos="8835"/>
      </w:tabs>
      <w:ind w:left="245"/>
    </w:pPr>
    <w:rPr>
      <w:rFonts w:eastAsia="黑体"/>
      <w:iCs/>
      <w:caps/>
      <w:smallCaps w:val="0"/>
    </w:rPr>
  </w:style>
  <w:style w:type="paragraph" w:styleId="23">
    <w:name w:val="toc 2"/>
    <w:basedOn w:val="1"/>
    <w:next w:val="1"/>
    <w:autoRedefine/>
    <w:qFormat/>
    <w:uiPriority w:val="39"/>
    <w:pPr>
      <w:tabs>
        <w:tab w:val="right" w:leader="dot" w:pos="8297"/>
      </w:tabs>
      <w:ind w:left="-420" w:firstLine="422"/>
      <w:jc w:val="left"/>
    </w:pPr>
    <w:rPr>
      <w:rFonts w:ascii="Times New Roman" w:hAnsi="Times New Roman" w:cs="Times New Roman"/>
      <w:b/>
      <w:bCs/>
      <w:smallCaps/>
      <w:sz w:val="21"/>
      <w:szCs w:val="16"/>
    </w:rPr>
  </w:style>
  <w:style w:type="paragraph" w:styleId="24">
    <w:name w:val="toc 4"/>
    <w:basedOn w:val="1"/>
    <w:next w:val="1"/>
    <w:autoRedefine/>
    <w:qFormat/>
    <w:uiPriority w:val="39"/>
    <w:pPr>
      <w:ind w:left="720"/>
      <w:jc w:val="left"/>
    </w:pPr>
    <w:rPr>
      <w:sz w:val="18"/>
      <w:szCs w:val="18"/>
    </w:rPr>
  </w:style>
  <w:style w:type="paragraph" w:styleId="25">
    <w:name w:val="footnote text"/>
    <w:basedOn w:val="1"/>
    <w:semiHidden/>
    <w:qFormat/>
    <w:uiPriority w:val="0"/>
    <w:pPr>
      <w:jc w:val="left"/>
    </w:pPr>
    <w:rPr>
      <w:sz w:val="18"/>
      <w:szCs w:val="18"/>
    </w:rPr>
  </w:style>
  <w:style w:type="paragraph" w:styleId="26">
    <w:name w:val="toc 6"/>
    <w:basedOn w:val="1"/>
    <w:next w:val="1"/>
    <w:autoRedefine/>
    <w:qFormat/>
    <w:uiPriority w:val="39"/>
    <w:pPr>
      <w:ind w:left="1200"/>
      <w:jc w:val="left"/>
    </w:pPr>
    <w:rPr>
      <w:sz w:val="18"/>
      <w:szCs w:val="18"/>
    </w:rPr>
  </w:style>
  <w:style w:type="paragraph" w:styleId="27">
    <w:name w:val="Body Text Indent 3"/>
    <w:basedOn w:val="1"/>
    <w:qFormat/>
    <w:uiPriority w:val="0"/>
    <w:pPr>
      <w:ind w:firstLine="640"/>
    </w:pPr>
    <w:rPr>
      <w:rFonts w:ascii="仿宋_GB2312" w:eastAsia="仿宋_GB2312"/>
      <w:bCs/>
      <w:sz w:val="32"/>
    </w:rPr>
  </w:style>
  <w:style w:type="paragraph" w:styleId="28">
    <w:name w:val="toc 9"/>
    <w:basedOn w:val="1"/>
    <w:next w:val="1"/>
    <w:autoRedefine/>
    <w:qFormat/>
    <w:uiPriority w:val="39"/>
    <w:pPr>
      <w:ind w:left="1920"/>
      <w:jc w:val="left"/>
    </w:pPr>
    <w:rPr>
      <w:sz w:val="18"/>
      <w:szCs w:val="18"/>
    </w:rPr>
  </w:style>
  <w:style w:type="paragraph" w:styleId="29">
    <w:name w:val="Body Text 2"/>
    <w:basedOn w:val="1"/>
    <w:link w:val="75"/>
    <w:qFormat/>
    <w:uiPriority w:val="0"/>
    <w:pPr>
      <w:spacing w:after="120" w:line="480" w:lineRule="auto"/>
    </w:pPr>
  </w:style>
  <w:style w:type="paragraph" w:styleId="3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cs="宋体"/>
      <w:kern w:val="0"/>
      <w:sz w:val="18"/>
      <w:szCs w:val="18"/>
    </w:rPr>
  </w:style>
  <w:style w:type="paragraph" w:styleId="31">
    <w:name w:val="Normal (Web)"/>
    <w:basedOn w:val="1"/>
    <w:qFormat/>
    <w:uiPriority w:val="0"/>
    <w:pPr>
      <w:widowControl/>
      <w:spacing w:before="100" w:beforeAutospacing="1" w:after="100" w:afterAutospacing="1" w:line="240" w:lineRule="auto"/>
      <w:jc w:val="left"/>
    </w:pPr>
    <w:rPr>
      <w:rFonts w:cs="宋体"/>
      <w:kern w:val="0"/>
      <w:sz w:val="27"/>
      <w:szCs w:val="27"/>
    </w:rPr>
  </w:style>
  <w:style w:type="paragraph" w:styleId="32">
    <w:name w:val="Title"/>
    <w:basedOn w:val="15"/>
    <w:next w:val="33"/>
    <w:link w:val="78"/>
    <w:qFormat/>
    <w:uiPriority w:val="0"/>
    <w:pPr>
      <w:autoSpaceDE w:val="0"/>
      <w:autoSpaceDN w:val="0"/>
    </w:pPr>
    <w:rPr>
      <w:rFonts w:ascii="Times New Roman" w:hAnsi="Times New Roman" w:cs="PMingLiU"/>
      <w:color w:val="000000"/>
      <w:kern w:val="0"/>
      <w:lang w:eastAsia="zh-TW"/>
    </w:rPr>
  </w:style>
  <w:style w:type="paragraph" w:customStyle="1" w:styleId="33">
    <w:name w:val="IPO Normal"/>
    <w:basedOn w:val="1"/>
    <w:qFormat/>
    <w:uiPriority w:val="0"/>
    <w:pPr>
      <w:spacing w:before="50" w:beforeLines="50" w:after="50" w:afterLines="50"/>
      <w:ind w:firstLine="200"/>
    </w:pPr>
  </w:style>
  <w:style w:type="paragraph" w:styleId="34">
    <w:name w:val="annotation subject"/>
    <w:basedOn w:val="10"/>
    <w:next w:val="10"/>
    <w:semiHidden/>
    <w:qFormat/>
    <w:uiPriority w:val="0"/>
    <w:rPr>
      <w:b/>
      <w:bCs/>
    </w:rPr>
  </w:style>
  <w:style w:type="table" w:styleId="36">
    <w:name w:val="Table Grid"/>
    <w:basedOn w:val="35"/>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Table Elegant"/>
    <w:basedOn w:val="35"/>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38">
    <w:name w:val="Table Classic 1"/>
    <w:basedOn w:val="35"/>
    <w:qFormat/>
    <w:uiPriority w:val="0"/>
    <w:pPr>
      <w:widowControl w:val="0"/>
      <w:spacing w:line="360" w:lineRule="auto"/>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40">
    <w:name w:val="Strong"/>
    <w:qFormat/>
    <w:uiPriority w:val="22"/>
    <w:rPr>
      <w:b/>
      <w:bCs/>
    </w:rPr>
  </w:style>
  <w:style w:type="character" w:styleId="41">
    <w:name w:val="page number"/>
    <w:basedOn w:val="39"/>
    <w:qFormat/>
    <w:uiPriority w:val="0"/>
  </w:style>
  <w:style w:type="character" w:styleId="42">
    <w:name w:val="Emphasis"/>
    <w:qFormat/>
    <w:uiPriority w:val="0"/>
    <w:rPr>
      <w:i/>
      <w:iCs/>
    </w:rPr>
  </w:style>
  <w:style w:type="character" w:styleId="43">
    <w:name w:val="HTML Typewriter"/>
    <w:qFormat/>
    <w:uiPriority w:val="0"/>
    <w:rPr>
      <w:rFonts w:ascii="Courier New" w:hAnsi="Courier New" w:cs="Courier New"/>
      <w:sz w:val="20"/>
      <w:szCs w:val="20"/>
    </w:rPr>
  </w:style>
  <w:style w:type="character" w:styleId="44">
    <w:name w:val="Hyperlink"/>
    <w:qFormat/>
    <w:uiPriority w:val="99"/>
    <w:rPr>
      <w:color w:val="0000FF"/>
      <w:u w:val="single"/>
    </w:rPr>
  </w:style>
  <w:style w:type="character" w:styleId="45">
    <w:name w:val="annotation reference"/>
    <w:semiHidden/>
    <w:qFormat/>
    <w:uiPriority w:val="0"/>
    <w:rPr>
      <w:sz w:val="21"/>
      <w:szCs w:val="21"/>
    </w:rPr>
  </w:style>
  <w:style w:type="character" w:styleId="46">
    <w:name w:val="footnote reference"/>
    <w:semiHidden/>
    <w:qFormat/>
    <w:uiPriority w:val="0"/>
    <w:rPr>
      <w:vertAlign w:val="superscript"/>
    </w:rPr>
  </w:style>
  <w:style w:type="character" w:customStyle="1" w:styleId="47">
    <w:name w:val="标题 1 字符"/>
    <w:link w:val="2"/>
    <w:qFormat/>
    <w:uiPriority w:val="0"/>
    <w:rPr>
      <w:rFonts w:eastAsia="宋体"/>
      <w:b/>
      <w:bCs/>
      <w:kern w:val="44"/>
      <w:sz w:val="44"/>
      <w:szCs w:val="44"/>
      <w:lang w:val="en-US" w:eastAsia="zh-CN" w:bidi="ar-SA"/>
    </w:rPr>
  </w:style>
  <w:style w:type="character" w:customStyle="1" w:styleId="48">
    <w:name w:val="正文缩进 字符"/>
    <w:link w:val="4"/>
    <w:qFormat/>
    <w:locked/>
    <w:uiPriority w:val="0"/>
    <w:rPr>
      <w:kern w:val="2"/>
      <w:sz w:val="21"/>
    </w:rPr>
  </w:style>
  <w:style w:type="paragraph" w:customStyle="1" w:styleId="49">
    <w:name w:val="Char Char Char1 Char"/>
    <w:basedOn w:val="9"/>
    <w:autoRedefine/>
    <w:semiHidden/>
    <w:qFormat/>
    <w:uiPriority w:val="0"/>
    <w:pPr>
      <w:spacing w:line="240" w:lineRule="auto"/>
    </w:pPr>
    <w:rPr>
      <w:rFonts w:ascii="Tahoma" w:hAnsi="Tahoma" w:cs="Tahoma"/>
      <w:kern w:val="0"/>
      <w:sz w:val="18"/>
    </w:rPr>
  </w:style>
  <w:style w:type="character" w:customStyle="1" w:styleId="50">
    <w:name w:val="纯文本 字符"/>
    <w:link w:val="15"/>
    <w:qFormat/>
    <w:uiPriority w:val="0"/>
    <w:rPr>
      <w:rFonts w:ascii="宋体" w:hAnsi="Courier New" w:eastAsia="宋体"/>
      <w:kern w:val="2"/>
      <w:sz w:val="21"/>
      <w:szCs w:val="21"/>
      <w:lang w:val="en-US" w:eastAsia="zh-CN" w:bidi="ar-SA"/>
    </w:rPr>
  </w:style>
  <w:style w:type="paragraph" w:customStyle="1" w:styleId="51">
    <w:name w:val="Default"/>
    <w:qFormat/>
    <w:uiPriority w:val="0"/>
    <w:pPr>
      <w:widowControl w:val="0"/>
      <w:autoSpaceDE w:val="0"/>
      <w:autoSpaceDN w:val="0"/>
      <w:adjustRightInd w:val="0"/>
    </w:pPr>
    <w:rPr>
      <w:rFonts w:ascii="宋体" w:hAnsi="Times New Roman" w:eastAsia="宋体" w:cs="宋体"/>
      <w:color w:val="000000"/>
      <w:kern w:val="2"/>
      <w:sz w:val="24"/>
      <w:szCs w:val="24"/>
      <w:lang w:val="en-US" w:eastAsia="zh-CN" w:bidi="ar-SA"/>
      <w14:ligatures w14:val="standardContextual"/>
    </w:rPr>
  </w:style>
  <w:style w:type="paragraph" w:customStyle="1" w:styleId="52">
    <w:name w:val="ChinaVenture正文"/>
    <w:basedOn w:val="1"/>
    <w:link w:val="53"/>
    <w:qFormat/>
    <w:uiPriority w:val="0"/>
    <w:pPr>
      <w:spacing w:afterLines="50" w:line="264" w:lineRule="auto"/>
      <w:ind w:firstLine="200"/>
    </w:pPr>
    <w:rPr>
      <w:rFonts w:ascii="Arial" w:hAnsi="Arial"/>
      <w:sz w:val="21"/>
      <w:szCs w:val="21"/>
    </w:rPr>
  </w:style>
  <w:style w:type="character" w:customStyle="1" w:styleId="53">
    <w:name w:val="ChinaVenture正文 Char"/>
    <w:link w:val="52"/>
    <w:qFormat/>
    <w:uiPriority w:val="0"/>
    <w:rPr>
      <w:rFonts w:ascii="Arial" w:hAnsi="Arial" w:eastAsia="宋体"/>
      <w:kern w:val="2"/>
      <w:sz w:val="21"/>
      <w:szCs w:val="21"/>
      <w:lang w:val="en-US" w:eastAsia="zh-CN" w:bidi="ar-SA"/>
    </w:rPr>
  </w:style>
  <w:style w:type="paragraph" w:customStyle="1" w:styleId="54">
    <w:name w:val="样式1"/>
    <w:basedOn w:val="1"/>
    <w:qFormat/>
    <w:uiPriority w:val="0"/>
  </w:style>
  <w:style w:type="character" w:customStyle="1" w:styleId="55">
    <w:name w:val="p21"/>
    <w:qFormat/>
    <w:uiPriority w:val="0"/>
    <w:rPr>
      <w:spacing w:val="500"/>
      <w:sz w:val="26"/>
      <w:szCs w:val="26"/>
    </w:rPr>
  </w:style>
  <w:style w:type="paragraph" w:customStyle="1" w:styleId="56">
    <w:name w:val="样式 首行缩进:  2 字符 段后: 0.5 行"/>
    <w:basedOn w:val="1"/>
    <w:autoRedefine/>
    <w:qFormat/>
    <w:uiPriority w:val="0"/>
    <w:pPr>
      <w:spacing w:beforeLines="20" w:afterLines="20"/>
    </w:pPr>
    <w:rPr>
      <w:szCs w:val="20"/>
    </w:rPr>
  </w:style>
  <w:style w:type="paragraph" w:customStyle="1" w:styleId="57">
    <w:name w:val="Char Char Char1 Char1"/>
    <w:basedOn w:val="9"/>
    <w:autoRedefine/>
    <w:semiHidden/>
    <w:qFormat/>
    <w:uiPriority w:val="0"/>
    <w:pPr>
      <w:spacing w:line="240" w:lineRule="auto"/>
    </w:pPr>
    <w:rPr>
      <w:rFonts w:ascii="Tahoma" w:hAnsi="Tahoma" w:cs="Tahoma"/>
      <w:kern w:val="0"/>
      <w:sz w:val="18"/>
    </w:rPr>
  </w:style>
  <w:style w:type="character" w:customStyle="1" w:styleId="58">
    <w:name w:val="textclass1"/>
    <w:qFormat/>
    <w:uiPriority w:val="0"/>
    <w:rPr>
      <w:sz w:val="18"/>
      <w:szCs w:val="18"/>
    </w:rPr>
  </w:style>
  <w:style w:type="paragraph" w:customStyle="1" w:styleId="59">
    <w:name w:val="默认段落字体 Para Char Char Char Char"/>
    <w:basedOn w:val="1"/>
    <w:qFormat/>
    <w:uiPriority w:val="0"/>
    <w:pPr>
      <w:spacing w:line="240" w:lineRule="auto"/>
    </w:pPr>
    <w:rPr>
      <w:sz w:val="21"/>
      <w:szCs w:val="21"/>
    </w:rPr>
  </w:style>
  <w:style w:type="paragraph" w:customStyle="1" w:styleId="60">
    <w:name w:val="Body3 List"/>
    <w:basedOn w:val="1"/>
    <w:qFormat/>
    <w:uiPriority w:val="0"/>
    <w:pPr>
      <w:widowControl/>
      <w:spacing w:after="240" w:line="240" w:lineRule="auto"/>
      <w:ind w:left="851"/>
    </w:pPr>
    <w:rPr>
      <w:rFonts w:ascii="Arial" w:hAnsi="Arial"/>
      <w:kern w:val="0"/>
      <w:sz w:val="20"/>
      <w:szCs w:val="20"/>
      <w:lang w:val="en-GB"/>
    </w:rPr>
  </w:style>
  <w:style w:type="paragraph" w:customStyle="1" w:styleId="61">
    <w:name w:val="ChinaVenture表格无编号标题"/>
    <w:basedOn w:val="52"/>
    <w:qFormat/>
    <w:uiPriority w:val="0"/>
    <w:pPr>
      <w:ind w:firstLine="0" w:firstLineChars="0"/>
      <w:jc w:val="center"/>
    </w:pPr>
    <w:rPr>
      <w:rFonts w:cs="宋体"/>
      <w:b/>
      <w:bCs/>
      <w:sz w:val="22"/>
      <w:szCs w:val="20"/>
    </w:rPr>
  </w:style>
  <w:style w:type="character" w:customStyle="1" w:styleId="62">
    <w:name w:val="big1"/>
    <w:qFormat/>
    <w:uiPriority w:val="0"/>
    <w:rPr>
      <w:spacing w:val="360"/>
      <w:sz w:val="22"/>
      <w:szCs w:val="22"/>
    </w:rPr>
  </w:style>
  <w:style w:type="paragraph" w:customStyle="1" w:styleId="63">
    <w:name w:val="列出段落1"/>
    <w:basedOn w:val="1"/>
    <w:qFormat/>
    <w:uiPriority w:val="0"/>
    <w:pPr>
      <w:spacing w:line="240" w:lineRule="auto"/>
      <w:ind w:firstLine="420"/>
    </w:pPr>
    <w:rPr>
      <w:rFonts w:ascii="Calibri" w:hAnsi="Calibri"/>
      <w:sz w:val="21"/>
    </w:rPr>
  </w:style>
  <w:style w:type="paragraph" w:customStyle="1" w:styleId="64">
    <w:name w:val="a14"/>
    <w:basedOn w:val="1"/>
    <w:qFormat/>
    <w:uiPriority w:val="0"/>
    <w:pPr>
      <w:widowControl/>
      <w:spacing w:before="100" w:beforeAutospacing="1" w:after="100" w:afterAutospacing="1" w:line="300" w:lineRule="atLeast"/>
      <w:ind w:firstLine="375"/>
      <w:jc w:val="left"/>
    </w:pPr>
    <w:rPr>
      <w:kern w:val="0"/>
      <w:sz w:val="21"/>
      <w:szCs w:val="21"/>
    </w:rPr>
  </w:style>
  <w:style w:type="paragraph" w:customStyle="1" w:styleId="65">
    <w:name w:val="Char Char Char Char1"/>
    <w:basedOn w:val="1"/>
    <w:autoRedefine/>
    <w:qFormat/>
    <w:uiPriority w:val="0"/>
    <w:pPr>
      <w:tabs>
        <w:tab w:val="left" w:pos="360"/>
      </w:tabs>
      <w:spacing w:line="240" w:lineRule="auto"/>
    </w:pPr>
  </w:style>
  <w:style w:type="paragraph" w:customStyle="1" w:styleId="66">
    <w:name w:val="IPO Heading 1"/>
    <w:basedOn w:val="2"/>
    <w:qFormat/>
    <w:uiPriority w:val="0"/>
    <w:pPr>
      <w:pageBreakBefore/>
      <w:spacing w:before="50" w:beforeLines="50" w:after="50" w:afterLines="50" w:line="360" w:lineRule="auto"/>
      <w:jc w:val="center"/>
    </w:pPr>
    <w:rPr>
      <w:rFonts w:eastAsia="黑体"/>
      <w:bCs w:val="0"/>
      <w:kern w:val="2"/>
      <w:sz w:val="32"/>
      <w:szCs w:val="28"/>
    </w:rPr>
  </w:style>
  <w:style w:type="paragraph" w:customStyle="1" w:styleId="67">
    <w:name w:val="IPO Heading 2"/>
    <w:basedOn w:val="1"/>
    <w:qFormat/>
    <w:uiPriority w:val="0"/>
    <w:pPr>
      <w:keepNext/>
      <w:keepLines/>
      <w:spacing w:before="50" w:beforeLines="50" w:after="50" w:afterLines="50"/>
      <w:textAlignment w:val="baseline"/>
      <w:outlineLvl w:val="1"/>
    </w:pPr>
    <w:rPr>
      <w:rFonts w:eastAsia="黑体"/>
      <w:b/>
      <w:color w:val="000000"/>
      <w:sz w:val="28"/>
      <w:szCs w:val="18"/>
    </w:rPr>
  </w:style>
  <w:style w:type="paragraph" w:customStyle="1" w:styleId="68">
    <w:name w:val="IPO Heading 3"/>
    <w:basedOn w:val="1"/>
    <w:qFormat/>
    <w:uiPriority w:val="0"/>
    <w:pPr>
      <w:keepNext/>
      <w:keepLines/>
      <w:spacing w:before="50" w:beforeLines="50" w:after="50" w:afterLines="50"/>
      <w:outlineLvl w:val="2"/>
    </w:pPr>
    <w:rPr>
      <w:rFonts w:eastAsia="黑体"/>
      <w:b/>
      <w:szCs w:val="28"/>
    </w:rPr>
  </w:style>
  <w:style w:type="paragraph" w:customStyle="1" w:styleId="69">
    <w:name w:val="IPO Heading 4"/>
    <w:basedOn w:val="1"/>
    <w:qFormat/>
    <w:uiPriority w:val="0"/>
    <w:pPr>
      <w:keepNext/>
      <w:keepLines/>
      <w:spacing w:before="50" w:beforeLines="50" w:after="50" w:afterLines="50"/>
      <w:ind w:firstLine="200"/>
      <w:outlineLvl w:val="3"/>
    </w:pPr>
    <w:rPr>
      <w:b/>
      <w:color w:val="000000"/>
      <w:szCs w:val="21"/>
    </w:rPr>
  </w:style>
  <w:style w:type="paragraph" w:customStyle="1" w:styleId="70">
    <w:name w:val="IPO Heading 5"/>
    <w:basedOn w:val="1"/>
    <w:qFormat/>
    <w:uiPriority w:val="0"/>
    <w:pPr>
      <w:spacing w:before="50" w:beforeLines="50" w:after="50" w:afterLines="50"/>
      <w:ind w:firstLine="200"/>
    </w:pPr>
  </w:style>
  <w:style w:type="paragraph" w:customStyle="1" w:styleId="71">
    <w:name w:val="Revision"/>
    <w:hidden/>
    <w:semiHidden/>
    <w:qFormat/>
    <w:uiPriority w:val="99"/>
    <w:rPr>
      <w:rFonts w:ascii="Times New Roman" w:hAnsi="Times New Roman" w:eastAsia="宋体" w:cs="Times New Roman"/>
      <w:kern w:val="2"/>
      <w:sz w:val="24"/>
      <w:szCs w:val="24"/>
      <w:lang w:val="en-US" w:eastAsia="zh-CN" w:bidi="ar-SA"/>
      <w14:ligatures w14:val="standardContextual"/>
    </w:rPr>
  </w:style>
  <w:style w:type="character" w:customStyle="1" w:styleId="72">
    <w:name w:val="日期 字符"/>
    <w:link w:val="17"/>
    <w:qFormat/>
    <w:uiPriority w:val="0"/>
    <w:rPr>
      <w:rFonts w:ascii="宋体"/>
      <w:kern w:val="2"/>
      <w:sz w:val="24"/>
    </w:rPr>
  </w:style>
  <w:style w:type="paragraph" w:customStyle="1" w:styleId="73">
    <w:name w:val="xl39"/>
    <w:basedOn w:val="1"/>
    <w:qFormat/>
    <w:uiPriority w:val="0"/>
    <w:pPr>
      <w:widowControl/>
      <w:spacing w:before="100" w:beforeAutospacing="1" w:after="100" w:afterAutospacing="1" w:line="240" w:lineRule="auto"/>
      <w:jc w:val="left"/>
    </w:pPr>
    <w:rPr>
      <w:kern w:val="0"/>
      <w:sz w:val="13"/>
      <w:szCs w:val="13"/>
    </w:rPr>
  </w:style>
  <w:style w:type="paragraph" w:customStyle="1" w:styleId="74">
    <w:name w:val="Body"/>
    <w:basedOn w:val="1"/>
    <w:qFormat/>
    <w:uiPriority w:val="0"/>
    <w:pPr>
      <w:widowControl/>
      <w:spacing w:after="140" w:line="290" w:lineRule="auto"/>
    </w:pPr>
    <w:rPr>
      <w:rFonts w:ascii="Arial" w:hAnsi="Arial" w:eastAsia="PMingLiU"/>
      <w:kern w:val="20"/>
      <w:sz w:val="20"/>
      <w:szCs w:val="20"/>
      <w:lang w:eastAsia="en-US"/>
    </w:rPr>
  </w:style>
  <w:style w:type="character" w:customStyle="1" w:styleId="75">
    <w:name w:val="正文文本 2 字符"/>
    <w:link w:val="29"/>
    <w:qFormat/>
    <w:uiPriority w:val="0"/>
    <w:rPr>
      <w:kern w:val="2"/>
      <w:sz w:val="24"/>
      <w:szCs w:val="24"/>
    </w:rPr>
  </w:style>
  <w:style w:type="paragraph" w:customStyle="1" w:styleId="76">
    <w:name w:val="xl30"/>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line="240" w:lineRule="auto"/>
      <w:jc w:val="left"/>
    </w:pPr>
    <w:rPr>
      <w:rFonts w:ascii="Arial Unicode MS" w:hAnsi="Arial Unicode MS" w:eastAsia="Arial Unicode MS" w:cs="Arial Unicode MS"/>
      <w:kern w:val="0"/>
    </w:rPr>
  </w:style>
  <w:style w:type="character" w:customStyle="1" w:styleId="77">
    <w:name w:val="页眉 字符"/>
    <w:link w:val="21"/>
    <w:qFormat/>
    <w:uiPriority w:val="0"/>
    <w:rPr>
      <w:kern w:val="2"/>
      <w:sz w:val="18"/>
      <w:szCs w:val="18"/>
    </w:rPr>
  </w:style>
  <w:style w:type="character" w:customStyle="1" w:styleId="78">
    <w:name w:val="标题 字符"/>
    <w:link w:val="32"/>
    <w:qFormat/>
    <w:uiPriority w:val="0"/>
    <w:rPr>
      <w:rFonts w:cs="PMingLiU"/>
      <w:color w:val="000000"/>
      <w:sz w:val="21"/>
      <w:szCs w:val="21"/>
      <w:lang w:eastAsia="zh-TW"/>
    </w:rPr>
  </w:style>
  <w:style w:type="character" w:customStyle="1" w:styleId="79">
    <w:name w:val="_Table Char"/>
    <w:link w:val="80"/>
    <w:qFormat/>
    <w:locked/>
    <w:uiPriority w:val="0"/>
    <w:rPr>
      <w:rFonts w:ascii="Arial" w:hAnsi="Arial" w:eastAsia="SC STKaiti"/>
      <w:sz w:val="18"/>
      <w:szCs w:val="24"/>
    </w:rPr>
  </w:style>
  <w:style w:type="paragraph" w:customStyle="1" w:styleId="80">
    <w:name w:val="_Table"/>
    <w:basedOn w:val="1"/>
    <w:link w:val="79"/>
    <w:qFormat/>
    <w:uiPriority w:val="0"/>
    <w:pPr>
      <w:widowControl/>
      <w:spacing w:before="40" w:after="40" w:line="240" w:lineRule="auto"/>
      <w:ind w:right="144"/>
      <w:jc w:val="left"/>
    </w:pPr>
    <w:rPr>
      <w:rFonts w:ascii="Arial" w:hAnsi="Arial" w:eastAsia="SC STKaiti"/>
      <w:kern w:val="0"/>
      <w:sz w:val="18"/>
    </w:rPr>
  </w:style>
  <w:style w:type="table" w:customStyle="1" w:styleId="81">
    <w:name w:val="常用标准"/>
    <w:basedOn w:val="35"/>
    <w:qFormat/>
    <w:uiPriority w:val="99"/>
    <w:pPr>
      <w:jc w:val="center"/>
    </w:pPr>
    <w:rPr>
      <w:sz w:val="21"/>
    </w:rPr>
    <w:tblPr>
      <w:tblBorders>
        <w:top w:val="single" w:color="000000" w:sz="12" w:space="0"/>
        <w:bottom w:val="single" w:color="000000" w:sz="12" w:space="0"/>
        <w:insideH w:val="single" w:color="000000" w:sz="6" w:space="0"/>
        <w:insideV w:val="single" w:color="000000" w:sz="6" w:space="0"/>
      </w:tblBorders>
    </w:tblPr>
    <w:trPr>
      <w:tblHeader/>
    </w:trPr>
    <w:tcPr>
      <w:vAlign w:val="center"/>
    </w:tcPr>
  </w:style>
  <w:style w:type="paragraph" w:customStyle="1" w:styleId="82">
    <w:name w:val="IPO heading6"/>
    <w:basedOn w:val="1"/>
    <w:link w:val="83"/>
    <w:qFormat/>
    <w:uiPriority w:val="0"/>
    <w:pPr>
      <w:spacing w:before="50" w:beforeLines="50"/>
      <w:ind w:firstLine="200"/>
      <w:outlineLvl w:val="5"/>
    </w:pPr>
  </w:style>
  <w:style w:type="character" w:customStyle="1" w:styleId="83">
    <w:name w:val="IPO heading6 Char"/>
    <w:link w:val="82"/>
    <w:qFormat/>
    <w:uiPriority w:val="0"/>
    <w:rPr>
      <w:kern w:val="2"/>
      <w:sz w:val="24"/>
      <w:szCs w:val="24"/>
    </w:rPr>
  </w:style>
  <w:style w:type="table" w:customStyle="1" w:styleId="84">
    <w:name w:val="IPO 表格"/>
    <w:basedOn w:val="35"/>
    <w:qFormat/>
    <w:uiPriority w:val="99"/>
    <w:pPr>
      <w:jc w:val="center"/>
      <w:textAlignment w:val="center"/>
    </w:pPr>
    <w:rPr>
      <w:sz w:val="21"/>
    </w:rPr>
    <w:tblPr>
      <w:tblBorders>
        <w:top w:val="single" w:color="auto" w:sz="12" w:space="0"/>
        <w:bottom w:val="single" w:color="auto" w:sz="12" w:space="0"/>
        <w:insideH w:val="single" w:color="auto" w:sz="4" w:space="0"/>
        <w:insideV w:val="single" w:color="auto" w:sz="4" w:space="0"/>
      </w:tblBorders>
    </w:tblPr>
  </w:style>
  <w:style w:type="paragraph" w:customStyle="1" w:styleId="85">
    <w:name w:val="IPO Heading 6"/>
    <w:basedOn w:val="33"/>
    <w:qFormat/>
    <w:uiPriority w:val="0"/>
    <w:pPr>
      <w:spacing w:before="120" w:after="120"/>
      <w:ind w:firstLine="480"/>
    </w:pPr>
  </w:style>
  <w:style w:type="paragraph" w:styleId="86">
    <w:name w:val="List Paragraph"/>
    <w:basedOn w:val="1"/>
    <w:qFormat/>
    <w:uiPriority w:val="1"/>
    <w:pPr>
      <w:autoSpaceDE w:val="0"/>
      <w:autoSpaceDN w:val="0"/>
      <w:adjustRightInd/>
      <w:snapToGrid/>
      <w:spacing w:before="1" w:line="240" w:lineRule="auto"/>
      <w:ind w:left="1301" w:hanging="601" w:firstLineChars="0"/>
      <w:jc w:val="left"/>
    </w:pPr>
    <w:rPr>
      <w:rFonts w:ascii="仿宋" w:hAnsi="仿宋" w:eastAsia="仿宋" w:cs="仿宋"/>
      <w:kern w:val="0"/>
      <w:sz w:val="22"/>
      <w:lang w:eastAsia="en-US"/>
    </w:rPr>
  </w:style>
  <w:style w:type="table" w:customStyle="1" w:styleId="87">
    <w:name w:val="Table Normal"/>
    <w:semiHidden/>
    <w:unhideWhenUsed/>
    <w:qFormat/>
    <w:uiPriority w:val="2"/>
    <w:pPr>
      <w:widowControl w:val="0"/>
      <w:autoSpaceDE w:val="0"/>
      <w:autoSpaceDN w:val="0"/>
    </w:pPr>
    <w:rPr>
      <w:rFonts w:asciiTheme="minorHAnsi" w:hAnsiTheme="minorHAnsi" w:eastAsiaTheme="minorEastAsia" w:cstheme="minorBidi"/>
      <w:kern w:val="0"/>
      <w:sz w:val="22"/>
      <w:szCs w:val="22"/>
      <w:lang w:eastAsia="en-US"/>
      <w14:ligatures w14:val="none"/>
    </w:rPr>
    <w:tblPr>
      <w:tblCellMar>
        <w:top w:w="0" w:type="dxa"/>
        <w:left w:w="0" w:type="dxa"/>
        <w:bottom w:w="0" w:type="dxa"/>
        <w:right w:w="0" w:type="dxa"/>
      </w:tblCellMar>
    </w:tblPr>
  </w:style>
  <w:style w:type="paragraph" w:customStyle="1" w:styleId="88">
    <w:name w:val="Table Paragraph"/>
    <w:basedOn w:val="1"/>
    <w:qFormat/>
    <w:uiPriority w:val="1"/>
    <w:pPr>
      <w:autoSpaceDE w:val="0"/>
      <w:autoSpaceDN w:val="0"/>
      <w:adjustRightInd/>
      <w:snapToGrid/>
      <w:spacing w:line="240" w:lineRule="auto"/>
      <w:ind w:firstLine="0" w:firstLineChars="0"/>
      <w:jc w:val="right"/>
    </w:pPr>
    <w:rPr>
      <w:rFonts w:ascii="Times New Roman" w:hAnsi="Times New Roman" w:eastAsia="Times New Roman" w:cs="Times New Roman"/>
      <w:kern w:val="0"/>
      <w:sz w:val="22"/>
      <w:lang w:eastAsia="en-US"/>
    </w:rPr>
  </w:style>
  <w:style w:type="paragraph" w:customStyle="1" w:styleId="89">
    <w:name w:val="TOC Heading"/>
    <w:basedOn w:val="2"/>
    <w:next w:val="1"/>
    <w:unhideWhenUsed/>
    <w:qFormat/>
    <w:uiPriority w:val="39"/>
    <w:pPr>
      <w:widowControl/>
      <w:adjustRightInd/>
      <w:snapToGrid/>
      <w:spacing w:before="240" w:after="0" w:line="259" w:lineRule="auto"/>
      <w:ind w:firstLine="0" w:firstLineChars="0"/>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90">
    <w:name w:val="font61"/>
    <w:basedOn w:val="39"/>
    <w:qFormat/>
    <w:uiPriority w:val="0"/>
    <w:rPr>
      <w:rFonts w:hint="default" w:ascii="Arial" w:hAnsi="Arial" w:cs="Arial"/>
      <w:b/>
      <w:bCs/>
      <w:color w:val="FFFFFF"/>
      <w:sz w:val="20"/>
      <w:szCs w:val="20"/>
      <w:u w:val="none"/>
    </w:rPr>
  </w:style>
  <w:style w:type="character" w:customStyle="1" w:styleId="91">
    <w:name w:val="font71"/>
    <w:basedOn w:val="39"/>
    <w:qFormat/>
    <w:uiPriority w:val="0"/>
    <w:rPr>
      <w:rFonts w:hint="eastAsia" w:ascii="微软雅黑" w:hAnsi="微软雅黑" w:eastAsia="微软雅黑" w:cs="微软雅黑"/>
      <w:b/>
      <w:bCs/>
      <w:color w:val="FFFFFF"/>
      <w:sz w:val="20"/>
      <w:szCs w:val="20"/>
      <w:u w:val="none"/>
    </w:rPr>
  </w:style>
  <w:style w:type="character" w:customStyle="1" w:styleId="92">
    <w:name w:val="font141"/>
    <w:basedOn w:val="39"/>
    <w:qFormat/>
    <w:uiPriority w:val="0"/>
    <w:rPr>
      <w:rFonts w:hint="eastAsia" w:ascii="宋体" w:hAnsi="宋体" w:eastAsia="宋体" w:cs="宋体"/>
      <w:b/>
      <w:bCs/>
      <w:color w:val="FFFFFF"/>
      <w:sz w:val="20"/>
      <w:szCs w:val="20"/>
      <w:u w:val="none"/>
    </w:rPr>
  </w:style>
  <w:style w:type="character" w:customStyle="1" w:styleId="93">
    <w:name w:val="font151"/>
    <w:basedOn w:val="39"/>
    <w:qFormat/>
    <w:uiPriority w:val="0"/>
    <w:rPr>
      <w:rFonts w:hint="eastAsia" w:ascii="微软雅黑" w:hAnsi="微软雅黑" w:eastAsia="微软雅黑" w:cs="微软雅黑"/>
      <w:i/>
      <w:iCs/>
      <w:color w:val="FFFFFF"/>
      <w:sz w:val="20"/>
      <w:szCs w:val="20"/>
      <w:u w:val="none"/>
    </w:rPr>
  </w:style>
  <w:style w:type="character" w:customStyle="1" w:styleId="94">
    <w:name w:val="font161"/>
    <w:basedOn w:val="39"/>
    <w:qFormat/>
    <w:uiPriority w:val="0"/>
    <w:rPr>
      <w:rFonts w:hint="eastAsia" w:ascii="微软雅黑" w:hAnsi="微软雅黑" w:eastAsia="微软雅黑" w:cs="微软雅黑"/>
      <w:color w:val="2E2E38"/>
      <w:sz w:val="20"/>
      <w:szCs w:val="20"/>
      <w:u w:val="none"/>
    </w:rPr>
  </w:style>
  <w:style w:type="character" w:customStyle="1" w:styleId="95">
    <w:name w:val="font171"/>
    <w:basedOn w:val="39"/>
    <w:qFormat/>
    <w:uiPriority w:val="0"/>
    <w:rPr>
      <w:rFonts w:hint="eastAsia" w:ascii="微软雅黑" w:hAnsi="微软雅黑" w:eastAsia="微软雅黑" w:cs="微软雅黑"/>
      <w:b/>
      <w:bCs/>
      <w:color w:val="2E2E38"/>
      <w:sz w:val="20"/>
      <w:szCs w:val="20"/>
      <w:u w:val="none"/>
    </w:rPr>
  </w:style>
  <w:style w:type="character" w:customStyle="1" w:styleId="96">
    <w:name w:val="font181"/>
    <w:basedOn w:val="39"/>
    <w:qFormat/>
    <w:uiPriority w:val="0"/>
    <w:rPr>
      <w:rFonts w:hint="eastAsia" w:ascii="微软雅黑" w:hAnsi="微软雅黑" w:eastAsia="微软雅黑" w:cs="微软雅黑"/>
      <w:i/>
      <w:iCs/>
      <w:color w:val="000000"/>
      <w:sz w:val="20"/>
      <w:szCs w:val="20"/>
      <w:u w:val="none"/>
    </w:rPr>
  </w:style>
  <w:style w:type="character" w:customStyle="1" w:styleId="97">
    <w:name w:val="font31"/>
    <w:basedOn w:val="39"/>
    <w:qFormat/>
    <w:uiPriority w:val="0"/>
    <w:rPr>
      <w:rFonts w:hint="default" w:ascii="Arial" w:hAnsi="Arial" w:cs="Arial"/>
      <w:i/>
      <w:iCs/>
      <w:color w:val="000000"/>
      <w:sz w:val="20"/>
      <w:szCs w:val="20"/>
      <w:u w:val="none"/>
    </w:rPr>
  </w:style>
  <w:style w:type="character" w:customStyle="1" w:styleId="98">
    <w:name w:val="font191"/>
    <w:basedOn w:val="39"/>
    <w:qFormat/>
    <w:uiPriority w:val="0"/>
    <w:rPr>
      <w:rFonts w:hint="eastAsia" w:ascii="微软雅黑" w:hAnsi="微软雅黑" w:eastAsia="微软雅黑" w:cs="微软雅黑"/>
      <w:i/>
      <w:iCs/>
      <w:color w:val="7030A0"/>
      <w:sz w:val="20"/>
      <w:szCs w:val="20"/>
      <w:u w:val="none"/>
    </w:rPr>
  </w:style>
  <w:style w:type="character" w:customStyle="1" w:styleId="99">
    <w:name w:val="font51"/>
    <w:basedOn w:val="39"/>
    <w:qFormat/>
    <w:uiPriority w:val="0"/>
    <w:rPr>
      <w:rFonts w:hint="default" w:ascii="Arial" w:hAnsi="Arial" w:cs="Arial"/>
      <w:i/>
      <w:iCs/>
      <w:color w:val="7030A0"/>
      <w:sz w:val="20"/>
      <w:szCs w:val="20"/>
      <w:u w:val="none"/>
    </w:rPr>
  </w:style>
  <w:style w:type="character" w:customStyle="1" w:styleId="100">
    <w:name w:val="font201"/>
    <w:basedOn w:val="39"/>
    <w:qFormat/>
    <w:uiPriority w:val="0"/>
    <w:rPr>
      <w:rFonts w:hint="eastAsia" w:ascii="微软雅黑" w:hAnsi="微软雅黑" w:eastAsia="微软雅黑" w:cs="微软雅黑"/>
      <w:i/>
      <w:iCs/>
      <w:color w:val="0070C0"/>
      <w:sz w:val="20"/>
      <w:szCs w:val="20"/>
      <w:u w:val="none"/>
    </w:rPr>
  </w:style>
  <w:style w:type="character" w:customStyle="1" w:styleId="101">
    <w:name w:val="font41"/>
    <w:basedOn w:val="39"/>
    <w:qFormat/>
    <w:uiPriority w:val="0"/>
    <w:rPr>
      <w:rFonts w:hint="default" w:ascii="Arial" w:hAnsi="Arial" w:cs="Arial"/>
      <w:b/>
      <w:bCs/>
      <w:color w:val="FFFFFF"/>
      <w:sz w:val="20"/>
      <w:szCs w:val="20"/>
      <w:u w:val="none"/>
    </w:rPr>
  </w:style>
  <w:style w:type="character" w:customStyle="1" w:styleId="102">
    <w:name w:val="font101"/>
    <w:basedOn w:val="39"/>
    <w:qFormat/>
    <w:uiPriority w:val="0"/>
    <w:rPr>
      <w:rFonts w:hint="eastAsia" w:ascii="微软雅黑" w:hAnsi="微软雅黑" w:eastAsia="微软雅黑" w:cs="微软雅黑"/>
      <w:color w:val="000000"/>
      <w:sz w:val="20"/>
      <w:szCs w:val="20"/>
      <w:u w:val="none"/>
    </w:rPr>
  </w:style>
  <w:style w:type="character" w:customStyle="1" w:styleId="103">
    <w:name w:val="font111"/>
    <w:basedOn w:val="39"/>
    <w:qFormat/>
    <w:uiPriority w:val="0"/>
    <w:rPr>
      <w:rFonts w:hint="eastAsia" w:ascii="微软雅黑" w:hAnsi="微软雅黑" w:eastAsia="微软雅黑" w:cs="微软雅黑"/>
      <w:b/>
      <w:bCs/>
      <w:color w:val="000000"/>
      <w:sz w:val="20"/>
      <w:szCs w:val="20"/>
      <w:u w:val="none"/>
    </w:rPr>
  </w:style>
  <w:style w:type="character" w:customStyle="1" w:styleId="104">
    <w:name w:val="font112"/>
    <w:basedOn w:val="39"/>
    <w:qFormat/>
    <w:uiPriority w:val="0"/>
    <w:rPr>
      <w:rFonts w:ascii="微软雅黑" w:hAnsi="微软雅黑" w:eastAsia="微软雅黑" w:cs="微软雅黑"/>
      <w:i/>
      <w:iCs/>
      <w:color w:val="FFFFFF"/>
      <w:sz w:val="20"/>
      <w:szCs w:val="20"/>
      <w:u w:val="none"/>
    </w:rPr>
  </w:style>
  <w:style w:type="character" w:customStyle="1" w:styleId="105">
    <w:name w:val="font121"/>
    <w:basedOn w:val="39"/>
    <w:qFormat/>
    <w:uiPriority w:val="0"/>
    <w:rPr>
      <w:rFonts w:hint="eastAsia" w:ascii="微软雅黑" w:hAnsi="微软雅黑" w:eastAsia="微软雅黑" w:cs="微软雅黑"/>
      <w:b/>
      <w:bCs/>
      <w:color w:val="FFFFFF"/>
      <w:sz w:val="20"/>
      <w:szCs w:val="20"/>
      <w:u w:val="none"/>
    </w:rPr>
  </w:style>
  <w:style w:type="character" w:customStyle="1" w:styleId="106">
    <w:name w:val="font11"/>
    <w:basedOn w:val="39"/>
    <w:qFormat/>
    <w:uiPriority w:val="0"/>
    <w:rPr>
      <w:rFonts w:hint="default" w:ascii="Arial" w:hAnsi="Arial" w:cs="Arial"/>
      <w:color w:val="2E2E38"/>
      <w:sz w:val="20"/>
      <w:szCs w:val="20"/>
      <w:u w:val="none"/>
    </w:rPr>
  </w:style>
  <w:style w:type="character" w:customStyle="1" w:styleId="107">
    <w:name w:val="font131"/>
    <w:basedOn w:val="39"/>
    <w:qFormat/>
    <w:uiPriority w:val="0"/>
    <w:rPr>
      <w:rFonts w:hint="eastAsia" w:ascii="微软雅黑" w:hAnsi="微软雅黑" w:eastAsia="微软雅黑" w:cs="微软雅黑"/>
      <w:color w:val="2E2E38"/>
      <w:sz w:val="20"/>
      <w:szCs w:val="20"/>
      <w:u w:val="none"/>
    </w:rPr>
  </w:style>
  <w:style w:type="character" w:customStyle="1" w:styleId="108">
    <w:name w:val="font21"/>
    <w:basedOn w:val="39"/>
    <w:qFormat/>
    <w:uiPriority w:val="0"/>
    <w:rPr>
      <w:rFonts w:hint="eastAsia" w:ascii="微软雅黑" w:hAnsi="微软雅黑" w:eastAsia="微软雅黑" w:cs="微软雅黑"/>
      <w:color w:val="2E2E38"/>
      <w:sz w:val="20"/>
      <w:szCs w:val="20"/>
      <w:u w:val="none"/>
    </w:rPr>
  </w:style>
  <w:style w:type="character" w:customStyle="1" w:styleId="109">
    <w:name w:val="font91"/>
    <w:basedOn w:val="39"/>
    <w:qFormat/>
    <w:uiPriority w:val="0"/>
    <w:rPr>
      <w:rFonts w:ascii="微软雅黑" w:hAnsi="微软雅黑" w:eastAsia="微软雅黑" w:cs="微软雅黑"/>
      <w:b/>
      <w:bCs/>
      <w:color w:val="FFFFFF"/>
      <w:sz w:val="20"/>
      <w:szCs w:val="20"/>
      <w:u w:val="none"/>
    </w:rPr>
  </w:style>
  <w:style w:type="character" w:customStyle="1" w:styleId="110">
    <w:name w:val="font122"/>
    <w:basedOn w:val="39"/>
    <w:qFormat/>
    <w:uiPriority w:val="0"/>
    <w:rPr>
      <w:rFonts w:hint="eastAsia" w:ascii="微软雅黑" w:hAnsi="微软雅黑" w:eastAsia="微软雅黑" w:cs="微软雅黑"/>
      <w:color w:val="000000"/>
      <w:sz w:val="20"/>
      <w:szCs w:val="20"/>
      <w:u w:val="none"/>
    </w:rPr>
  </w:style>
  <w:style w:type="character" w:customStyle="1" w:styleId="111">
    <w:name w:val="font81"/>
    <w:basedOn w:val="39"/>
    <w:qFormat/>
    <w:uiPriority w:val="0"/>
    <w:rPr>
      <w:rFonts w:hint="eastAsia" w:ascii="微软雅黑" w:hAnsi="微软雅黑" w:eastAsia="微软雅黑" w:cs="微软雅黑"/>
      <w:color w:val="2E2E38"/>
      <w:sz w:val="20"/>
      <w:szCs w:val="20"/>
      <w:u w:val="none"/>
    </w:rPr>
  </w:style>
  <w:style w:type="character" w:customStyle="1" w:styleId="112">
    <w:name w:val="font212"/>
    <w:basedOn w:val="39"/>
    <w:qFormat/>
    <w:uiPriority w:val="0"/>
    <w:rPr>
      <w:rFonts w:hint="eastAsia" w:ascii="宋体" w:hAnsi="宋体" w:eastAsia="宋体" w:cs="宋体"/>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2171</Words>
  <Characters>3671</Characters>
  <Lines>160</Lines>
  <Paragraphs>45</Paragraphs>
  <TotalTime>249</TotalTime>
  <ScaleCrop>false</ScaleCrop>
  <LinksUpToDate>false</LinksUpToDate>
  <CharactersWithSpaces>3951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2024-11-20T02:40:00Z</dcterms:created>
  <dc:creator>xiang gao</dc:creator>
  <cp:lastModifiedBy>王一鸣</cp:lastModifiedBy>
  <cp:lastPrinted>2025-01-06T06:51:00Z</cp:lastPrinted>
  <dcterms:modified xsi:type="dcterms:W3CDTF">2025-10-16T05:57:22Z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eyJoZGlkIjoiNDI1NGQ4MDY4NjMxYWVlMzc3ODM2NDE0MmU1ODUxYzYiLCJ1c2VySWQiOiI0NzAzODIwNzEifQ==</vt:lpwstr>
  </property>
  <property fmtid="{D5CDD505-2E9C-101B-9397-08002B2CF9AE}" pid="3" name="KSOProductBuildVer">
    <vt:lpwstr>2052-12.1.0.22529</vt:lpwstr>
  </property>
  <property fmtid="{D5CDD505-2E9C-101B-9397-08002B2CF9AE}" pid="4" name="ICV">
    <vt:lpwstr>C79779DAAE994408890ADAC4B2D6C9D7_13</vt:lpwstr>
  </property>
</Properties>
</file>