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0A1F3D"/>
          <w:sz w:val="36"/>
          <w:szCs w:val="36"/>
        </w:rPr>
        <w:t xml:space="preserve">BUSINESS ASSOCIATE AGREEMENT</w:t>
      </w:r>
    </w:p>
    <w:p>
      <w:pPr>
        <w:spacing w:after="80" w:before="0"/>
        <w:jc w:val="center"/>
      </w:pPr>
      <w:r>
        <w:rPr>
          <w:rFonts w:ascii="Arial" w:cs="Arial" w:eastAsia="Arial" w:hAnsi="Arial"/>
          <w:color w:val="188B96"/>
          <w:sz w:val="24"/>
          <w:szCs w:val="24"/>
        </w:rPr>
        <w:t xml:space="preserve">Enterprise Autonomy Architecture (EAA) | Zero-Exfiltration Deployment</w:t>
      </w:r>
    </w:p>
    <w:p>
      <w:pPr>
        <w:spacing w:after="80" w:before="0"/>
        <w:jc w:val="center"/>
      </w:pPr>
      <w:r>
        <w:rPr>
          <w:rFonts w:ascii="Arial" w:cs="Arial" w:eastAsia="Arial" w:hAnsi="Arial"/>
          <w:color w:val="5a7a8a"/>
          <w:sz w:val="20"/>
          <w:szCs w:val="20"/>
        </w:rPr>
        <w:t xml:space="preserve">Structured pursuant to 45 CFR §§ 164.504(e), 164.314(a) | HIPAA | HITECH Act of 2009</w:t>
      </w:r>
    </w:p>
    <w:p>
      <w:pPr>
        <w:spacing w:after="160" w:before="0"/>
        <w:jc w:val="center"/>
      </w:pPr>
      <w:r>
        <w:rPr>
          <w:rFonts w:ascii="Arial" w:cs="Arial" w:eastAsia="Arial" w:hAnsi="Arial"/>
          <w:b/>
          <w:bCs/>
          <w:color w:val="CC0000"/>
          <w:sz w:val="20"/>
          <w:szCs w:val="20"/>
        </w:rPr>
        <w:t xml:space="preserve">DRAFT — Subject to Review by Qualified Healthcare Counsel Prior to Execution</w:t>
      </w:r>
    </w:p>
    <w:p>
      <w:pPr>
        <w:pBdr>
          <w:bottom w:val="single" w:color="CCCCCC" w:sz="4"/>
        </w:pBdr>
        <w:spacing w:after="160" w:before="160"/>
      </w:pPr>
    </w:p>
    <w:p>
      <w:pPr>
        <w:spacing w:after="120" w:before="80"/>
      </w:pPr>
      <w:r>
        <w:rPr>
          <w:rFonts w:ascii="Arial" w:cs="Arial" w:eastAsia="Arial" w:hAnsi="Arial"/>
          <w:sz w:val="22"/>
          <w:szCs w:val="22"/>
        </w:rPr>
        <w:t xml:space="preserve">This Business Associate Agreement ("Agreement") is entered into as of the date last signed below ("Effective Date") by and between:</w:t>
      </w:r>
    </w:p>
    <w:p>
      <w:pPr>
        <w:spacing w:after="80" w:before="80"/>
      </w:pPr>
      <w:r>
        <w:t xml:space="preserve"/>
      </w:r>
    </w:p>
    <w:p>
      <w:pPr>
        <w:spacing w:after="120" w:before="80"/>
      </w:pPr>
      <w:r>
        <w:rPr>
          <w:rFonts w:ascii="Arial" w:cs="Arial" w:eastAsia="Arial" w:hAnsi="Arial"/>
          <w:b/>
          <w:bCs/>
          <w:sz w:val="22"/>
          <w:szCs w:val="22"/>
        </w:rPr>
        <w:t xml:space="preserve">COVERED ENTITY ("CE"):</w:t>
      </w:r>
    </w:p>
    <w:p>
      <w:pPr>
        <w:spacing w:after="120" w:before="80"/>
      </w:pPr>
      <w:r>
        <w:rPr>
          <w:rFonts w:ascii="Arial" w:cs="Arial" w:eastAsia="Arial" w:hAnsi="Arial"/>
          <w:sz w:val="22"/>
          <w:szCs w:val="22"/>
        </w:rPr>
        <w:t xml:space="preserve">Legal Name: _______________________________________________________</w:t>
      </w:r>
    </w:p>
    <w:p>
      <w:pPr>
        <w:spacing w:after="120" w:before="80"/>
      </w:pPr>
      <w:r>
        <w:rPr>
          <w:rFonts w:ascii="Arial" w:cs="Arial" w:eastAsia="Arial" w:hAnsi="Arial"/>
          <w:sz w:val="22"/>
          <w:szCs w:val="22"/>
        </w:rPr>
        <w:t xml:space="preserve">Principal Address: _______________________________________________________</w:t>
      </w:r>
    </w:p>
    <w:p>
      <w:pPr>
        <w:spacing w:after="120" w:before="80"/>
      </w:pPr>
      <w:r>
        <w:rPr>
          <w:rFonts w:ascii="Arial" w:cs="Arial" w:eastAsia="Arial" w:hAnsi="Arial"/>
          <w:sz w:val="22"/>
          <w:szCs w:val="22"/>
        </w:rPr>
        <w:t xml:space="preserve">HIPAA Privacy Officer: _______________________________________________________</w:t>
      </w:r>
    </w:p>
    <w:p>
      <w:pPr>
        <w:spacing w:after="120" w:before="80"/>
      </w:pPr>
      <w:r>
        <w:rPr>
          <w:rFonts w:ascii="Arial" w:cs="Arial" w:eastAsia="Arial" w:hAnsi="Arial"/>
          <w:sz w:val="22"/>
          <w:szCs w:val="22"/>
        </w:rPr>
        <w:t xml:space="preserve">Email / Phone: _______________________________________________________</w:t>
      </w:r>
    </w:p>
    <w:p>
      <w:pPr>
        <w:spacing w:after="80" w:before="80"/>
      </w:pPr>
      <w:r>
        <w:t xml:space="preserve"/>
      </w:r>
    </w:p>
    <w:p>
      <w:pPr>
        <w:spacing w:after="120" w:before="80"/>
      </w:pPr>
      <w:r>
        <w:rPr>
          <w:rFonts w:ascii="Arial" w:cs="Arial" w:eastAsia="Arial" w:hAnsi="Arial"/>
          <w:b/>
          <w:bCs/>
          <w:sz w:val="22"/>
          <w:szCs w:val="22"/>
        </w:rPr>
        <w:t xml:space="preserve">BUSINESS ASSOCIATE ("BA"):</w:t>
      </w:r>
    </w:p>
    <w:p>
      <w:pPr>
        <w:spacing w:after="120" w:before="80"/>
      </w:pPr>
      <w:r>
        <w:rPr>
          <w:rFonts w:ascii="Arial" w:cs="Arial" w:eastAsia="Arial" w:hAnsi="Arial"/>
          <w:sz w:val="22"/>
          <w:szCs w:val="22"/>
        </w:rPr>
        <w:t xml:space="preserve">Pocono AI, LLC — Pennsylvania Limited Liability Company</w:t>
      </w:r>
    </w:p>
    <w:p>
      <w:pPr>
        <w:spacing w:after="120" w:before="80"/>
      </w:pPr>
      <w:r>
        <w:rPr>
          <w:rFonts w:ascii="Arial" w:cs="Arial" w:eastAsia="Arial" w:hAnsi="Arial"/>
          <w:sz w:val="22"/>
          <w:szCs w:val="22"/>
        </w:rPr>
        <w:t xml:space="preserve">Principal Office: East Stroudsburg, Monroe County, Pennsylvania</w:t>
      </w:r>
    </w:p>
    <w:p>
      <w:pPr>
        <w:spacing w:after="120" w:before="80"/>
      </w:pPr>
      <w:r>
        <w:rPr>
          <w:rFonts w:ascii="Arial" w:cs="Arial" w:eastAsia="Arial" w:hAnsi="Arial"/>
          <w:sz w:val="22"/>
          <w:szCs w:val="22"/>
        </w:rPr>
        <w:t xml:space="preserve">Chief Technologist: Marcus O'Dell</w:t>
      </w:r>
    </w:p>
    <w:p>
      <w:pPr>
        <w:spacing w:after="120" w:before="80"/>
      </w:pPr>
      <w:r>
        <w:rPr>
          <w:rFonts w:ascii="Arial" w:cs="Arial" w:eastAsia="Arial" w:hAnsi="Arial"/>
          <w:sz w:val="22"/>
          <w:szCs w:val="22"/>
        </w:rPr>
        <w:t xml:space="preserve">Contact: marcus@poconoai.com | (570) 534-0602 | poconoai.com</w:t>
      </w:r>
    </w:p>
    <w:p>
      <w:pPr>
        <w:pBdr>
          <w:bottom w:val="single" w:color="CCCCCC" w:sz="4"/>
        </w:pBdr>
        <w:spacing w:after="160" w:before="160"/>
      </w:pPr>
    </w:p>
    <w:p>
      <w:pPr>
        <w:pStyle w:val="Heading1"/>
        <w:spacing w:after="160" w:before="320"/>
      </w:pPr>
      <w:r>
        <w:rPr>
          <w:rFonts w:ascii="Arial" w:cs="Arial" w:eastAsia="Arial" w:hAnsi="Arial"/>
          <w:b/>
          <w:bCs/>
          <w:color w:val="0A1F3D"/>
          <w:sz w:val="28"/>
          <w:szCs w:val="28"/>
        </w:rPr>
        <w:t xml:space="preserve">RECITALS</w:t>
      </w:r>
    </w:p>
    <w:p>
      <w:pPr>
        <w:spacing w:after="120" w:before="80"/>
      </w:pPr>
      <w:r>
        <w:rPr>
          <w:rFonts w:ascii="Arial" w:cs="Arial" w:eastAsia="Arial" w:hAnsi="Arial"/>
          <w:sz w:val="22"/>
          <w:szCs w:val="22"/>
        </w:rPr>
        <w:t xml:space="preserve">WHEREAS, CE is a Covered Entity as defined under the Health Insurance Portability and Accountability Act of 1996 ("HIPAA"), Pub. L. 104-191, and the Health Information Technology for Economic and Clinical Health Act ("HITECH"), Pub. L. 111-5, and their implementing regulations at 45 CFR Parts 160 and 164;</w:t>
      </w:r>
    </w:p>
    <w:p>
      <w:pPr>
        <w:spacing w:after="80" w:before="80"/>
      </w:pPr>
      <w:r>
        <w:t xml:space="preserve"/>
      </w:r>
    </w:p>
    <w:p>
      <w:pPr>
        <w:spacing w:after="120" w:before="80"/>
      </w:pPr>
      <w:r>
        <w:rPr>
          <w:rFonts w:ascii="Arial" w:cs="Arial" w:eastAsia="Arial" w:hAnsi="Arial"/>
          <w:sz w:val="22"/>
          <w:szCs w:val="22"/>
        </w:rPr>
        <w:t xml:space="preserve">WHEREAS, Pocono AI, LLC provides on-premises, air-gapped AI infrastructure ("Services") to CE under a separate services agreement ("Services Agreement");</w:t>
      </w:r>
    </w:p>
    <w:p>
      <w:pPr>
        <w:spacing w:after="80" w:before="80"/>
      </w:pPr>
      <w:r>
        <w:t xml:space="preserve"/>
      </w:r>
    </w:p>
    <w:p>
      <w:pPr>
        <w:spacing w:after="120" w:before="80"/>
      </w:pPr>
      <w:r>
        <w:rPr>
          <w:rFonts w:ascii="Arial" w:cs="Arial" w:eastAsia="Arial" w:hAnsi="Arial"/>
          <w:sz w:val="22"/>
          <w:szCs w:val="22"/>
        </w:rPr>
        <w:t xml:space="preserve">WHEREAS, in performing Services, Pocono AI, LLC may have Incidental Access (as defined herein) to Protected Health Information ("PHI") maintained on hardware physically located and owned within CE's facility;</w:t>
      </w:r>
    </w:p>
    <w:p>
      <w:pPr>
        <w:spacing w:after="80" w:before="80"/>
      </w:pPr>
      <w:r>
        <w:t xml:space="preserve"/>
      </w:r>
    </w:p>
    <w:p>
      <w:pPr>
        <w:spacing w:after="120" w:before="80"/>
      </w:pPr>
      <w:r>
        <w:rPr>
          <w:rFonts w:ascii="Arial" w:cs="Arial" w:eastAsia="Arial" w:hAnsi="Arial"/>
          <w:sz w:val="22"/>
          <w:szCs w:val="22"/>
        </w:rPr>
        <w:t xml:space="preserve">WHEREAS, under the Enterprise Autonomy Architecture ("EAA") model, all PHI remains exclusively on hardware in CE's physical custody, and Pocono AI, LLC has zero remote, network, or cloud access to such PHI;</w:t>
      </w:r>
    </w:p>
    <w:p>
      <w:pPr>
        <w:spacing w:after="80" w:before="80"/>
      </w:pPr>
      <w:r>
        <w:t xml:space="preserve"/>
      </w:r>
    </w:p>
    <w:p>
      <w:pPr>
        <w:spacing w:after="120" w:before="80"/>
      </w:pPr>
      <w:r>
        <w:rPr>
          <w:rFonts w:ascii="Arial" w:cs="Arial" w:eastAsia="Arial" w:hAnsi="Arial"/>
          <w:sz w:val="22"/>
          <w:szCs w:val="22"/>
        </w:rPr>
        <w:t xml:space="preserve">NOW THEREFORE, in consideration of the mutual promises contained herein and other good and valuable consideration, the parties agree as follows:</w:t>
      </w:r>
    </w:p>
    <w:p>
      <w:pPr>
        <w:pBdr>
          <w:bottom w:val="single" w:color="CCCCCC" w:sz="4"/>
        </w:pBdr>
        <w:spacing w:after="160" w:before="160"/>
      </w:pPr>
    </w:p>
    <w:p>
      <w:pPr>
        <w:pStyle w:val="Heading1"/>
        <w:spacing w:after="160" w:before="320"/>
      </w:pPr>
      <w:r>
        <w:rPr>
          <w:rFonts w:ascii="Arial" w:cs="Arial" w:eastAsia="Arial" w:hAnsi="Arial"/>
          <w:b/>
          <w:bCs/>
          <w:color w:val="0A1F3D"/>
          <w:sz w:val="28"/>
          <w:szCs w:val="28"/>
        </w:rPr>
        <w:t xml:space="preserve">1. DEFINITIONS</w:t>
      </w:r>
    </w:p>
    <w:p>
      <w:pPr>
        <w:pStyle w:val="Heading2"/>
        <w:spacing w:after="120" w:before="240"/>
      </w:pPr>
      <w:r>
        <w:rPr>
          <w:rFonts w:ascii="Arial" w:cs="Arial" w:eastAsia="Arial" w:hAnsi="Arial"/>
          <w:b/>
          <w:bCs/>
          <w:color w:val="188B96"/>
          <w:sz w:val="24"/>
          <w:szCs w:val="24"/>
        </w:rPr>
        <w:t xml:space="preserve">1.1 Protected Health Information (PHI)</w:t>
      </w:r>
    </w:p>
    <w:p>
      <w:pPr>
        <w:spacing w:after="120" w:before="80"/>
      </w:pPr>
      <w:r>
        <w:rPr>
          <w:rFonts w:ascii="Arial" w:cs="Arial" w:eastAsia="Arial" w:hAnsi="Arial"/>
          <w:sz w:val="22"/>
          <w:szCs w:val="22"/>
        </w:rPr>
        <w:t xml:space="preserve">As defined at 45 CFR § 160.103, limited to PHI created, received, maintained, or transmitted by Pocono AI, LLC on behalf of CE in connection with the Services.</w:t>
      </w:r>
    </w:p>
    <w:p>
      <w:pPr>
        <w:pStyle w:val="Heading2"/>
        <w:spacing w:after="120" w:before="240"/>
      </w:pPr>
      <w:r>
        <w:rPr>
          <w:rFonts w:ascii="Arial" w:cs="Arial" w:eastAsia="Arial" w:hAnsi="Arial"/>
          <w:b/>
          <w:bCs/>
          <w:color w:val="188B96"/>
          <w:sz w:val="24"/>
          <w:szCs w:val="24"/>
        </w:rPr>
        <w:t xml:space="preserve">1.2 Security Incident</w:t>
      </w:r>
    </w:p>
    <w:p>
      <w:pPr>
        <w:spacing w:after="120" w:before="80"/>
      </w:pPr>
      <w:r>
        <w:rPr>
          <w:rFonts w:ascii="Arial" w:cs="Arial" w:eastAsia="Arial" w:hAnsi="Arial"/>
          <w:sz w:val="22"/>
          <w:szCs w:val="22"/>
        </w:rPr>
        <w:t xml:space="preserve">As defined at 45 CFR § 164.304: the attempted or successful unauthorized access, use, disclosure, modification, or destruction of information or interference with system operations in an information system.</w:t>
      </w:r>
    </w:p>
    <w:p>
      <w:pPr>
        <w:pStyle w:val="Heading2"/>
        <w:spacing w:after="120" w:before="240"/>
      </w:pPr>
      <w:r>
        <w:rPr>
          <w:rFonts w:ascii="Arial" w:cs="Arial" w:eastAsia="Arial" w:hAnsi="Arial"/>
          <w:b/>
          <w:bCs/>
          <w:color w:val="188B96"/>
          <w:sz w:val="24"/>
          <w:szCs w:val="24"/>
        </w:rPr>
        <w:t xml:space="preserve">1.3 Enterprise Autonomy Architecture (EAA)</w:t>
      </w:r>
    </w:p>
    <w:p>
      <w:pPr>
        <w:spacing w:after="120" w:before="80"/>
      </w:pPr>
      <w:r>
        <w:rPr>
          <w:rFonts w:ascii="Arial" w:cs="Arial" w:eastAsia="Arial" w:hAnsi="Arial"/>
          <w:sz w:val="22"/>
          <w:szCs w:val="22"/>
        </w:rPr>
        <w:t xml:space="preserve">A hardware-enforced data custody model under which the Sentinel Node AI infrastructure physically resides entirely within CE's facility and LAN. CE retains absolute physical, network, and cryptographic custody of all PHI at all times. Pocono AI, LLC has no remote access to the hardware or the data it processes.</w:t>
      </w:r>
    </w:p>
    <w:p>
      <w:pPr>
        <w:pStyle w:val="Heading2"/>
        <w:spacing w:after="120" w:before="240"/>
      </w:pPr>
      <w:r>
        <w:rPr>
          <w:rFonts w:ascii="Arial" w:cs="Arial" w:eastAsia="Arial" w:hAnsi="Arial"/>
          <w:b/>
          <w:bCs/>
          <w:color w:val="188B96"/>
          <w:sz w:val="24"/>
          <w:szCs w:val="24"/>
        </w:rPr>
        <w:t xml:space="preserve">1.4 Sentinel Node</w:t>
      </w:r>
    </w:p>
    <w:p>
      <w:pPr>
        <w:spacing w:after="120" w:before="80"/>
      </w:pPr>
      <w:r>
        <w:rPr>
          <w:rFonts w:ascii="Arial" w:cs="Arial" w:eastAsia="Arial" w:hAnsi="Arial"/>
          <w:sz w:val="22"/>
          <w:szCs w:val="22"/>
        </w:rPr>
        <w:t xml:space="preserve">The dedicated, on-premises AI hardware appliance described in the applicable Services Agreement (identified by make, model, and serial number therein), installed within CE's facility and operating exclusively on CE's isolated local network with zero outbound internet telemetry during inference operations.</w:t>
      </w:r>
    </w:p>
    <w:p>
      <w:pPr>
        <w:pStyle w:val="Heading2"/>
        <w:spacing w:after="120" w:before="240"/>
      </w:pPr>
      <w:r>
        <w:rPr>
          <w:rFonts w:ascii="Arial" w:cs="Arial" w:eastAsia="Arial" w:hAnsi="Arial"/>
          <w:b/>
          <w:bCs/>
          <w:color w:val="188B96"/>
          <w:sz w:val="24"/>
          <w:szCs w:val="24"/>
        </w:rPr>
        <w:t xml:space="preserve">1.5 Incidental Access</w:t>
      </w:r>
    </w:p>
    <w:p>
      <w:pPr>
        <w:spacing w:after="120" w:before="80"/>
      </w:pPr>
      <w:r>
        <w:rPr>
          <w:rFonts w:ascii="Arial" w:cs="Arial" w:eastAsia="Arial" w:hAnsi="Arial"/>
          <w:sz w:val="22"/>
          <w:szCs w:val="22"/>
        </w:rPr>
        <w:t xml:space="preserve">Authorized, on-site access by Pocono AI, LLC personnel to CE's facility and the Sentinel Node hardware, conducted: (a) in the physical presence of a designated CE representative; (b) limited to the minimum necessary to perform authorized maintenance or troubleshooting; and (c) documented in a written service log retained by CE.</w:t>
      </w:r>
    </w:p>
    <w:p>
      <w:pPr>
        <w:pStyle w:val="Heading2"/>
        <w:spacing w:after="120" w:before="240"/>
      </w:pPr>
      <w:r>
        <w:rPr>
          <w:rFonts w:ascii="Arial" w:cs="Arial" w:eastAsia="Arial" w:hAnsi="Arial"/>
          <w:b/>
          <w:bCs/>
          <w:color w:val="188B96"/>
          <w:sz w:val="24"/>
          <w:szCs w:val="24"/>
        </w:rPr>
        <w:t xml:space="preserve">1.6 Minimum Necessary</w:t>
      </w:r>
    </w:p>
    <w:p>
      <w:pPr>
        <w:spacing w:after="120" w:before="80"/>
      </w:pPr>
      <w:r>
        <w:rPr>
          <w:rFonts w:ascii="Arial" w:cs="Arial" w:eastAsia="Arial" w:hAnsi="Arial"/>
          <w:sz w:val="22"/>
          <w:szCs w:val="22"/>
        </w:rPr>
        <w:t xml:space="preserve">As set forth at 45 CFR § 164.502(b): access to, use of, or disclosure of only the minimum PHI necessary to accomplish the intended purpose.</w:t>
      </w:r>
    </w:p>
    <w:p>
      <w:pPr>
        <w:pBdr>
          <w:bottom w:val="single" w:color="CCCCCC" w:sz="4"/>
        </w:pBdr>
        <w:spacing w:after="160" w:before="160"/>
      </w:pPr>
    </w:p>
    <w:p>
      <w:pPr>
        <w:pStyle w:val="Heading1"/>
        <w:spacing w:after="160" w:before="320"/>
      </w:pPr>
      <w:r>
        <w:rPr>
          <w:rFonts w:ascii="Arial" w:cs="Arial" w:eastAsia="Arial" w:hAnsi="Arial"/>
          <w:b/>
          <w:bCs/>
          <w:color w:val="0A1F3D"/>
          <w:sz w:val="28"/>
          <w:szCs w:val="28"/>
        </w:rPr>
        <w:t xml:space="preserve">2. OBLIGATIONS OF POCONO AI, LLC</w:t>
      </w:r>
    </w:p>
    <w:p>
      <w:pPr>
        <w:pStyle w:val="Heading2"/>
        <w:spacing w:after="120" w:before="240"/>
      </w:pPr>
      <w:r>
        <w:rPr>
          <w:rFonts w:ascii="Arial" w:cs="Arial" w:eastAsia="Arial" w:hAnsi="Arial"/>
          <w:b/>
          <w:bCs/>
          <w:color w:val="188B96"/>
          <w:sz w:val="24"/>
          <w:szCs w:val="24"/>
        </w:rPr>
        <w:t xml:space="preserve">2.1 Permitted Uses and Disclosures</w:t>
      </w:r>
    </w:p>
    <w:p>
      <w:pPr>
        <w:spacing w:after="120" w:before="80"/>
      </w:pPr>
      <w:r>
        <w:rPr>
          <w:rFonts w:ascii="Arial" w:cs="Arial" w:eastAsia="Arial" w:hAnsi="Arial"/>
          <w:sz w:val="22"/>
          <w:szCs w:val="22"/>
        </w:rPr>
        <w:t xml:space="preserve">Pocono AI, LLC shall use or disclose PHI solely:</w:t>
      </w:r>
    </w:p>
    <w:p>
      <w:pPr>
        <w:pStyle w:val="ListParagraph"/>
        <w:numPr>
          <w:ilvl w:val="0"/>
          <w:numId w:val="2"/>
        </w:numPr>
        <w:spacing w:after="60" w:before="60"/>
      </w:pPr>
      <w:r>
        <w:rPr>
          <w:rFonts w:ascii="Arial" w:cs="Arial" w:eastAsia="Arial" w:hAnsi="Arial"/>
          <w:sz w:val="22"/>
          <w:szCs w:val="22"/>
        </w:rPr>
        <w:t xml:space="preserve">To perform the Services as specified in the Services Agreement, limited to on-site installation, configuration, and maintenance of the Sentinel Node hardware;</w:t>
      </w:r>
    </w:p>
    <w:p>
      <w:pPr>
        <w:pStyle w:val="ListParagraph"/>
        <w:numPr>
          <w:ilvl w:val="0"/>
          <w:numId w:val="2"/>
        </w:numPr>
        <w:spacing w:after="60" w:before="60"/>
      </w:pPr>
      <w:r>
        <w:rPr>
          <w:rFonts w:ascii="Arial" w:cs="Arial" w:eastAsia="Arial" w:hAnsi="Arial"/>
          <w:sz w:val="22"/>
          <w:szCs w:val="22"/>
        </w:rPr>
        <w:t xml:space="preserve">As Required by Law (45 CFR § 164.103); or</w:t>
      </w:r>
    </w:p>
    <w:p>
      <w:pPr>
        <w:pStyle w:val="ListParagraph"/>
        <w:numPr>
          <w:ilvl w:val="0"/>
          <w:numId w:val="2"/>
        </w:numPr>
        <w:spacing w:after="60" w:before="60"/>
      </w:pPr>
      <w:r>
        <w:rPr>
          <w:rFonts w:ascii="Arial" w:cs="Arial" w:eastAsia="Arial" w:hAnsi="Arial"/>
          <w:sz w:val="22"/>
          <w:szCs w:val="22"/>
        </w:rPr>
        <w:t xml:space="preserve">For proper management and administration, provided disclosures are Required by Law or Pocono AI, LLC obtains reasonable written assurances of confidentiality from the recipient.</w:t>
      </w:r>
    </w:p>
    <w:p>
      <w:pPr>
        <w:pStyle w:val="Heading2"/>
        <w:spacing w:after="120" w:before="240"/>
      </w:pPr>
      <w:r>
        <w:rPr>
          <w:rFonts w:ascii="Arial" w:cs="Arial" w:eastAsia="Arial" w:hAnsi="Arial"/>
          <w:b/>
          <w:bCs/>
          <w:color w:val="188B96"/>
          <w:sz w:val="24"/>
          <w:szCs w:val="24"/>
        </w:rPr>
        <w:t xml:space="preserve">2.2 Prohibited Uses and Disclosures</w:t>
      </w:r>
    </w:p>
    <w:p>
      <w:pPr>
        <w:spacing w:after="120" w:before="80"/>
      </w:pPr>
      <w:r>
        <w:rPr>
          <w:rFonts w:ascii="Arial" w:cs="Arial" w:eastAsia="Arial" w:hAnsi="Arial"/>
          <w:sz w:val="22"/>
          <w:szCs w:val="22"/>
        </w:rPr>
        <w:t xml:space="preserve">Pocono AI, LLC shall NOT:</w:t>
      </w:r>
    </w:p>
    <w:p>
      <w:pPr>
        <w:pStyle w:val="ListParagraph"/>
        <w:numPr>
          <w:ilvl w:val="0"/>
          <w:numId w:val="2"/>
        </w:numPr>
        <w:spacing w:after="60" w:before="60"/>
      </w:pPr>
      <w:r>
        <w:rPr>
          <w:rFonts w:ascii="Arial" w:cs="Arial" w:eastAsia="Arial" w:hAnsi="Arial"/>
          <w:sz w:val="22"/>
          <w:szCs w:val="22"/>
        </w:rPr>
        <w:t xml:space="preserve">Access, transmit, store, process, or copy PHI via any remote, cloud, internet-connected, or wireless system;</w:t>
      </w:r>
    </w:p>
    <w:p>
      <w:pPr>
        <w:pStyle w:val="ListParagraph"/>
        <w:numPr>
          <w:ilvl w:val="0"/>
          <w:numId w:val="2"/>
        </w:numPr>
        <w:spacing w:after="60" w:before="60"/>
      </w:pPr>
      <w:r>
        <w:rPr>
          <w:rFonts w:ascii="Arial" w:cs="Arial" w:eastAsia="Arial" w:hAnsi="Arial"/>
          <w:sz w:val="22"/>
          <w:szCs w:val="22"/>
        </w:rPr>
        <w:t xml:space="preserve">Use or disclose PHI for any purpose beyond those in Section 2.1;</w:t>
      </w:r>
    </w:p>
    <w:p>
      <w:pPr>
        <w:pStyle w:val="ListParagraph"/>
        <w:numPr>
          <w:ilvl w:val="0"/>
          <w:numId w:val="2"/>
        </w:numPr>
        <w:spacing w:after="60" w:before="60"/>
      </w:pPr>
      <w:r>
        <w:rPr>
          <w:rFonts w:ascii="Arial" w:cs="Arial" w:eastAsia="Arial" w:hAnsi="Arial"/>
          <w:sz w:val="22"/>
          <w:szCs w:val="22"/>
        </w:rPr>
        <w:t xml:space="preserve">Use PHI for marketing, model training, or research without express written authorization from CE and, where required, from each individual whose PHI is involved;</w:t>
      </w:r>
    </w:p>
    <w:p>
      <w:pPr>
        <w:pStyle w:val="ListParagraph"/>
        <w:numPr>
          <w:ilvl w:val="0"/>
          <w:numId w:val="2"/>
        </w:numPr>
        <w:spacing w:after="60" w:before="60"/>
      </w:pPr>
      <w:r>
        <w:rPr>
          <w:rFonts w:ascii="Arial" w:cs="Arial" w:eastAsia="Arial" w:hAnsi="Arial"/>
          <w:sz w:val="22"/>
          <w:szCs w:val="22"/>
        </w:rPr>
        <w:t xml:space="preserve">Receive remuneration in exchange for PHI without valid written authorization compliant with 45 CFR § 164.508.</w:t>
      </w:r>
    </w:p>
    <w:p>
      <w:pPr>
        <w:pStyle w:val="Heading2"/>
        <w:spacing w:after="120" w:before="240"/>
      </w:pPr>
      <w:r>
        <w:rPr>
          <w:rFonts w:ascii="Arial" w:cs="Arial" w:eastAsia="Arial" w:hAnsi="Arial"/>
          <w:b/>
          <w:bCs/>
          <w:color w:val="188B96"/>
          <w:sz w:val="24"/>
          <w:szCs w:val="24"/>
        </w:rPr>
        <w:t xml:space="preserve">2.3 Minimum Necessary Standard</w:t>
      </w:r>
    </w:p>
    <w:p>
      <w:pPr>
        <w:spacing w:after="120" w:before="80"/>
      </w:pPr>
      <w:r>
        <w:rPr>
          <w:rFonts w:ascii="Arial" w:cs="Arial" w:eastAsia="Arial" w:hAnsi="Arial"/>
          <w:sz w:val="22"/>
          <w:szCs w:val="22"/>
        </w:rPr>
        <w:t xml:space="preserve">All Incidental Access by Pocono AI, LLC personnel shall be strictly limited to the Minimum Necessary PHI required to complete the authorized service task, per 45 CFR § 164.502(b).</w:t>
      </w:r>
    </w:p>
    <w:p>
      <w:pPr>
        <w:pStyle w:val="Heading2"/>
        <w:spacing w:after="120" w:before="240"/>
      </w:pPr>
      <w:r>
        <w:rPr>
          <w:rFonts w:ascii="Arial" w:cs="Arial" w:eastAsia="Arial" w:hAnsi="Arial"/>
          <w:b/>
          <w:bCs/>
          <w:color w:val="188B96"/>
          <w:sz w:val="24"/>
          <w:szCs w:val="24"/>
        </w:rPr>
        <w:t xml:space="preserve">2.4 Safeguards</w:t>
      </w:r>
    </w:p>
    <w:p>
      <w:pPr>
        <w:spacing w:after="120" w:before="80"/>
      </w:pPr>
      <w:r>
        <w:rPr>
          <w:rFonts w:ascii="Arial" w:cs="Arial" w:eastAsia="Arial" w:hAnsi="Arial"/>
          <w:sz w:val="22"/>
          <w:szCs w:val="22"/>
        </w:rPr>
        <w:t xml:space="preserve">Pocono AI, LLC shall maintain appropriate administrative, physical, and technical safeguards including:</w:t>
      </w:r>
    </w:p>
    <w:p>
      <w:pPr>
        <w:pStyle w:val="ListParagraph"/>
        <w:numPr>
          <w:ilvl w:val="0"/>
          <w:numId w:val="2"/>
        </w:numPr>
        <w:spacing w:after="60" w:before="60"/>
      </w:pPr>
      <w:r>
        <w:rPr>
          <w:rFonts w:ascii="Arial" w:cs="Arial" w:eastAsia="Arial" w:hAnsi="Arial"/>
          <w:sz w:val="22"/>
          <w:szCs w:val="22"/>
        </w:rPr>
        <w:t xml:space="preserve">Physical: All on-site service performed with CE's designated representative present and documented in a written service log.</w:t>
      </w:r>
    </w:p>
    <w:p>
      <w:pPr>
        <w:pStyle w:val="ListParagraph"/>
        <w:numPr>
          <w:ilvl w:val="0"/>
          <w:numId w:val="2"/>
        </w:numPr>
        <w:spacing w:after="60" w:before="60"/>
      </w:pPr>
      <w:r>
        <w:rPr>
          <w:rFonts w:ascii="Arial" w:cs="Arial" w:eastAsia="Arial" w:hAnsi="Arial"/>
          <w:sz w:val="22"/>
          <w:szCs w:val="22"/>
        </w:rPr>
        <w:t xml:space="preserve">Technical: Zero-PHI-exfiltration architecture enforced at hardware and network level. No outbound ports open during inference. Software updates delivered exclusively via cryptographically signed, SHA-256 verified USB media. No automatic network connections.</w:t>
      </w:r>
    </w:p>
    <w:p>
      <w:pPr>
        <w:pStyle w:val="ListParagraph"/>
        <w:numPr>
          <w:ilvl w:val="0"/>
          <w:numId w:val="2"/>
        </w:numPr>
        <w:spacing w:after="60" w:before="60"/>
      </w:pPr>
      <w:r>
        <w:rPr>
          <w:rFonts w:ascii="Arial" w:cs="Arial" w:eastAsia="Arial" w:hAnsi="Arial"/>
          <w:sz w:val="22"/>
          <w:szCs w:val="22"/>
        </w:rPr>
        <w:t xml:space="preserve">Administrative: Minimum Necessary standard applied to all Incidental Access. Personnel with Incidental Access trained on HIPAA obligations.</w:t>
      </w:r>
    </w:p>
    <w:p>
      <w:pPr>
        <w:pStyle w:val="Heading2"/>
        <w:spacing w:after="120" w:before="240"/>
      </w:pPr>
      <w:r>
        <w:rPr>
          <w:rFonts w:ascii="Arial" w:cs="Arial" w:eastAsia="Arial" w:hAnsi="Arial"/>
          <w:b/>
          <w:bCs/>
          <w:color w:val="188B96"/>
          <w:sz w:val="24"/>
          <w:szCs w:val="24"/>
        </w:rPr>
        <w:t xml:space="preserve">2.5 Subcontractors and Agents</w:t>
      </w:r>
    </w:p>
    <w:p>
      <w:pPr>
        <w:spacing w:after="120" w:before="80"/>
      </w:pPr>
      <w:r>
        <w:rPr>
          <w:rFonts w:ascii="Arial" w:cs="Arial" w:eastAsia="Arial" w:hAnsi="Arial"/>
          <w:sz w:val="22"/>
          <w:szCs w:val="22"/>
        </w:rPr>
        <w:t xml:space="preserve">Pocono AI, LLC shall not engage any subcontractor or agent that creates, receives, maintains, or transmits PHI on behalf of CE without: (a) thirty (30) days prior written notice to CE; and (b) a written agreement requiring the subcontractor to comply with the same restrictions and conditions applicable to Pocono AI, LLC under this Agreement and under HIPAA/HITECH. 45 CFR § 164.504(e)(2)(ii)(D).</w:t>
      </w:r>
    </w:p>
    <w:p>
      <w:pPr>
        <w:pStyle w:val="Heading2"/>
        <w:spacing w:after="120" w:before="240"/>
      </w:pPr>
      <w:r>
        <w:rPr>
          <w:rFonts w:ascii="Arial" w:cs="Arial" w:eastAsia="Arial" w:hAnsi="Arial"/>
          <w:b/>
          <w:bCs/>
          <w:color w:val="188B96"/>
          <w:sz w:val="24"/>
          <w:szCs w:val="24"/>
        </w:rPr>
        <w:t xml:space="preserve">2.6 Reporting Obligations</w:t>
      </w:r>
    </w:p>
    <w:p>
      <w:pPr>
        <w:spacing w:after="120" w:before="80"/>
      </w:pPr>
      <w:r>
        <w:rPr>
          <w:rFonts w:ascii="Arial" w:cs="Arial" w:eastAsia="Arial" w:hAnsi="Arial"/>
          <w:sz w:val="22"/>
          <w:szCs w:val="22"/>
        </w:rPr>
        <w:t xml:space="preserve">Security Incidents: Pocono AI, LLC shall report to CE's Privacy Officer any Security Incident (as defined in Section 1.2, per 45 CFR § 164.304) of which it becomes aware, in writing, without unreasonable delay and in no event later than five (5) business days of discovery.</w:t>
      </w:r>
    </w:p>
    <w:p>
      <w:pPr>
        <w:spacing w:after="80" w:before="80"/>
      </w:pPr>
      <w:r>
        <w:t xml:space="preserve"/>
      </w:r>
    </w:p>
    <w:p>
      <w:pPr>
        <w:spacing w:after="120" w:before="80"/>
      </w:pPr>
      <w:r>
        <w:rPr>
          <w:rFonts w:ascii="Arial" w:cs="Arial" w:eastAsia="Arial" w:hAnsi="Arial"/>
          <w:sz w:val="22"/>
          <w:szCs w:val="22"/>
        </w:rPr>
        <w:t xml:space="preserve">Breaches of Unsecured PHI: Pocono AI, LLC shall notify CE of any Breach of Unsecured PHI in accordance with 45 CFR § 164.410, without unreasonable delay and in no event later than sixty (60) calendar days of discovery. Notice shall include the elements required by 45 CFR § 164.410(c).</w:t>
      </w:r>
    </w:p>
    <w:p>
      <w:pPr>
        <w:pStyle w:val="Heading2"/>
        <w:spacing w:after="120" w:before="240"/>
      </w:pPr>
      <w:r>
        <w:rPr>
          <w:rFonts w:ascii="Arial" w:cs="Arial" w:eastAsia="Arial" w:hAnsi="Arial"/>
          <w:b/>
          <w:bCs/>
          <w:color w:val="188B96"/>
          <w:sz w:val="24"/>
          <w:szCs w:val="24"/>
        </w:rPr>
        <w:t xml:space="preserve">2.7 Individual Rights — EAA Scope</w:t>
      </w:r>
    </w:p>
    <w:p>
      <w:pPr>
        <w:spacing w:after="120" w:before="80"/>
      </w:pPr>
      <w:r>
        <w:rPr>
          <w:rFonts w:ascii="Arial" w:cs="Arial" w:eastAsia="Arial" w:hAnsi="Arial"/>
          <w:sz w:val="22"/>
          <w:szCs w:val="22"/>
        </w:rPr>
        <w:t xml:space="preserve">To the extent Pocono AI, LLC maintains PHI in a Designated Record Set, and to the extent applicable under the EAA deployment model (under which PHI remains on CE's hardware in CE's physical custody), Pocono AI, LLC shall cooperate with CE to:</w:t>
      </w:r>
    </w:p>
    <w:p>
      <w:pPr>
        <w:pStyle w:val="ListParagraph"/>
        <w:numPr>
          <w:ilvl w:val="0"/>
          <w:numId w:val="2"/>
        </w:numPr>
        <w:spacing w:after="60" w:before="60"/>
      </w:pPr>
      <w:r>
        <w:rPr>
          <w:rFonts w:ascii="Arial" w:cs="Arial" w:eastAsia="Arial" w:hAnsi="Arial"/>
          <w:sz w:val="22"/>
          <w:szCs w:val="22"/>
        </w:rPr>
        <w:t xml:space="preserve">Provide access to PHI per 45 CFR § 164.524;</w:t>
      </w:r>
    </w:p>
    <w:p>
      <w:pPr>
        <w:pStyle w:val="ListParagraph"/>
        <w:numPr>
          <w:ilvl w:val="0"/>
          <w:numId w:val="2"/>
        </w:numPr>
        <w:spacing w:after="60" w:before="60"/>
      </w:pPr>
      <w:r>
        <w:rPr>
          <w:rFonts w:ascii="Arial" w:cs="Arial" w:eastAsia="Arial" w:hAnsi="Arial"/>
          <w:sz w:val="22"/>
          <w:szCs w:val="22"/>
        </w:rPr>
        <w:t xml:space="preserve">Incorporate amendments per 45 CFR § 164.526;</w:t>
      </w:r>
    </w:p>
    <w:p>
      <w:pPr>
        <w:pStyle w:val="ListParagraph"/>
        <w:numPr>
          <w:ilvl w:val="0"/>
          <w:numId w:val="2"/>
        </w:numPr>
        <w:spacing w:after="60" w:before="60"/>
      </w:pPr>
      <w:r>
        <w:rPr>
          <w:rFonts w:ascii="Arial" w:cs="Arial" w:eastAsia="Arial" w:hAnsi="Arial"/>
          <w:sz w:val="22"/>
          <w:szCs w:val="22"/>
        </w:rPr>
        <w:t xml:space="preserve">Provide an accounting of disclosures per 45 CFR § 164.528.</w:t>
      </w:r>
    </w:p>
    <w:p>
      <w:pPr>
        <w:spacing w:after="120" w:before="80"/>
      </w:pPr>
      <w:r>
        <w:rPr>
          <w:rFonts w:ascii="Arial" w:cs="Arial" w:eastAsia="Arial" w:hAnsi="Arial"/>
          <w:sz w:val="22"/>
          <w:szCs w:val="22"/>
        </w:rPr>
        <w:t xml:space="preserve">The parties acknowledge that under the EAA model, CE retains direct access to all PHI on the Sentinel Node hardware, and CE's Privacy Officer is the primary party responsible for fulfilling individual rights requests.</w:t>
      </w:r>
    </w:p>
    <w:p>
      <w:pPr>
        <w:pStyle w:val="Heading2"/>
        <w:spacing w:after="120" w:before="240"/>
      </w:pPr>
      <w:r>
        <w:rPr>
          <w:rFonts w:ascii="Arial" w:cs="Arial" w:eastAsia="Arial" w:hAnsi="Arial"/>
          <w:b/>
          <w:bCs/>
          <w:color w:val="188B96"/>
          <w:sz w:val="24"/>
          <w:szCs w:val="24"/>
        </w:rPr>
        <w:t xml:space="preserve">2.8 Government Access</w:t>
      </w:r>
    </w:p>
    <w:p>
      <w:pPr>
        <w:spacing w:after="120" w:before="80"/>
      </w:pPr>
      <w:r>
        <w:rPr>
          <w:rFonts w:ascii="Arial" w:cs="Arial" w:eastAsia="Arial" w:hAnsi="Arial"/>
          <w:sz w:val="22"/>
          <w:szCs w:val="22"/>
        </w:rPr>
        <w:t xml:space="preserve">Pocono AI, LLC shall make its internal practices, books, and records relating to PHI available to the HHS Secretary for compliance determination, and shall provide CE written notice of any such government inquiry within two (2) business days of receipt.</w:t>
      </w:r>
    </w:p>
    <w:p>
      <w:pPr>
        <w:pStyle w:val="Heading2"/>
        <w:spacing w:after="120" w:before="240"/>
      </w:pPr>
      <w:r>
        <w:rPr>
          <w:rFonts w:ascii="Arial" w:cs="Arial" w:eastAsia="Arial" w:hAnsi="Arial"/>
          <w:b/>
          <w:bCs/>
          <w:color w:val="188B96"/>
          <w:sz w:val="24"/>
          <w:szCs w:val="24"/>
        </w:rPr>
        <w:t xml:space="preserve">2.9 Immutable Audit Log</w:t>
      </w:r>
    </w:p>
    <w:p>
      <w:pPr>
        <w:spacing w:after="120" w:before="80"/>
      </w:pPr>
      <w:r>
        <w:rPr>
          <w:rFonts w:ascii="Arial" w:cs="Arial" w:eastAsia="Arial" w:hAnsi="Arial"/>
          <w:sz w:val="22"/>
          <w:szCs w:val="22"/>
        </w:rPr>
        <w:t xml:space="preserve">The Sentinel Node maintains a local, immutable audit log of all semantic queries, retrieved data chunks, and generated outputs. This log is stored exclusively on CE's hardware within CE's facility. Pocono AI, LLC has zero remote access to this log. Logs are retained for a minimum of ninety (90) days. The log is queryable exclusively by authorized CE personnel.</w:t>
      </w:r>
    </w:p>
    <w:p>
      <w:pPr>
        <w:pBdr>
          <w:bottom w:val="single" w:color="CCCCCC" w:sz="4"/>
        </w:pBdr>
        <w:spacing w:after="160" w:before="160"/>
      </w:pPr>
    </w:p>
    <w:p>
      <w:pPr>
        <w:pStyle w:val="Heading1"/>
        <w:spacing w:after="160" w:before="320"/>
      </w:pPr>
      <w:r>
        <w:rPr>
          <w:rFonts w:ascii="Arial" w:cs="Arial" w:eastAsia="Arial" w:hAnsi="Arial"/>
          <w:b/>
          <w:bCs/>
          <w:color w:val="0A1F3D"/>
          <w:sz w:val="28"/>
          <w:szCs w:val="28"/>
        </w:rPr>
        <w:t xml:space="preserve">3. OBLIGATIONS OF COVERED ENTITY</w:t>
      </w:r>
    </w:p>
    <w:p>
      <w:pPr>
        <w:pStyle w:val="Heading2"/>
        <w:spacing w:after="120" w:before="240"/>
      </w:pPr>
      <w:r>
        <w:rPr>
          <w:rFonts w:ascii="Arial" w:cs="Arial" w:eastAsia="Arial" w:hAnsi="Arial"/>
          <w:b/>
          <w:bCs/>
          <w:color w:val="188B96"/>
          <w:sz w:val="24"/>
          <w:szCs w:val="24"/>
        </w:rPr>
        <w:t xml:space="preserve">3.1 Notice of Changes</w:t>
      </w:r>
    </w:p>
    <w:p>
      <w:pPr>
        <w:spacing w:after="120" w:before="80"/>
      </w:pPr>
      <w:r>
        <w:rPr>
          <w:rFonts w:ascii="Arial" w:cs="Arial" w:eastAsia="Arial" w:hAnsi="Arial"/>
          <w:sz w:val="22"/>
          <w:szCs w:val="22"/>
        </w:rPr>
        <w:t xml:space="preserve">CE shall promptly notify Pocono AI, LLC of any changes to its Notice of Privacy Practices, or any restrictions on PHI use or disclosure agreed to by CE with individuals, that would affect Pocono AI, LLC's performance of the Services.</w:t>
      </w:r>
    </w:p>
    <w:p>
      <w:pPr>
        <w:pStyle w:val="Heading2"/>
        <w:spacing w:after="120" w:before="240"/>
      </w:pPr>
      <w:r>
        <w:rPr>
          <w:rFonts w:ascii="Arial" w:cs="Arial" w:eastAsia="Arial" w:hAnsi="Arial"/>
          <w:b/>
          <w:bCs/>
          <w:color w:val="188B96"/>
          <w:sz w:val="24"/>
          <w:szCs w:val="24"/>
        </w:rPr>
        <w:t xml:space="preserve">3.2 Authorizations</w:t>
      </w:r>
    </w:p>
    <w:p>
      <w:pPr>
        <w:spacing w:after="120" w:before="80"/>
      </w:pPr>
      <w:r>
        <w:rPr>
          <w:rFonts w:ascii="Arial" w:cs="Arial" w:eastAsia="Arial" w:hAnsi="Arial"/>
          <w:sz w:val="22"/>
          <w:szCs w:val="22"/>
        </w:rPr>
        <w:t xml:space="preserve">CE shall obtain any authorizations required for Pocono AI, LLC to use or disclose PHI as permitted under this Agreement.</w:t>
      </w:r>
    </w:p>
    <w:p>
      <w:pPr>
        <w:pStyle w:val="Heading2"/>
        <w:spacing w:after="120" w:before="240"/>
      </w:pPr>
      <w:r>
        <w:rPr>
          <w:rFonts w:ascii="Arial" w:cs="Arial" w:eastAsia="Arial" w:hAnsi="Arial"/>
          <w:b/>
          <w:bCs/>
          <w:color w:val="188B96"/>
          <w:sz w:val="24"/>
          <w:szCs w:val="24"/>
        </w:rPr>
        <w:t xml:space="preserve">3.3 Physical Custody Acknowledgment</w:t>
      </w:r>
    </w:p>
    <w:p>
      <w:pPr>
        <w:spacing w:after="120" w:before="80"/>
      </w:pPr>
      <w:r>
        <w:rPr>
          <w:rFonts w:ascii="Arial" w:cs="Arial" w:eastAsia="Arial" w:hAnsi="Arial"/>
          <w:sz w:val="22"/>
          <w:szCs w:val="22"/>
        </w:rPr>
        <w:t xml:space="preserve">CE acknowledges and agrees that under the EAA model: (a) CE retains 100% physical and legal custody of the Sentinel Node hardware and all PHI stored thereon; (b) CE is responsible for physical security of the hardware within CE's facility; and (c) CE's IT and security teams may independently verify zero-exfiltration using network capture tools provided by Pocono AI, LLC.</w:t>
      </w:r>
    </w:p>
    <w:p>
      <w:pPr>
        <w:pBdr>
          <w:bottom w:val="single" w:color="CCCCCC" w:sz="4"/>
        </w:pBdr>
        <w:spacing w:after="160" w:before="160"/>
      </w:pPr>
    </w:p>
    <w:p>
      <w:pPr>
        <w:pStyle w:val="Heading1"/>
        <w:spacing w:after="160" w:before="320"/>
      </w:pPr>
      <w:r>
        <w:rPr>
          <w:rFonts w:ascii="Arial" w:cs="Arial" w:eastAsia="Arial" w:hAnsi="Arial"/>
          <w:b/>
          <w:bCs/>
          <w:color w:val="0A1F3D"/>
          <w:sz w:val="28"/>
          <w:szCs w:val="28"/>
        </w:rPr>
        <w:t xml:space="preserve">4. TERM AND TERMINATION</w:t>
      </w:r>
    </w:p>
    <w:p>
      <w:pPr>
        <w:pStyle w:val="Heading2"/>
        <w:spacing w:after="120" w:before="240"/>
      </w:pPr>
      <w:r>
        <w:rPr>
          <w:rFonts w:ascii="Arial" w:cs="Arial" w:eastAsia="Arial" w:hAnsi="Arial"/>
          <w:b/>
          <w:bCs/>
          <w:color w:val="188B96"/>
          <w:sz w:val="24"/>
          <w:szCs w:val="24"/>
        </w:rPr>
        <w:t xml:space="preserve">4.1 Term</w:t>
      </w:r>
    </w:p>
    <w:p>
      <w:pPr>
        <w:spacing w:after="120" w:before="80"/>
      </w:pPr>
      <w:r>
        <w:rPr>
          <w:rFonts w:ascii="Arial" w:cs="Arial" w:eastAsia="Arial" w:hAnsi="Arial"/>
          <w:sz w:val="22"/>
          <w:szCs w:val="22"/>
        </w:rPr>
        <w:t xml:space="preserve">This Agreement is effective as of the Effective Date and remains in effect until terminated as set forth herein or upon expiration or termination of the Services Agreement.</w:t>
      </w:r>
    </w:p>
    <w:p>
      <w:pPr>
        <w:pStyle w:val="Heading2"/>
        <w:spacing w:after="120" w:before="240"/>
      </w:pPr>
      <w:r>
        <w:rPr>
          <w:rFonts w:ascii="Arial" w:cs="Arial" w:eastAsia="Arial" w:hAnsi="Arial"/>
          <w:b/>
          <w:bCs/>
          <w:color w:val="188B96"/>
          <w:sz w:val="24"/>
          <w:szCs w:val="24"/>
        </w:rPr>
        <w:t xml:space="preserve">4.2 Termination for Cause</w:t>
      </w:r>
    </w:p>
    <w:p>
      <w:pPr>
        <w:spacing w:after="120" w:before="80"/>
      </w:pPr>
      <w:r>
        <w:rPr>
          <w:rFonts w:ascii="Arial" w:cs="Arial" w:eastAsia="Arial" w:hAnsi="Arial"/>
          <w:sz w:val="22"/>
          <w:szCs w:val="22"/>
        </w:rPr>
        <w:t xml:space="preserve">Either party may terminate this Agreement upon thirty (30) days written notice if the other party has materially breached any provision and failed to cure within the notice period. If cure is not feasible, the non-breaching party may terminate immediately upon written notice.</w:t>
      </w:r>
    </w:p>
    <w:p>
      <w:pPr>
        <w:pStyle w:val="Heading2"/>
        <w:spacing w:after="120" w:before="240"/>
      </w:pPr>
      <w:r>
        <w:rPr>
          <w:rFonts w:ascii="Arial" w:cs="Arial" w:eastAsia="Arial" w:hAnsi="Arial"/>
          <w:b/>
          <w:bCs/>
          <w:color w:val="188B96"/>
          <w:sz w:val="24"/>
          <w:szCs w:val="24"/>
        </w:rPr>
        <w:t xml:space="preserve">4.3 Effect of Termination — PHI Disposition</w:t>
      </w:r>
    </w:p>
    <w:p>
      <w:pPr>
        <w:spacing w:after="120" w:before="80"/>
      </w:pPr>
      <w:r>
        <w:rPr>
          <w:rFonts w:ascii="Arial" w:cs="Arial" w:eastAsia="Arial" w:hAnsi="Arial"/>
          <w:sz w:val="22"/>
          <w:szCs w:val="22"/>
        </w:rPr>
        <w:t xml:space="preserve">Upon termination for any reason, Pocono AI, LLC shall, as directed by CE and to the extent feasible:</w:t>
      </w:r>
    </w:p>
    <w:p>
      <w:pPr>
        <w:pStyle w:val="ListParagraph"/>
        <w:numPr>
          <w:ilvl w:val="0"/>
          <w:numId w:val="2"/>
        </w:numPr>
        <w:spacing w:after="60" w:before="60"/>
      </w:pPr>
      <w:r>
        <w:rPr>
          <w:rFonts w:ascii="Arial" w:cs="Arial" w:eastAsia="Arial" w:hAnsi="Arial"/>
          <w:sz w:val="22"/>
          <w:szCs w:val="22"/>
        </w:rPr>
        <w:t xml:space="preserve">Return to CE all PHI received or created on behalf of CE; or</w:t>
      </w:r>
    </w:p>
    <w:p>
      <w:pPr>
        <w:pStyle w:val="ListParagraph"/>
        <w:numPr>
          <w:ilvl w:val="0"/>
          <w:numId w:val="2"/>
        </w:numPr>
        <w:spacing w:after="60" w:before="60"/>
      </w:pPr>
      <w:r>
        <w:rPr>
          <w:rFonts w:ascii="Arial" w:cs="Arial" w:eastAsia="Arial" w:hAnsi="Arial"/>
          <w:sz w:val="22"/>
          <w:szCs w:val="22"/>
        </w:rPr>
        <w:t xml:space="preserve">Securely destroy all such PHI, retaining no copies in any form; or</w:t>
      </w:r>
    </w:p>
    <w:p>
      <w:pPr>
        <w:pStyle w:val="ListParagraph"/>
        <w:numPr>
          <w:ilvl w:val="0"/>
          <w:numId w:val="2"/>
        </w:numPr>
        <w:spacing w:after="60" w:before="60"/>
      </w:pPr>
      <w:r>
        <w:rPr>
          <w:rFonts w:ascii="Arial" w:cs="Arial" w:eastAsia="Arial" w:hAnsi="Arial"/>
          <w:sz w:val="22"/>
          <w:szCs w:val="22"/>
        </w:rPr>
        <w:t xml:space="preserve">If neither return nor destruction is feasible, extend the protections of this Agreement to such PHI indefinitely.</w:t>
      </w:r>
    </w:p>
    <w:p>
      <w:pPr>
        <w:spacing w:after="120" w:before="80"/>
      </w:pPr>
      <w:r>
        <w:rPr>
          <w:rFonts w:ascii="Arial" w:cs="Arial" w:eastAsia="Arial" w:hAnsi="Arial"/>
          <w:sz w:val="22"/>
          <w:szCs w:val="22"/>
        </w:rPr>
        <w:t xml:space="preserve">Within ten (10) business days of termination, Pocono AI, LLC shall deliver to CE a written certification confirming either: (a) all PHI has been returned to CE; (b) all PHI has been destroyed (with description of destruction method); or (c) a statement of why return or destruction is not feasible and a description of the ongoing protections applied.</w:t>
      </w:r>
    </w:p>
    <w:p>
      <w:pPr>
        <w:spacing w:after="120" w:before="80"/>
      </w:pPr>
      <w:r>
        <w:rPr>
          <w:rFonts w:ascii="Arial" w:cs="Arial" w:eastAsia="Arial" w:hAnsi="Arial"/>
          <w:sz w:val="22"/>
          <w:szCs w:val="22"/>
        </w:rPr>
        <w:t xml:space="preserve">Under the EAA model, CE confirms that all PHI is stored exclusively on hardware in CE's physical custody. Pocono AI, LLC confirms it retains no copies of PHI on any Pocono AI, LLC-controlled system.</w:t>
      </w:r>
    </w:p>
    <w:p>
      <w:pPr>
        <w:pBdr>
          <w:bottom w:val="single" w:color="CCCCCC" w:sz="4"/>
        </w:pBdr>
        <w:spacing w:after="160" w:before="160"/>
      </w:pPr>
    </w:p>
    <w:p>
      <w:pPr>
        <w:pStyle w:val="Heading1"/>
        <w:spacing w:after="160" w:before="320"/>
      </w:pPr>
      <w:r>
        <w:rPr>
          <w:rFonts w:ascii="Arial" w:cs="Arial" w:eastAsia="Arial" w:hAnsi="Arial"/>
          <w:b/>
          <w:bCs/>
          <w:color w:val="0A1F3D"/>
          <w:sz w:val="28"/>
          <w:szCs w:val="28"/>
        </w:rPr>
        <w:t xml:space="preserve">5. INDEMNIFICATION</w:t>
      </w:r>
    </w:p>
    <w:p>
      <w:pPr>
        <w:pStyle w:val="Heading2"/>
        <w:spacing w:after="120" w:before="240"/>
      </w:pPr>
      <w:r>
        <w:rPr>
          <w:rFonts w:ascii="Arial" w:cs="Arial" w:eastAsia="Arial" w:hAnsi="Arial"/>
          <w:b/>
          <w:bCs/>
          <w:color w:val="188B96"/>
          <w:sz w:val="24"/>
          <w:szCs w:val="24"/>
        </w:rPr>
        <w:t xml:space="preserve">5.1 By Pocono AI, LLC</w:t>
      </w:r>
    </w:p>
    <w:p>
      <w:pPr>
        <w:spacing w:after="120" w:before="80"/>
      </w:pPr>
      <w:r>
        <w:rPr>
          <w:rFonts w:ascii="Arial" w:cs="Arial" w:eastAsia="Arial" w:hAnsi="Arial"/>
          <w:sz w:val="22"/>
          <w:szCs w:val="22"/>
        </w:rPr>
        <w:t xml:space="preserve">Pocono AI, LLC shall indemnify, defend, and hold harmless CE and its officers, directors, employees, and agents from and against any claims, damages, losses, penalties, fines, or expenses (including reasonable attorneys' fees) arising out of or relating to: (a) any material breach of this Agreement by Pocono AI, LLC; (b) any negligent or wrongful act or omission by Pocono AI, LLC in connection with the Services; or (c) any Security Incident or Breach caused by Pocono AI, LLC's failure to maintain required safeguards.</w:t>
      </w:r>
    </w:p>
    <w:p>
      <w:pPr>
        <w:pStyle w:val="Heading2"/>
        <w:spacing w:after="120" w:before="240"/>
      </w:pPr>
      <w:r>
        <w:rPr>
          <w:rFonts w:ascii="Arial" w:cs="Arial" w:eastAsia="Arial" w:hAnsi="Arial"/>
          <w:b/>
          <w:bCs/>
          <w:color w:val="188B96"/>
          <w:sz w:val="24"/>
          <w:szCs w:val="24"/>
        </w:rPr>
        <w:t xml:space="preserve">5.2 By Covered Entity</w:t>
      </w:r>
    </w:p>
    <w:p>
      <w:pPr>
        <w:spacing w:after="120" w:before="80"/>
      </w:pPr>
      <w:r>
        <w:rPr>
          <w:rFonts w:ascii="Arial" w:cs="Arial" w:eastAsia="Arial" w:hAnsi="Arial"/>
          <w:sz w:val="22"/>
          <w:szCs w:val="22"/>
        </w:rPr>
        <w:t xml:space="preserve">CE shall indemnify, defend, and hold harmless Pocono AI, LLC from and against any claims arising out of or relating to: (a) CE's failure to comply with its obligations under this Agreement; (b) CE's failure to maintain physical security of the Sentinel Node hardware within CE's facility; or (c) CE's use of the Sentinel Node in a manner inconsistent with the Services Agreement or Pocono AI, LLC's written instructions.</w:t>
      </w:r>
    </w:p>
    <w:p>
      <w:pPr>
        <w:pStyle w:val="Heading2"/>
        <w:spacing w:after="120" w:before="240"/>
      </w:pPr>
      <w:r>
        <w:rPr>
          <w:rFonts w:ascii="Arial" w:cs="Arial" w:eastAsia="Arial" w:hAnsi="Arial"/>
          <w:b/>
          <w:bCs/>
          <w:color w:val="188B96"/>
          <w:sz w:val="24"/>
          <w:szCs w:val="24"/>
        </w:rPr>
        <w:t xml:space="preserve">5.3 Limitation of Liability</w:t>
      </w:r>
    </w:p>
    <w:p>
      <w:pPr>
        <w:spacing w:after="120" w:before="80"/>
      </w:pPr>
      <w:r>
        <w:rPr>
          <w:rFonts w:ascii="Arial" w:cs="Arial" w:eastAsia="Arial" w:hAnsi="Arial"/>
          <w:sz w:val="22"/>
          <w:szCs w:val="22"/>
        </w:rPr>
        <w:t xml:space="preserve">NEITHER PARTY SHALL BE LIABLE TO THE OTHER FOR INDIRECT, INCIDENTAL, SPECIAL, CONSEQUENTIAL, OR PUNITIVE DAMAGES ARISING OUT OF OR RELATED TO THIS AGREEMENT, EXCEPT TO THE EXTENT SUCH DAMAGES ARISE FROM A PARTY'S WILLFUL MISCONDUCT, GROSS NEGLIGENCE, OR INTENTIONAL BREACH OF THIS AGREEMENT.</w:t>
      </w:r>
    </w:p>
    <w:p>
      <w:pPr>
        <w:pBdr>
          <w:bottom w:val="single" w:color="CCCCCC" w:sz="4"/>
        </w:pBdr>
        <w:spacing w:after="160" w:before="160"/>
      </w:pPr>
    </w:p>
    <w:p>
      <w:pPr>
        <w:pStyle w:val="Heading1"/>
        <w:spacing w:after="160" w:before="320"/>
      </w:pPr>
      <w:r>
        <w:rPr>
          <w:rFonts w:ascii="Arial" w:cs="Arial" w:eastAsia="Arial" w:hAnsi="Arial"/>
          <w:b/>
          <w:bCs/>
          <w:color w:val="0A1F3D"/>
          <w:sz w:val="28"/>
          <w:szCs w:val="28"/>
        </w:rPr>
        <w:t xml:space="preserve">6. MISCELLANEOUS</w:t>
      </w:r>
    </w:p>
    <w:p>
      <w:pPr>
        <w:pStyle w:val="Heading2"/>
        <w:spacing w:after="120" w:before="240"/>
      </w:pPr>
      <w:r>
        <w:rPr>
          <w:rFonts w:ascii="Arial" w:cs="Arial" w:eastAsia="Arial" w:hAnsi="Arial"/>
          <w:b/>
          <w:bCs/>
          <w:color w:val="188B96"/>
          <w:sz w:val="24"/>
          <w:szCs w:val="24"/>
        </w:rPr>
        <w:t xml:space="preserve">6.1 Governing Law and Venue</w:t>
      </w:r>
    </w:p>
    <w:p>
      <w:pPr>
        <w:spacing w:after="120" w:before="80"/>
      </w:pPr>
      <w:r>
        <w:rPr>
          <w:rFonts w:ascii="Arial" w:cs="Arial" w:eastAsia="Arial" w:hAnsi="Arial"/>
          <w:sz w:val="22"/>
          <w:szCs w:val="22"/>
        </w:rPr>
        <w:t xml:space="preserve">This Agreement shall be governed by the laws of the Commonwealth of Pennsylvania without regard to conflict of law provisions. Exclusive venue shall be in the Court of Common Pleas of Monroe County, Pennsylvania, or the United States District Court for the Middle District of Pennsylvania.</w:t>
      </w:r>
    </w:p>
    <w:p>
      <w:pPr>
        <w:pStyle w:val="Heading2"/>
        <w:spacing w:after="120" w:before="240"/>
      </w:pPr>
      <w:r>
        <w:rPr>
          <w:rFonts w:ascii="Arial" w:cs="Arial" w:eastAsia="Arial" w:hAnsi="Arial"/>
          <w:b/>
          <w:bCs/>
          <w:color w:val="188B96"/>
          <w:sz w:val="24"/>
          <w:szCs w:val="24"/>
        </w:rPr>
        <w:t xml:space="preserve">6.2 Amendment</w:t>
      </w:r>
    </w:p>
    <w:p>
      <w:pPr>
        <w:spacing w:after="120" w:before="80"/>
      </w:pPr>
      <w:r>
        <w:rPr>
          <w:rFonts w:ascii="Arial" w:cs="Arial" w:eastAsia="Arial" w:hAnsi="Arial"/>
          <w:sz w:val="22"/>
          <w:szCs w:val="22"/>
        </w:rPr>
        <w:t xml:space="preserve">The parties shall amend this Agreement as necessary to comply with changes in HIPAA, HITECH, or applicable regulations. Any amendment shall be effective upon written agreement of both parties. In the event of a conflict between this Agreement and applicable law, applicable law controls.</w:t>
      </w:r>
    </w:p>
    <w:p>
      <w:pPr>
        <w:pStyle w:val="Heading2"/>
        <w:spacing w:after="120" w:before="240"/>
      </w:pPr>
      <w:r>
        <w:rPr>
          <w:rFonts w:ascii="Arial" w:cs="Arial" w:eastAsia="Arial" w:hAnsi="Arial"/>
          <w:b/>
          <w:bCs/>
          <w:color w:val="188B96"/>
          <w:sz w:val="24"/>
          <w:szCs w:val="24"/>
        </w:rPr>
        <w:t xml:space="preserve">6.3 Interpretation</w:t>
      </w:r>
    </w:p>
    <w:p>
      <w:pPr>
        <w:spacing w:after="120" w:before="80"/>
      </w:pPr>
      <w:r>
        <w:rPr>
          <w:rFonts w:ascii="Arial" w:cs="Arial" w:eastAsia="Arial" w:hAnsi="Arial"/>
          <w:sz w:val="22"/>
          <w:szCs w:val="22"/>
        </w:rPr>
        <w:t xml:space="preserve">This Agreement shall be interpreted to permit Pocono AI, LLC to use and disclose PHI for the proper management and administration of its business and to provide the Services, consistent with HIPAA and HITECH. Any ambiguity shall be resolved in favor of the interpretation that best protects the privacy and security of PHI.</w:t>
      </w:r>
    </w:p>
    <w:p>
      <w:pPr>
        <w:pStyle w:val="Heading2"/>
        <w:spacing w:after="120" w:before="240"/>
      </w:pPr>
      <w:r>
        <w:rPr>
          <w:rFonts w:ascii="Arial" w:cs="Arial" w:eastAsia="Arial" w:hAnsi="Arial"/>
          <w:b/>
          <w:bCs/>
          <w:color w:val="188B96"/>
          <w:sz w:val="24"/>
          <w:szCs w:val="24"/>
        </w:rPr>
        <w:t xml:space="preserve">6.4 Entire Agreement</w:t>
      </w:r>
    </w:p>
    <w:p>
      <w:pPr>
        <w:spacing w:after="120" w:before="80"/>
      </w:pPr>
      <w:r>
        <w:rPr>
          <w:rFonts w:ascii="Arial" w:cs="Arial" w:eastAsia="Arial" w:hAnsi="Arial"/>
          <w:sz w:val="22"/>
          <w:szCs w:val="22"/>
        </w:rPr>
        <w:t xml:space="preserve">This Agreement, together with the Services Agreement, constitutes the entire agreement of the parties regarding PHI and supersedes all prior agreements and understandings. In the event of conflict between this Agreement and the Services Agreement regarding PHI, this Agreement controls.</w:t>
      </w:r>
    </w:p>
    <w:p>
      <w:pPr>
        <w:pStyle w:val="Heading2"/>
        <w:spacing w:after="120" w:before="240"/>
      </w:pPr>
      <w:r>
        <w:rPr>
          <w:rFonts w:ascii="Arial" w:cs="Arial" w:eastAsia="Arial" w:hAnsi="Arial"/>
          <w:b/>
          <w:bCs/>
          <w:color w:val="188B96"/>
          <w:sz w:val="24"/>
          <w:szCs w:val="24"/>
        </w:rPr>
        <w:t xml:space="preserve">6.5 Severability</w:t>
      </w:r>
    </w:p>
    <w:p>
      <w:pPr>
        <w:spacing w:after="120" w:before="80"/>
      </w:pPr>
      <w:r>
        <w:rPr>
          <w:rFonts w:ascii="Arial" w:cs="Arial" w:eastAsia="Arial" w:hAnsi="Arial"/>
          <w:sz w:val="22"/>
          <w:szCs w:val="22"/>
        </w:rPr>
        <w:t xml:space="preserve">If any provision of this Agreement is found unenforceable, the remaining provisions shall remain in full force and effect.</w:t>
      </w:r>
    </w:p>
    <w:p>
      <w:pPr>
        <w:pStyle w:val="Heading2"/>
        <w:spacing w:after="120" w:before="240"/>
      </w:pPr>
      <w:r>
        <w:rPr>
          <w:rFonts w:ascii="Arial" w:cs="Arial" w:eastAsia="Arial" w:hAnsi="Arial"/>
          <w:b/>
          <w:bCs/>
          <w:color w:val="188B96"/>
          <w:sz w:val="24"/>
          <w:szCs w:val="24"/>
        </w:rPr>
        <w:t xml:space="preserve">6.6 Notices</w:t>
      </w:r>
    </w:p>
    <w:p>
      <w:pPr>
        <w:spacing w:after="120" w:before="80"/>
      </w:pPr>
      <w:r>
        <w:rPr>
          <w:rFonts w:ascii="Arial" w:cs="Arial" w:eastAsia="Arial" w:hAnsi="Arial"/>
          <w:sz w:val="22"/>
          <w:szCs w:val="22"/>
        </w:rPr>
        <w:t xml:space="preserve">All notices under this Agreement shall be in writing and delivered by: (a) email with read receipt to the addresses in the Parties section; (b) certified mail, return receipt requested; or (c) overnight courier. Notices are effective upon confirmed receipt.</w:t>
      </w:r>
    </w:p>
    <w:p>
      <w:pPr>
        <w:pStyle w:val="Heading2"/>
        <w:spacing w:after="120" w:before="240"/>
      </w:pPr>
      <w:r>
        <w:rPr>
          <w:rFonts w:ascii="Arial" w:cs="Arial" w:eastAsia="Arial" w:hAnsi="Arial"/>
          <w:b/>
          <w:bCs/>
          <w:color w:val="188B96"/>
          <w:sz w:val="24"/>
          <w:szCs w:val="24"/>
        </w:rPr>
        <w:t xml:space="preserve">6.7 No Third-Party Beneficiaries</w:t>
      </w:r>
    </w:p>
    <w:p>
      <w:pPr>
        <w:spacing w:after="120" w:before="80"/>
      </w:pPr>
      <w:r>
        <w:rPr>
          <w:rFonts w:ascii="Arial" w:cs="Arial" w:eastAsia="Arial" w:hAnsi="Arial"/>
          <w:sz w:val="22"/>
          <w:szCs w:val="22"/>
        </w:rPr>
        <w:t xml:space="preserve">This Agreement is for the sole benefit of the parties and their permitted successors and assigns. Nothing herein shall confer any rights upon any third party, including patients or individuals whose PHI may be involved.</w:t>
      </w:r>
    </w:p>
    <w:p>
      <w:pPr>
        <w:pBdr>
          <w:bottom w:val="single" w:color="CCCCCC" w:sz="4"/>
        </w:pBdr>
        <w:spacing w:after="160" w:before="160"/>
      </w:pPr>
    </w:p>
    <w:p>
      <w:pPr>
        <w:pStyle w:val="Heading1"/>
        <w:spacing w:after="160" w:before="320"/>
      </w:pPr>
      <w:r>
        <w:rPr>
          <w:rFonts w:ascii="Arial" w:cs="Arial" w:eastAsia="Arial" w:hAnsi="Arial"/>
          <w:b/>
          <w:bCs/>
          <w:color w:val="0A1F3D"/>
          <w:sz w:val="28"/>
          <w:szCs w:val="28"/>
        </w:rPr>
        <w:t xml:space="preserve">7. EAA ZERO-EXFILTRATION WARRANTY</w:t>
      </w:r>
    </w:p>
    <w:p>
      <w:pPr>
        <w:shd w:fill="EBF5FB" w:val="clear"/>
        <w:spacing w:after="120" w:before="80"/>
      </w:pPr>
      <w:r>
        <w:rPr>
          <w:rFonts w:ascii="Arial" w:cs="Arial" w:eastAsia="Arial" w:hAnsi="Arial"/>
          <w:i/>
          <w:iCs/>
          <w:color w:val="0A1F3D"/>
          <w:sz w:val="22"/>
          <w:szCs w:val="22"/>
        </w:rPr>
        <w:t xml:space="preserve">This section sets forth the specific technical warranties that distinguish the EAA deployment from standard cloud or hybrid AI vendors.</w:t>
      </w:r>
    </w:p>
    <w:p>
      <w:pPr>
        <w:spacing w:after="120" w:before="80"/>
      </w:pPr>
      <w:r>
        <w:rPr>
          <w:rFonts w:ascii="Arial" w:cs="Arial" w:eastAsia="Arial" w:hAnsi="Arial"/>
          <w:sz w:val="22"/>
          <w:szCs w:val="22"/>
        </w:rPr>
        <w:t xml:space="preserve">Pocono AI, LLC warrants that under the EAA deployment model:</w:t>
      </w:r>
    </w:p>
    <w:p>
      <w:pPr>
        <w:pStyle w:val="ListParagraph"/>
        <w:numPr>
          <w:ilvl w:val="0"/>
          <w:numId w:val="2"/>
        </w:numPr>
        <w:spacing w:after="60" w:before="60"/>
      </w:pPr>
      <w:r>
        <w:rPr>
          <w:rFonts w:ascii="Arial" w:cs="Arial" w:eastAsia="Arial" w:hAnsi="Arial"/>
          <w:sz w:val="22"/>
          <w:szCs w:val="22"/>
        </w:rPr>
        <w:t xml:space="preserve">The Sentinel Node hardware is installed exclusively within CE's physical facility at the address specified in the Services Agreement.</w:t>
      </w:r>
    </w:p>
    <w:p>
      <w:pPr>
        <w:pStyle w:val="ListParagraph"/>
        <w:numPr>
          <w:ilvl w:val="0"/>
          <w:numId w:val="2"/>
        </w:numPr>
        <w:spacing w:after="60" w:before="60"/>
      </w:pPr>
      <w:r>
        <w:rPr>
          <w:rFonts w:ascii="Arial" w:cs="Arial" w:eastAsia="Arial" w:hAnsi="Arial"/>
          <w:sz w:val="22"/>
          <w:szCs w:val="22"/>
        </w:rPr>
        <w:t xml:space="preserve">All PHI processing — vectorization, retrieval, inference, and logging — occurs entirely on the Sentinel Node hardware physically located within CE's facility.</w:t>
      </w:r>
    </w:p>
    <w:p>
      <w:pPr>
        <w:pStyle w:val="ListParagraph"/>
        <w:numPr>
          <w:ilvl w:val="0"/>
          <w:numId w:val="2"/>
        </w:numPr>
        <w:spacing w:after="60" w:before="60"/>
      </w:pPr>
      <w:r>
        <w:rPr>
          <w:rFonts w:ascii="Arial" w:cs="Arial" w:eastAsia="Arial" w:hAnsi="Arial"/>
          <w:sz w:val="22"/>
          <w:szCs w:val="22"/>
        </w:rPr>
        <w:t xml:space="preserve">The Sentinel Node maintains zero outbound internet connections during normal inference operations. All outbound ports are closed by default.</w:t>
      </w:r>
    </w:p>
    <w:p>
      <w:pPr>
        <w:pStyle w:val="ListParagraph"/>
        <w:numPr>
          <w:ilvl w:val="0"/>
          <w:numId w:val="2"/>
        </w:numPr>
        <w:spacing w:after="60" w:before="60"/>
      </w:pPr>
      <w:r>
        <w:rPr>
          <w:rFonts w:ascii="Arial" w:cs="Arial" w:eastAsia="Arial" w:hAnsi="Arial"/>
          <w:sz w:val="22"/>
          <w:szCs w:val="22"/>
        </w:rPr>
        <w:t xml:space="preserve">Software updates are delivered exclusively via cryptographically signed, SHA-256 verified USB media. No automatic or network-based updates occur.</w:t>
      </w:r>
    </w:p>
    <w:p>
      <w:pPr>
        <w:pStyle w:val="ListParagraph"/>
        <w:numPr>
          <w:ilvl w:val="0"/>
          <w:numId w:val="2"/>
        </w:numPr>
        <w:spacing w:after="60" w:before="60"/>
      </w:pPr>
      <w:r>
        <w:rPr>
          <w:rFonts w:ascii="Arial" w:cs="Arial" w:eastAsia="Arial" w:hAnsi="Arial"/>
          <w:sz w:val="22"/>
          <w:szCs w:val="22"/>
        </w:rPr>
        <w:t xml:space="preserve">Pocono AI, LLC has zero remote, cloud, or internet-based access to CE's PHI under this deployment model.</w:t>
      </w:r>
    </w:p>
    <w:p>
      <w:pPr>
        <w:pStyle w:val="ListParagraph"/>
        <w:numPr>
          <w:ilvl w:val="0"/>
          <w:numId w:val="2"/>
        </w:numPr>
        <w:spacing w:after="60" w:before="60"/>
      </w:pPr>
      <w:r>
        <w:rPr>
          <w:rFonts w:ascii="Arial" w:cs="Arial" w:eastAsia="Arial" w:hAnsi="Arial"/>
          <w:sz w:val="22"/>
          <w:szCs w:val="22"/>
        </w:rPr>
        <w:t xml:space="preserve">Pocono AI, LLC shall provide CE's IT team with network packet capture scripts and firewall configuration documentation to independently verify zero-exfiltration during model inference at any time.</w:t>
      </w:r>
    </w:p>
    <w:p>
      <w:pPr>
        <w:pStyle w:val="ListParagraph"/>
        <w:numPr>
          <w:ilvl w:val="0"/>
          <w:numId w:val="2"/>
        </w:numPr>
        <w:spacing w:after="60" w:before="60"/>
      </w:pPr>
      <w:r>
        <w:rPr>
          <w:rFonts w:ascii="Arial" w:cs="Arial" w:eastAsia="Arial" w:hAnsi="Arial"/>
          <w:sz w:val="22"/>
          <w:szCs w:val="22"/>
        </w:rPr>
        <w:t xml:space="preserve">Any deviation from this architecture that would create network access to PHI requires CE's prior written consent and a written amendment to this Agreement.</w:t>
      </w:r>
    </w:p>
    <w:p>
      <w:pPr>
        <w:pBdr>
          <w:bottom w:val="single" w:color="CCCCCC" w:sz="4"/>
        </w:pBdr>
        <w:spacing w:after="160" w:before="160"/>
      </w:pPr>
    </w:p>
    <w:p>
      <w:pPr>
        <w:pStyle w:val="Heading1"/>
        <w:spacing w:after="160" w:before="320"/>
      </w:pPr>
      <w:r>
        <w:rPr>
          <w:rFonts w:ascii="Arial" w:cs="Arial" w:eastAsia="Arial" w:hAnsi="Arial"/>
          <w:b/>
          <w:bCs/>
          <w:color w:val="0A1F3D"/>
          <w:sz w:val="28"/>
          <w:szCs w:val="28"/>
        </w:rPr>
        <w:t xml:space="preserve">8. SIGNATURES</w:t>
      </w:r>
    </w:p>
    <w:p>
      <w:pPr>
        <w:spacing w:after="120" w:before="80"/>
      </w:pPr>
      <w:r>
        <w:rPr>
          <w:rFonts w:ascii="Arial" w:cs="Arial" w:eastAsia="Arial" w:hAnsi="Arial"/>
          <w:sz w:val="22"/>
          <w:szCs w:val="22"/>
        </w:rPr>
        <w:t xml:space="preserve">IN WITNESS WHEREOF, the duly authorized representatives of each party have executed this Agreement as of the date last written below.</w:t>
      </w:r>
    </w:p>
    <w:p>
      <w:pPr>
        <w:spacing w:after="80" w:before="80"/>
      </w:pPr>
      <w:r>
        <w:t xml:space="preserve"/>
      </w:r>
    </w:p>
    <w:p>
      <w:pPr>
        <w:spacing w:after="120" w:before="80"/>
      </w:pPr>
      <w:r>
        <w:rPr>
          <w:rFonts w:ascii="Arial" w:cs="Arial" w:eastAsia="Arial" w:hAnsi="Arial"/>
          <w:b/>
          <w:bCs/>
          <w:sz w:val="22"/>
          <w:szCs w:val="22"/>
        </w:rPr>
        <w:t xml:space="preserve">COVERED ENTITY:</w:t>
      </w:r>
    </w:p>
    <w:p>
      <w:pPr>
        <w:spacing w:after="60" w:before="200"/>
      </w:pPr>
      <w:r>
        <w:rPr>
          <w:rFonts w:ascii="Arial" w:cs="Arial" w:eastAsia="Arial" w:hAnsi="Arial"/>
          <w:b/>
          <w:bCs/>
          <w:sz w:val="22"/>
          <w:szCs w:val="22"/>
        </w:rPr>
        <w:t xml:space="preserve">Legal Entity Name: </w:t>
      </w:r>
      <w:r>
        <w:rPr>
          <w:rFonts w:ascii="Arial" w:cs="Arial" w:eastAsia="Arial" w:hAnsi="Arial"/>
          <w:color w:val="5a7a8a"/>
          <w:sz w:val="22"/>
          <w:szCs w:val="22"/>
        </w:rPr>
        <w:t xml:space="preserve">_______________________________________________</w:t>
      </w:r>
    </w:p>
    <w:p>
      <w:pPr>
        <w:spacing w:after="60" w:before="200"/>
      </w:pPr>
      <w:r>
        <w:rPr>
          <w:rFonts w:ascii="Arial" w:cs="Arial" w:eastAsia="Arial" w:hAnsi="Arial"/>
          <w:b/>
          <w:bCs/>
          <w:sz w:val="22"/>
          <w:szCs w:val="22"/>
        </w:rPr>
        <w:t xml:space="preserve">Authorized Signatory — Print Name: </w:t>
      </w:r>
      <w:r>
        <w:rPr>
          <w:rFonts w:ascii="Arial" w:cs="Arial" w:eastAsia="Arial" w:hAnsi="Arial"/>
          <w:color w:val="5a7a8a"/>
          <w:sz w:val="22"/>
          <w:szCs w:val="22"/>
        </w:rPr>
        <w:t xml:space="preserve">_______________________________________________</w:t>
      </w:r>
    </w:p>
    <w:p>
      <w:pPr>
        <w:spacing w:after="60" w:before="200"/>
      </w:pPr>
      <w:r>
        <w:rPr>
          <w:rFonts w:ascii="Arial" w:cs="Arial" w:eastAsia="Arial" w:hAnsi="Arial"/>
          <w:b/>
          <w:bCs/>
          <w:sz w:val="22"/>
          <w:szCs w:val="22"/>
        </w:rPr>
        <w:t xml:space="preserve">Title: </w:t>
      </w:r>
      <w:r>
        <w:rPr>
          <w:rFonts w:ascii="Arial" w:cs="Arial" w:eastAsia="Arial" w:hAnsi="Arial"/>
          <w:color w:val="5a7a8a"/>
          <w:sz w:val="22"/>
          <w:szCs w:val="22"/>
        </w:rPr>
        <w:t xml:space="preserve">_______________________________________________</w:t>
      </w:r>
    </w:p>
    <w:p>
      <w:pPr>
        <w:spacing w:after="60" w:before="200"/>
      </w:pPr>
      <w:r>
        <w:rPr>
          <w:rFonts w:ascii="Arial" w:cs="Arial" w:eastAsia="Arial" w:hAnsi="Arial"/>
          <w:b/>
          <w:bCs/>
          <w:sz w:val="22"/>
          <w:szCs w:val="22"/>
        </w:rPr>
        <w:t xml:space="preserve">Date: </w:t>
      </w:r>
      <w:r>
        <w:rPr>
          <w:rFonts w:ascii="Arial" w:cs="Arial" w:eastAsia="Arial" w:hAnsi="Arial"/>
          <w:color w:val="5a7a8a"/>
          <w:sz w:val="22"/>
          <w:szCs w:val="22"/>
        </w:rPr>
        <w:t xml:space="preserve">_______________________________________________</w:t>
      </w:r>
    </w:p>
    <w:p>
      <w:pPr>
        <w:spacing w:after="80" w:before="80"/>
      </w:pPr>
      <w:r>
        <w:t xml:space="preserve"/>
      </w:r>
    </w:p>
    <w:p>
      <w:pPr>
        <w:spacing w:after="80" w:before="80"/>
      </w:pPr>
      <w:r>
        <w:t xml:space="preserve"/>
      </w:r>
    </w:p>
    <w:p>
      <w:pPr>
        <w:spacing w:after="120" w:before="80"/>
      </w:pPr>
      <w:r>
        <w:rPr>
          <w:rFonts w:ascii="Arial" w:cs="Arial" w:eastAsia="Arial" w:hAnsi="Arial"/>
          <w:b/>
          <w:bCs/>
          <w:sz w:val="22"/>
          <w:szCs w:val="22"/>
        </w:rPr>
        <w:t xml:space="preserve">BUSINESS ASSOCIATE — POCONO AI, LLC:</w:t>
      </w:r>
    </w:p>
    <w:p>
      <w:pPr>
        <w:spacing w:after="60" w:before="200"/>
      </w:pPr>
      <w:r>
        <w:rPr>
          <w:rFonts w:ascii="Arial" w:cs="Arial" w:eastAsia="Arial" w:hAnsi="Arial"/>
          <w:b/>
          <w:bCs/>
          <w:sz w:val="22"/>
          <w:szCs w:val="22"/>
        </w:rPr>
        <w:t xml:space="preserve">Marcus O'Dell, Founder &amp; Chief Technologist: </w:t>
      </w:r>
      <w:r>
        <w:rPr>
          <w:rFonts w:ascii="Arial" w:cs="Arial" w:eastAsia="Arial" w:hAnsi="Arial"/>
          <w:color w:val="5a7a8a"/>
          <w:sz w:val="22"/>
          <w:szCs w:val="22"/>
        </w:rPr>
        <w:t xml:space="preserve">_______________________________________________</w:t>
      </w:r>
    </w:p>
    <w:p>
      <w:pPr>
        <w:spacing w:after="60" w:before="200"/>
      </w:pPr>
      <w:r>
        <w:rPr>
          <w:rFonts w:ascii="Arial" w:cs="Arial" w:eastAsia="Arial" w:hAnsi="Arial"/>
          <w:b/>
          <w:bCs/>
          <w:sz w:val="22"/>
          <w:szCs w:val="22"/>
        </w:rPr>
        <w:t xml:space="preserve">Date: </w:t>
      </w:r>
      <w:r>
        <w:rPr>
          <w:rFonts w:ascii="Arial" w:cs="Arial" w:eastAsia="Arial" w:hAnsi="Arial"/>
          <w:color w:val="5a7a8a"/>
          <w:sz w:val="22"/>
          <w:szCs w:val="22"/>
        </w:rPr>
        <w:t xml:space="preserve">_______________________________________________</w:t>
      </w:r>
    </w:p>
    <w:p>
      <w:pPr>
        <w:spacing w:after="80" w:before="80"/>
      </w:pPr>
      <w:r>
        <w:t xml:space="preserve"/>
      </w:r>
    </w:p>
    <w:p>
      <w:pPr>
        <w:pBdr>
          <w:bottom w:val="single" w:color="CCCCCC" w:sz="4"/>
        </w:pBdr>
        <w:spacing w:after="160" w:before="160"/>
      </w:pPr>
    </w:p>
    <w:p>
      <w:pPr>
        <w:spacing w:before="160"/>
        <w:jc w:val="center"/>
      </w:pPr>
      <w:r>
        <w:rPr>
          <w:rFonts w:ascii="Arial" w:cs="Arial" w:eastAsia="Arial" w:hAnsi="Arial"/>
          <w:b/>
          <w:bCs/>
          <w:color w:val="CC0000"/>
          <w:sz w:val="18"/>
          <w:szCs w:val="18"/>
        </w:rPr>
        <w:t xml:space="preserve">DRAFT — CONFIDENTIAL — FOR ATTORNEY REVIEW PRIOR TO EXECUTION</w:t>
      </w:r>
    </w:p>
    <w:p>
      <w:pPr>
        <w:spacing w:before="60"/>
        <w:jc w:val="center"/>
      </w:pPr>
      <w:r>
        <w:rPr>
          <w:rFonts w:ascii="Arial" w:cs="Arial" w:eastAsia="Arial" w:hAnsi="Arial"/>
          <w:color w:val="5a7a8a"/>
          <w:sz w:val="18"/>
          <w:szCs w:val="18"/>
        </w:rPr>
        <w:t xml:space="preserve">Pocono AI, LLC  |  East Stroudsburg, Pennsylvania  |  poconoai.com  |  marcus@poconoai.com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center"/>
    </w:pPr>
    <w:r>
      <w:rPr>
        <w:rFonts w:ascii="Arial" w:cs="Arial" w:eastAsia="Arial" w:hAnsi="Arial"/>
        <w:color w:val="5a7a8a"/>
        <w:sz w:val="18"/>
        <w:szCs w:val="18"/>
      </w:rPr>
      <w:t xml:space="preserve">Pocono AI, LLC  |  East Stroudsburg, PA  |  poconoai.com  |  CONFIDENTIAL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8B96" w:sz="4"/>
      </w:pBdr>
      <w:spacing w:after="120"/>
    </w:pPr>
    <w:r>
      <w:rPr>
        <w:rFonts w:ascii="Arial" w:cs="Arial" w:eastAsia="Arial" w:hAnsi="Arial"/>
        <w:b/>
        <w:bCs/>
        <w:color w:val="0A1F3D"/>
        <w:sz w:val="20"/>
        <w:szCs w:val="20"/>
      </w:rPr>
      <w:t xml:space="preserve">POCONO AI, LLC</w:t>
    </w:r>
    <w:r>
      <w:rPr>
        <w:rFonts w:ascii="Arial" w:cs="Arial" w:eastAsia="Arial" w:hAnsi="Arial"/>
        <w:color w:val="5a7a8a"/>
        <w:sz w:val="20"/>
        <w:szCs w:val="20"/>
      </w:rPr>
      <w:t xml:space="preserve">  |  BUSINESS ASSOCIATE AGREEMENT — v2</w:t>
    </w:r>
    <w:r>
      <w:rPr>
        <w:rFonts w:ascii="Arial" w:cs="Arial" w:eastAsia="Arial" w:hAnsi="Arial"/>
        <w:color w:val="188B96"/>
        <w:sz w:val="20"/>
        <w:szCs w:val="20"/>
      </w:rPr>
      <w:t xml:space="preserve">  |  DRAFT — ATTORNEY REVIEW PENDING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F3D"/>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88B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2026-04-23T11:57:29.440Z</dcterms:created>
  <dcterms:modified xsi:type="dcterms:W3CDTF">2026-04-23T11:57:29.460Z</dcterms:modified>
</cp:coreProperties>
</file>

<file path=docProps/custom.xml><?xml version="1.0" encoding="utf-8"?>
<Properties xmlns="http://schemas.openxmlformats.org/officeDocument/2006/custom-properties" xmlns:vt="http://schemas.openxmlformats.org/officeDocument/2006/docPropsVTypes"/>
</file>