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Enterprise Outcomes &amp; Scorecard</w:t>
      </w:r>
    </w:p>
    <w:p>
      <w:pPr>
        <w:jc w:val="center"/>
      </w:pPr>
      <w:r>
        <w:t>September 16, 2025</w:t>
      </w:r>
    </w:p>
    <w:p/>
    <w:p>
      <w:pPr>
        <w:pStyle w:val="Heading1"/>
      </w:pPr>
      <w:r>
        <w:t>Executive Highlights (Quantified)</w:t>
      </w:r>
    </w:p>
    <w:p>
      <w:pPr>
        <w:pStyle w:val="ListBullet"/>
      </w:pPr>
      <w:r>
        <w:t>~50,000 API calls/month eliminated.</w:t>
      </w:r>
    </w:p>
    <w:p>
      <w:pPr>
        <w:pStyle w:val="ListBullet"/>
      </w:pPr>
      <w:r>
        <w:t>Ingestion: 32 min → ~2–3 min (≈92% reduction, ~13× faster).</w:t>
      </w:r>
    </w:p>
    <w:p>
      <w:pPr>
        <w:pStyle w:val="ListBullet"/>
      </w:pPr>
      <w:r>
        <w:t>CPM API latency: 9s → ~600 ms (≈93% reduction, 15× faster).</w:t>
      </w:r>
    </w:p>
    <w:p>
      <w:pPr>
        <w:pStyle w:val="ListBullet"/>
      </w:pPr>
      <w:r>
        <w:t>Cost: &gt;$1,000/year saved (redundant jobs); ~$2,000/year potential (Kafka decommission).</w:t>
      </w:r>
    </w:p>
    <w:p>
      <w:pPr>
        <w:pStyle w:val="ListBullet"/>
      </w:pPr>
      <w:r>
        <w:t>Monitoring: 1 CMT production dashboard live.</w:t>
      </w:r>
    </w:p>
    <w:p>
      <w:pPr>
        <w:pStyle w:val="Heading1"/>
      </w:pPr>
      <w:r>
        <w:t>Flagship, High-Effort Deliverables</w:t>
      </w:r>
    </w:p>
    <w:p>
      <w:pPr>
        <w:pStyle w:val="ListBullet"/>
      </w:pPr>
      <w:r>
        <w:t>RPT Rule Engine: 1 production-ready PoC (row/year evaluation, robust else handling, execution + error logging).</w:t>
      </w:r>
    </w:p>
    <w:p>
      <w:pPr>
        <w:pStyle w:val="ListBullet"/>
      </w:pPr>
      <w:r>
        <w:t>RPT Excel→Cloud Migration: Reverse-engineered complex Excel formulas (IF/IFERROR, AND/OR, comparisons, ISBLANK, INDEX/MATCH, VLOOKUP) to JSON/Python rules, with a validation harness vs Excel.</w:t>
      </w:r>
    </w:p>
    <w:p>
      <w:pPr>
        <w:pStyle w:val="ListBullet"/>
      </w:pPr>
      <w:r>
        <w:t>ASOT PoC: 1 PoC delivered with stakeholder demos and decision notes.</w:t>
      </w:r>
    </w:p>
    <w:p>
      <w:pPr>
        <w:pStyle w:val="ListBullet"/>
      </w:pPr>
      <w:r>
        <w:t>P&amp;L Microproduct PoC: 1 PoC adopted for data correction, new variables, and enhanced dashboards.</w:t>
      </w:r>
    </w:p>
    <w:p>
      <w:pPr>
        <w:pStyle w:val="ListBullet"/>
      </w:pPr>
      <w:r>
        <w:t>Camunda Redesign: 1 workflow redesign shipped (simpler paths, clearer ownership, maintainability).</w:t>
      </w:r>
    </w:p>
    <w:p>
      <w:pPr>
        <w:pStyle w:val="ListBullet"/>
      </w:pPr>
      <w:r>
        <w:t>Cosmos DB Collection Redesign: 1 schema redesign (supports grouped outputs &amp; wide UI reads).</w:t>
      </w:r>
    </w:p>
    <w:p>
      <w:r>
        <w:br w:type="page"/>
      </w:r>
    </w:p>
    <w:p>
      <w:pPr>
        <w:pStyle w:val="Heading1"/>
      </w:pPr>
      <w:r>
        <w:t>Area-wise Scorecard (Measurable)</w:t>
      </w:r>
    </w:p>
    <w:p>
      <w:pPr>
        <w:pStyle w:val="Heading2"/>
      </w:pPr>
      <w:r>
        <w:t>Cloud Migration &amp; Modernization</w:t>
      </w:r>
    </w:p>
    <w:p>
      <w:pPr>
        <w:pStyle w:val="ListBullet"/>
      </w:pPr>
      <w:r>
        <w:t>RPT: Excel → Cloud (High-effort): PoCs ≥3; 1 production-ready Rule-Engine PoC ✅; Formula families mapped ≥6; Assets: rules catalog, mapping guide, validation harness; Outcome: Business agreement executed to shift PETL ↔ RRF → PETL ↔ RPT ✅.</w:t>
      </w:r>
    </w:p>
    <w:p>
      <w:pPr>
        <w:pStyle w:val="ListBullet"/>
      </w:pPr>
      <w:r>
        <w:t>RRF on-prem → Azure: In progress (workstream active).</w:t>
      </w:r>
    </w:p>
    <w:p>
      <w:pPr>
        <w:pStyle w:val="ListBullet"/>
      </w:pPr>
      <w:r>
        <w:t>CMT monitoring: 1 prod dashboard live.</w:t>
      </w:r>
    </w:p>
    <w:p>
      <w:pPr>
        <w:pStyle w:val="ListBullet"/>
      </w:pPr>
      <w:r>
        <w:t>VM decommission readiness: Enabled by new target architecture (planned).</w:t>
      </w:r>
    </w:p>
    <w:p>
      <w:pPr>
        <w:pStyle w:val="Heading2"/>
      </w:pPr>
      <w:r>
        <w:t>AI / LLM &amp; Automation</w:t>
      </w:r>
    </w:p>
    <w:p>
      <w:pPr>
        <w:pStyle w:val="ListBullet"/>
      </w:pPr>
      <w:r>
        <w:t>LLM aggregation &amp; rules engine (RPT): ≥3 options evaluated → finalized; 1 prod-ready PoC ✅.</w:t>
      </w:r>
    </w:p>
    <w:p>
      <w:pPr>
        <w:pStyle w:val="ListBullet"/>
      </w:pPr>
      <w:r>
        <w:t>RRF AI architecture: Designed; implementation path identified.</w:t>
      </w:r>
    </w:p>
    <w:p>
      <w:pPr>
        <w:pStyle w:val="Heading2"/>
      </w:pPr>
      <w:r>
        <w:t>Microproduct PoCs (Explicit)</w:t>
      </w:r>
    </w:p>
    <w:p>
      <w:pPr>
        <w:pStyle w:val="ListBullet"/>
      </w:pPr>
      <w:r>
        <w:t>P&amp;L Microproduct: 1 PoC adopted (data correction, new variables, enhanced dashboards).</w:t>
      </w:r>
    </w:p>
    <w:p>
      <w:pPr>
        <w:pStyle w:val="ListBullet"/>
      </w:pPr>
      <w:r>
        <w:t>ASOT: 1 PoC delivered (high-effort validation with stakeholder demos and decision notes).</w:t>
      </w:r>
    </w:p>
    <w:p>
      <w:pPr>
        <w:pStyle w:val="ListBullet"/>
      </w:pPr>
      <w:r>
        <w:t>RPT Rule Engine: 1 production-ready PoC (row/year evaluation, robust else handling, logging).</w:t>
      </w:r>
    </w:p>
    <w:p>
      <w:pPr>
        <w:pStyle w:val="Heading2"/>
      </w:pPr>
      <w:r>
        <w:t>Workflow &amp; Orchestration</w:t>
      </w:r>
    </w:p>
    <w:p>
      <w:pPr>
        <w:pStyle w:val="ListBullet"/>
      </w:pPr>
      <w:r>
        <w:t>Camunda: 1 redesign delivered (reduced hops, clearer ownership, fewer retries).</w:t>
      </w:r>
    </w:p>
    <w:p>
      <w:pPr>
        <w:pStyle w:val="ListBullet"/>
      </w:pPr>
      <w:r>
        <w:t>SFGO: 1 PoC + production integration ✅.</w:t>
      </w:r>
    </w:p>
    <w:p>
      <w:pPr>
        <w:pStyle w:val="ListBullet"/>
      </w:pPr>
      <w:r>
        <w:t>CPM: PoC + demos delivered; business approval ✅.</w:t>
      </w:r>
    </w:p>
    <w:p>
      <w:pPr>
        <w:pStyle w:val="Heading2"/>
      </w:pPr>
      <w:r>
        <w:t>Data Architecture &amp; Stores</w:t>
      </w:r>
    </w:p>
    <w:p>
      <w:pPr>
        <w:pStyle w:val="ListBullet"/>
      </w:pPr>
      <w:r>
        <w:t>Cosmos DB: 1 collection redesign aligned to grouped outputs &amp; wide reads (UI-friendly).</w:t>
      </w:r>
    </w:p>
    <w:p>
      <w:pPr>
        <w:pStyle w:val="ListBullet"/>
      </w:pPr>
      <w:r>
        <w:t>Kafka audit: 1 decommission plan (potential ~$2,000/year savings).</w:t>
      </w:r>
    </w:p>
    <w:p>
      <w:pPr>
        <w:pStyle w:val="Heading2"/>
      </w:pPr>
      <w:r>
        <w:t>Performance &amp; Scalability</w:t>
      </w:r>
    </w:p>
    <w:p>
      <w:pPr>
        <w:pStyle w:val="ListBullet"/>
      </w:pPr>
      <w:r>
        <w:t>Ingestion: 32 min → ~2–3 min (≈92% faster, ~13×).</w:t>
      </w:r>
    </w:p>
    <w:p>
      <w:pPr>
        <w:pStyle w:val="ListBullet"/>
      </w:pPr>
      <w:r>
        <w:t>CPM API: 9s → ~600 ms (≈93% faster, 15×).</w:t>
      </w:r>
    </w:p>
    <w:p>
      <w:pPr>
        <w:pStyle w:val="ListBullet"/>
      </w:pPr>
      <w:r>
        <w:t>API volume: ~50k/month eliminated via re-architecture.</w:t>
      </w:r>
    </w:p>
    <w:p>
      <w:pPr>
        <w:pStyle w:val="Heading2"/>
      </w:pPr>
      <w:r>
        <w:t>Cost Optimization</w:t>
      </w:r>
    </w:p>
    <w:p>
      <w:pPr>
        <w:pStyle w:val="ListBullet"/>
      </w:pPr>
      <w:r>
        <w:t>Redundant jobs: &gt;$1,000/year saved (realized).</w:t>
      </w:r>
    </w:p>
    <w:p>
      <w:pPr>
        <w:pStyle w:val="ListBullet"/>
      </w:pPr>
      <w:r>
        <w:t>Kafka decommission: ~$2,000/year potential (identified).</w:t>
      </w:r>
    </w:p>
    <w:p>
      <w:pPr>
        <w:pStyle w:val="ListBullet"/>
      </w:pPr>
      <w:r>
        <w:t>Further savings: VM decommission enabled by new design (planned).</w:t>
      </w:r>
    </w:p>
    <w:p>
      <w:pPr>
        <w:pStyle w:val="Heading2"/>
      </w:pPr>
      <w:r>
        <w:t>Security &amp; Compliance</w:t>
      </w:r>
    </w:p>
    <w:p>
      <w:pPr>
        <w:pStyle w:val="ListBullet"/>
      </w:pPr>
      <w:r>
        <w:t>Security &amp; compliance built into standards; modular patterns adopted across new designs.</w:t>
      </w:r>
    </w:p>
    <w:p>
      <w:pPr>
        <w:pStyle w:val="Heading2"/>
      </w:pPr>
      <w:r>
        <w:t>Monitoring, Docs &amp; Communication</w:t>
      </w:r>
    </w:p>
    <w:p>
      <w:pPr>
        <w:pStyle w:val="ListBullet"/>
      </w:pPr>
      <w:r>
        <w:t>CMT production dashboard: live.</w:t>
      </w:r>
    </w:p>
    <w:p>
      <w:pPr>
        <w:pStyle w:val="ListBullet"/>
      </w:pPr>
      <w:r>
        <w:t>Pulse microsite: 1 site for decisions/patterns/visibility.</w:t>
      </w:r>
    </w:p>
    <w:p>
      <w:pPr>
        <w:pStyle w:val="ListBullet"/>
      </w:pPr>
      <w:r>
        <w:t>Architecture decisions: Documented &amp; shared.</w:t>
      </w:r>
    </w:p>
    <w:p>
      <w:pPr>
        <w:pStyle w:val="Heading2"/>
      </w:pPr>
      <w:r>
        <w:t>Operations &amp; Supportability</w:t>
      </w:r>
    </w:p>
    <w:p>
      <w:pPr>
        <w:pStyle w:val="ListBullet"/>
      </w:pPr>
      <w:r>
        <w:t>Production support: provided; ≥1 enhancement proposal submitted.</w:t>
      </w:r>
    </w:p>
    <w:p>
      <w:pPr>
        <w:pStyle w:val="ListBullet"/>
      </w:pPr>
      <w:r>
        <w:t>Support load reduction: new architecture designed to lower ticket dependency.</w:t>
      </w:r>
    </w:p>
    <w:p>
      <w:pPr>
        <w:pStyle w:val="Heading2"/>
      </w:pPr>
      <w:r>
        <w:t>Collaboration, Leadership &amp; Recognition</w:t>
      </w:r>
    </w:p>
    <w:p>
      <w:pPr>
        <w:pStyle w:val="ListBullet"/>
      </w:pPr>
      <w:r>
        <w:t>Alignment: Engineering + Business + Data aligned on Excel→Cloud plan &amp; target architecture.</w:t>
      </w:r>
    </w:p>
    <w:p>
      <w:pPr>
        <w:pStyle w:val="ListBullet"/>
      </w:pPr>
      <w:r>
        <w:t>Recognition: Appreciations from Drew and Diane.</w:t>
      </w:r>
    </w:p>
    <w:p>
      <w:pPr>
        <w:pStyle w:val="ListBullet"/>
      </w:pPr>
      <w:r>
        <w:t>Problem-solving: Migration/integration/automation issues resolved pre-impact.</w:t>
      </w:r>
    </w:p>
    <w:p>
      <w:r>
        <w:br w:type="page"/>
      </w:r>
    </w:p>
    <w:p>
      <w:pPr>
        <w:pStyle w:val="Heading1"/>
      </w:pPr>
      <w:r>
        <w:t>One-Glance Table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Deliverable</w:t>
            </w:r>
          </w:p>
        </w:tc>
        <w:tc>
          <w:tcPr>
            <w:tcW w:type="dxa" w:w="2880"/>
          </w:tcPr>
          <w:p>
            <w:r>
              <w:t>Metric / Status</w:t>
            </w:r>
          </w:p>
        </w:tc>
      </w:tr>
      <w:tr>
        <w:tc>
          <w:tcPr>
            <w:tcW w:type="dxa" w:w="2880"/>
          </w:tcPr>
          <w:p>
            <w:r>
              <w:t>Cloud Migration</w:t>
            </w:r>
          </w:p>
        </w:tc>
        <w:tc>
          <w:tcPr>
            <w:tcW w:type="dxa" w:w="2880"/>
          </w:tcPr>
          <w:p>
            <w:r>
              <w:t>RPT Excel→Cloud (rules, mapping, validation)</w:t>
            </w:r>
          </w:p>
        </w:tc>
        <w:tc>
          <w:tcPr>
            <w:tcW w:type="dxa" w:w="2880"/>
          </w:tcPr>
          <w:p>
            <w:r>
              <w:t>≥3 PoCs, 1 prod-ready PoC, 1 catalog, 1 guide, 1 harness</w:t>
            </w:r>
          </w:p>
        </w:tc>
      </w:tr>
      <w:tr>
        <w:tc>
          <w:tcPr>
            <w:tcW w:type="dxa" w:w="2880"/>
          </w:tcPr>
          <w:p>
            <w:r>
              <w:t>Cloud Migration</w:t>
            </w:r>
          </w:p>
        </w:tc>
        <w:tc>
          <w:tcPr>
            <w:tcW w:type="dxa" w:w="2880"/>
          </w:tcPr>
          <w:p>
            <w:r>
              <w:t>RRF → Azure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AI/LLM</w:t>
            </w:r>
          </w:p>
        </w:tc>
        <w:tc>
          <w:tcPr>
            <w:tcW w:type="dxa" w:w="2880"/>
          </w:tcPr>
          <w:p>
            <w:r>
              <w:t>LLM agg + rules engine (RPT)</w:t>
            </w:r>
          </w:p>
        </w:tc>
        <w:tc>
          <w:tcPr>
            <w:tcW w:type="dxa" w:w="2880"/>
          </w:tcPr>
          <w:p>
            <w:r>
              <w:t>Finalized, 1 prod-ready PoC</w:t>
            </w:r>
          </w:p>
        </w:tc>
      </w:tr>
      <w:tr>
        <w:tc>
          <w:tcPr>
            <w:tcW w:type="dxa" w:w="2880"/>
          </w:tcPr>
          <w:p>
            <w:r>
              <w:t>Microproduct</w:t>
            </w:r>
          </w:p>
        </w:tc>
        <w:tc>
          <w:tcPr>
            <w:tcW w:type="dxa" w:w="2880"/>
          </w:tcPr>
          <w:p>
            <w:r>
              <w:t>P&amp;L Microproduct PoC</w:t>
            </w:r>
          </w:p>
        </w:tc>
        <w:tc>
          <w:tcPr>
            <w:tcW w:type="dxa" w:w="2880"/>
          </w:tcPr>
          <w:p>
            <w:r>
              <w:t>1 PoC adopted</w:t>
            </w:r>
          </w:p>
        </w:tc>
      </w:tr>
      <w:tr>
        <w:tc>
          <w:tcPr>
            <w:tcW w:type="dxa" w:w="2880"/>
          </w:tcPr>
          <w:p>
            <w:r>
              <w:t>Microproduct</w:t>
            </w:r>
          </w:p>
        </w:tc>
        <w:tc>
          <w:tcPr>
            <w:tcW w:type="dxa" w:w="2880"/>
          </w:tcPr>
          <w:p>
            <w:r>
              <w:t>ASOT PoC</w:t>
            </w:r>
          </w:p>
        </w:tc>
        <w:tc>
          <w:tcPr>
            <w:tcW w:type="dxa" w:w="2880"/>
          </w:tcPr>
          <w:p>
            <w:r>
              <w:t>1 PoC delivered (high-effort)</w:t>
            </w:r>
          </w:p>
        </w:tc>
      </w:tr>
      <w:tr>
        <w:tc>
          <w:tcPr>
            <w:tcW w:type="dxa" w:w="2880"/>
          </w:tcPr>
          <w:p>
            <w:r>
              <w:t>Microproduct</w:t>
            </w:r>
          </w:p>
        </w:tc>
        <w:tc>
          <w:tcPr>
            <w:tcW w:type="dxa" w:w="2880"/>
          </w:tcPr>
          <w:p>
            <w:r>
              <w:t>RPT Rule Engine PoC</w:t>
            </w:r>
          </w:p>
        </w:tc>
        <w:tc>
          <w:tcPr>
            <w:tcW w:type="dxa" w:w="2880"/>
          </w:tcPr>
          <w:p>
            <w:r>
              <w:t>1 PoC production-ready</w:t>
            </w:r>
          </w:p>
        </w:tc>
      </w:tr>
      <w:tr>
        <w:tc>
          <w:tcPr>
            <w:tcW w:type="dxa" w:w="2880"/>
          </w:tcPr>
          <w:p>
            <w:r>
              <w:t>Orchestration</w:t>
            </w:r>
          </w:p>
        </w:tc>
        <w:tc>
          <w:tcPr>
            <w:tcW w:type="dxa" w:w="2880"/>
          </w:tcPr>
          <w:p>
            <w:r>
              <w:t>Camunda redesign</w:t>
            </w:r>
          </w:p>
        </w:tc>
        <w:tc>
          <w:tcPr>
            <w:tcW w:type="dxa" w:w="2880"/>
          </w:tcPr>
          <w:p>
            <w:r>
              <w:t>1 redesign shipped</w:t>
            </w:r>
          </w:p>
        </w:tc>
      </w:tr>
      <w:tr>
        <w:tc>
          <w:tcPr>
            <w:tcW w:type="dxa" w:w="2880"/>
          </w:tcPr>
          <w:p>
            <w:r>
              <w:t>Data Stores</w:t>
            </w:r>
          </w:p>
        </w:tc>
        <w:tc>
          <w:tcPr>
            <w:tcW w:type="dxa" w:w="2880"/>
          </w:tcPr>
          <w:p>
            <w:r>
              <w:t>Cosmos collection redesign</w:t>
            </w:r>
          </w:p>
        </w:tc>
        <w:tc>
          <w:tcPr>
            <w:tcW w:type="dxa" w:w="2880"/>
          </w:tcPr>
          <w:p>
            <w:r>
              <w:t>1 redesign (grouped outputs, wide reads)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Ingestion</w:t>
            </w:r>
          </w:p>
        </w:tc>
        <w:tc>
          <w:tcPr>
            <w:tcW w:type="dxa" w:w="2880"/>
          </w:tcPr>
          <w:p>
            <w:r>
              <w:t>32 → ~2–3 min (≈92%, ~13×)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CPM API</w:t>
            </w:r>
          </w:p>
        </w:tc>
        <w:tc>
          <w:tcPr>
            <w:tcW w:type="dxa" w:w="2880"/>
          </w:tcPr>
          <w:p>
            <w:r>
              <w:t>9s → ~600 ms (≈93%, 15×)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Redundant jobs removed</w:t>
            </w:r>
          </w:p>
        </w:tc>
        <w:tc>
          <w:tcPr>
            <w:tcW w:type="dxa" w:w="2880"/>
          </w:tcPr>
          <w:p>
            <w:r>
              <w:t>&gt;$1,000/year saved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Kafka decommission</w:t>
            </w:r>
          </w:p>
        </w:tc>
        <w:tc>
          <w:tcPr>
            <w:tcW w:type="dxa" w:w="2880"/>
          </w:tcPr>
          <w:p>
            <w:r>
              <w:t>~$2,000/year potential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CMT dashboard</w:t>
            </w:r>
          </w:p>
        </w:tc>
        <w:tc>
          <w:tcPr>
            <w:tcW w:type="dxa" w:w="2880"/>
          </w:tcPr>
          <w:p>
            <w:r>
              <w:t>1 live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PETL flow shift</w:t>
            </w:r>
          </w:p>
        </w:tc>
        <w:tc>
          <w:tcPr>
            <w:tcW w:type="dxa" w:w="2880"/>
          </w:tcPr>
          <w:p>
            <w:r>
              <w:t>RRF → RPT agreement executed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Pulse microsite</w:t>
            </w:r>
          </w:p>
        </w:tc>
        <w:tc>
          <w:tcPr>
            <w:tcW w:type="dxa" w:w="2880"/>
          </w:tcPr>
          <w:p>
            <w:r>
              <w:t>1 site live</w:t>
            </w:r>
          </w:p>
        </w:tc>
      </w:tr>
      <w:tr>
        <w:tc>
          <w:tcPr>
            <w:tcW w:type="dxa" w:w="2880"/>
          </w:tcPr>
          <w:p>
            <w:r>
              <w:t>Stakeholders</w:t>
            </w:r>
          </w:p>
        </w:tc>
        <w:tc>
          <w:tcPr>
            <w:tcW w:type="dxa" w:w="2880"/>
          </w:tcPr>
          <w:p>
            <w:r>
              <w:t>Approvals/thanks</w:t>
            </w:r>
          </w:p>
        </w:tc>
        <w:tc>
          <w:tcPr>
            <w:tcW w:type="dxa" w:w="2880"/>
          </w:tcPr>
          <w:p>
            <w:r>
              <w:t>CPM approved, kudos: Drew, Diane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