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ART-15: Biometric Compliance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Assessment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BIPA | GDPR | State Laws | Consent Requirements | Legal Risk Analysis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Document Version: 1.0  |  Status: Ready for Review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ART-15  |  Tier: 4 (Quality/Compliance)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Depends On: ART-09 (DB Schema — face tables), ART-11 (People Graph — face pipeline), ART-14 (Threat Model)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Audience: Legal Advisor (Contract), Technical Lead, Founder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10"/>
      </w:pPr>
      <w:r>
        <w:rPr>
          <w:sz w:val="21"/>
          <w:szCs w:val="21"/>
        </w:rPr>
        <w:t xml:space="preserve">This document assesses EkamCore's biometric data processing against applicable regulations: Illinois BIPA, GDPR, CCPA/CPRA, Texas CUBI, Washington biometric law, and other state laws. It identifies compliance requirements, maps them to EkamCore's technical controls, and flags gaps requiring legal counsel review.</w:t>
      </w:r>
    </w:p>
    <w:p>
      <w:pPr>
        <w:pBdr>
          <w:top w:val="single" w:color="2E75B6" w:sz="3" w:space="4"/>
          <w:bottom w:val="single" w:color="2E75B6" w:sz="3" w:space="4"/>
        </w:pBdr>
        <w:spacing w:before="140" w:after="180"/>
        <w:ind w:left="200" w:right="200"/>
      </w:pPr>
      <w:r>
        <w:rPr>
          <w:i/>
          <w:iCs/>
          <w:sz w:val="21"/>
          <w:szCs w:val="21"/>
        </w:rPr>
        <w:t xml:space="preserve">IMPORTANT: This is a technical compliance assessment, not legal advice. The Legal Advisor contractor (ART-01) must review this document and provide formal legal opinion before face clustering ships in Phase 3. The Founder must approve the compliance approach before any biometric processing is enabled.</w:t>
      </w:r>
    </w:p>
    <w:p>
      <w:pPr>
        <w:pStyle w:val="Heading1"/>
      </w:pPr>
      <w:r>
        <w:t xml:space="preserve">2. Biometric Data in EkamCore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1400"/>
        <w:gridCol w:w="44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Where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Encryption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Consent Required?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Face bounding boxes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Biometric identifier (derived from face)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face_detections.bbox_json (PostgreSQL)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encrypted (coordinates only, not biometric template)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Yes (face clustering consent)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Face embeddings (512-dim vectors)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Biometric identifier (mathematical representation of face)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face_detections.embedding_encrypted (PG, encrypted) + Qdrant face_embeddings (unencrypted, local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pgcrypto AES-256 (PG). Qdrant relies on FileVault disk encryption.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Cluster centroids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 biometric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face_clusters.centroid_encrypted (PG, encrypted)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pgcrypto AES-256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Cluster assignments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Metadata linking faces to 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face_clusters.person_id, face_detections.cluster_id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encrypted (IDs only)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Yes (prerequisite: face data exists)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Regulatory Compliance Matrix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600"/>
        <w:gridCol w:w="600"/>
        <w:gridCol w:w="600"/>
        <w:gridCol w:w="600"/>
        <w:gridCol w:w="2200"/>
        <w:gridCol w:w="38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BIPA (IL)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GDPR (EU)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CCPA/CPRA (CA)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TX CUBI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 Biometric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EkamCore Implementation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Written consent before collection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(private right of action)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(explicit consent for biometric)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specifically required for biometric but applies under 'sensitive PI'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Consent dialog with scroll-to-bottom + explicit 'Enable' button (S11-001). Consent recorded in audit_log.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Purpose disclosure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(purpose limitation principle)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(notice at collection)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Consent dialog explicitly states: what data, how stored, how to delete. Text specified in ART-07 Section 14.2.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Retention schedule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(must publish)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(storage limitation)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specifically 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specifically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Face data retained while consent active. Hard-deleted immediately on revocation. No external retention beyond user's device.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Right to delete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Implied (consent revocation)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(right to erasure)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(right to delete)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/api/v1/settings/face-clustering/consent {accepted: false} triggers hard-delete of all biometric data. Synchronous, verified.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sale/profit from biometric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(no sale)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Implied (purpose limitation)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(no sale of PI)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(no sale)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specified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EkamCore never transmits biometric data externally. No cloud. No analytics. No third parties. By architecture design.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By 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 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(reasonable security)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(appropriate security)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(reasonable security)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Encryption at rest (pgcrypto). Docker network isolation. Keychain-managed keys. See ART-14 Section 9.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Breach notification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(BIPA does not specify, but IL PIPA does)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(72 hours to DPA)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(expedient notification)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(30 days)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Local-first architecture minimizes breach surface. Incident response in ART-14 Section 17. No external data transmission.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Risk Assessment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600"/>
        <w:gridCol w:w="2600"/>
        <w:gridCol w:w="48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Residual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User claims consent was not informed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(BIPA: $1K-5K per violation)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Consent dialog requires scroll-to-bottom. Consent recorded in audit_log with version, timestamp, IP, user_agent.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Low: audit trail provides evidence of informed consent.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Biometric data breach via host compromise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Encryption at rest, Keychain-managed keys, FileVault. See ART-14 Section 9.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Low: requires both host access AND decryption key.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Biometric data retained after user opts out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Very 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Synchronous hard-delete on consent revocation. Verified by integration test. DELETE is not a soft-delete.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Very Low: automated verification in test suite.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Biometric data transmitted externally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(by design)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cloud services, no external API calls, no telemetry, no analytics. Architecture enforces local-only processing.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None: structurally impossible.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Third-party access to biometric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(by design)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third-party packs can access face data (capability not grantable). No export includes biometric columns.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None: structurally impossible.</w:t>
            </w:r>
          </w:p>
        </w:tc>
      </w:tr>
    </w:tbl>
    <w:p>
      <w:pPr>
        <w:pStyle w:val="Heading1"/>
      </w:pPr>
      <w:r>
        <w:t xml:space="preserve">5. Recommendations for Legal Advisor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Review consent dialog text (ART-07 Section 14.2) for legal sufficiency under BIPA and GDPR.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Review whether EkamCore's local-only architecture satisfies GDPR's data controller requirements when the user is both controller and processor.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Advise on whether a formal biometric data policy document needs to be published (BIPA requires 'publicly available written policy').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Review state-by-state applicability for US distribution. Recommend any additional consent language.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Advise on age verification requirements (COPPA implications if minors' faces are processed).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ART-15: Biometric Compliance Assessment  |  Tier 4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2026-03-20T01:25:44.378Z</dcterms:created>
  <dcterms:modified xsi:type="dcterms:W3CDTF">2026-03-20T01:25:44.378Z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