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ART-27: Product Metrics</w:t>
      </w:r>
    </w:p>
    <w:p>
      <w:pPr>
        <w:spacing w:after="80"/>
        <w:jc w:val="center"/>
      </w:pPr>
      <w:r>
        <w:rPr>
          <w:rFonts w:ascii="Arial" w:cs="Arial" w:eastAsia="Arial" w:hAnsi="Arial"/>
          <w:color w:val="2E75B6"/>
          <w:sz w:val="34"/>
          <w:szCs w:val="34"/>
        </w:rPr>
        <w:t xml:space="preserve">System</w:t>
      </w:r>
    </w:p>
    <w:p>
      <w:pPr>
        <w:spacing w:after="400"/>
        <w:jc w:val="center"/>
      </w:pPr>
      <w:r>
        <w:rPr>
          <w:rFonts w:ascii="Arial" w:cs="Arial" w:eastAsia="Arial" w:hAnsi="Arial"/>
          <w:color w:val="666666"/>
          <w:sz w:val="22"/>
          <w:szCs w:val="22"/>
        </w:rPr>
        <w:t xml:space="preserve">Usage Metrics | Performance Dashboards | Health KPIs | Privacy-Respecting Collection</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Review</w:t>
      </w:r>
    </w:p>
    <w:p>
      <w:pPr>
        <w:spacing w:after="50"/>
        <w:jc w:val="center"/>
      </w:pPr>
      <w:r>
        <w:rPr>
          <w:rFonts w:ascii="Arial" w:cs="Arial" w:eastAsia="Arial" w:hAnsi="Arial"/>
          <w:color w:val="666666"/>
          <w:sz w:val="19"/>
          <w:szCs w:val="19"/>
        </w:rPr>
        <w:t xml:space="preserve">Artifact ID: ART-27  |  Tier: 5 (Operational)</w:t>
      </w:r>
    </w:p>
    <w:p>
      <w:pPr>
        <w:spacing w:after="50"/>
        <w:jc w:val="center"/>
      </w:pPr>
      <w:r>
        <w:rPr>
          <w:rFonts w:ascii="Arial" w:cs="Arial" w:eastAsia="Arial" w:hAnsi="Arial"/>
          <w:color w:val="666666"/>
          <w:sz w:val="19"/>
          <w:szCs w:val="19"/>
        </w:rPr>
        <w:t xml:space="preserve">Depends On: ART-04 (CI/CD), ART-10 (Docker Compose), ART-14 (Threat Model)</w:t>
      </w:r>
    </w:p>
    <w:p>
      <w:pPr>
        <w:spacing w:after="50"/>
        <w:jc w:val="center"/>
      </w:pPr>
      <w:r>
        <w:rPr>
          <w:rFonts w:ascii="Arial" w:cs="Arial" w:eastAsia="Arial" w:hAnsi="Arial"/>
          <w:color w:val="666666"/>
          <w:sz w:val="19"/>
          <w:szCs w:val="19"/>
        </w:rPr>
        <w:t xml:space="preserve">Audience: Technical Lead, Program Manager, Founder</w:t>
      </w:r>
    </w:p>
    <w:p>
      <w:r>
        <w:br w:type="page"/>
      </w:r>
    </w:p>
    <w:p>
      <w:pPr>
        <w:pStyle w:val="Heading1"/>
      </w:pPr>
      <w:r>
        <w:t xml:space="preserve">1. Document Purpose</w:t>
      </w:r>
    </w:p>
    <w:p>
      <w:pPr>
        <w:spacing w:after="110"/>
      </w:pPr>
      <w:r>
        <w:rPr>
          <w:sz w:val="21"/>
          <w:szCs w:val="21"/>
        </w:rPr>
        <w:t xml:space="preserve">This document defines what product metrics EkamCore collects, how they are collected, and how they are displayed. All metrics are local-only — no telemetry is sent externally. Metrics serve the user (system health visibility) and the team (understanding usage patterns for prioritization).</w:t>
      </w:r>
    </w:p>
    <w:p>
      <w:pPr>
        <w:pBdr>
          <w:top w:val="single" w:color="2E75B6" w:sz="3" w:space="4"/>
          <w:bottom w:val="single" w:color="2E75B6" w:sz="3" w:space="4"/>
        </w:pBdr>
        <w:spacing w:before="140" w:after="180"/>
        <w:ind w:left="200" w:right="200"/>
      </w:pPr>
      <w:r>
        <w:rPr>
          <w:i/>
          <w:iCs/>
          <w:sz w:val="21"/>
          <w:szCs w:val="21"/>
        </w:rPr>
        <w:t xml:space="preserve">Privacy Constraint: Zero external telemetry. All metrics are computed locally and stored locally. The user can view them in the manager app. The team can only see metrics if the user exports diagnostics (ART-03 S06-003). Even then, no personal data (names, queries, file content) is included.</w:t>
      </w:r>
    </w:p>
    <w:p>
      <w:pPr>
        <w:pStyle w:val="Heading1"/>
      </w:pPr>
      <w:r>
        <w:t xml:space="preserve">2. Metric Categories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8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Category</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Metrics</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Storage</w:t>
            </w:r>
          </w:p>
        </w:tc>
        <w:tc>
          <w:tcPr>
            <w:tcW w:type="dxa" w:w="4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Visible To User?</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System Health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Container uptime, CPU/memory usage, disk usage, thermal state.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Redis db3 (ephemeral, 24h). Watchdog state file (persistent).</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(Manager Dashboard)</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Ingestion Progress</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Files processed/total per source, error count, processing rate (files/min).</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ingestion_states table (persistent). Redis (real-time counters).</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 (Manager Jobs tab)</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 Usage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Queries per day (count only), query path distribution (deterministic/search/LLM %). No query text stored.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Redis sorted set (daily counters, 30-day retention). Aggregated, not per-query.</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(internal diagnostic only, in diagnostics export)</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Feature Adoption</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Active feature flag state, face clustering enabled, sources count, persons confirmed count.</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 table + computed from data tables.</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Partially (Settings shows own config)</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Performance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latency P50/P95 per endpoint (from structured logs). Cold start time. Embedding throughput.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Structured log aggregation (not a separate store). Benchmark results file.</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(engineering diagnostic)</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Error Rate</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Error count by error_code (from structured logs). 500 error rate.</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Structured logs. Redis counter (error_rate:{code}, 1h TTL).</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(engineering diagnostic)</w:t>
            </w:r>
          </w:p>
        </w:tc>
      </w:tr>
    </w:tbl>
    <w:p>
      <w:pPr>
        <w:pStyle w:val="Heading1"/>
      </w:pPr>
      <w:r>
        <w:t xml:space="preserve">3. Implementation Approach</w:t>
      </w:r>
    </w:p>
    <w:p>
      <w:pPr>
        <w:spacing w:after="110"/>
      </w:pPr>
      <w:r>
        <w:rPr>
          <w:sz w:val="21"/>
          <w:szCs w:val="21"/>
        </w:rPr>
        <w:t xml:space="preserve">EkamCore does NOT implement a dedicated metrics database (no Prometheus, no InfluxDB, no Grafana). Metrics are derived from existing data sources:</w:t>
      </w:r>
    </w:p>
    <w:p>
      <w:pPr>
        <w:pStyle w:val="ListParagraph"/>
        <w:numPr>
          <w:ilvl w:val="0"/>
          <w:numId w:val="2"/>
        </w:numPr>
        <w:spacing w:after="50"/>
      </w:pPr>
      <w:r>
        <w:rPr>
          <w:sz w:val="21"/>
          <w:szCs w:val="21"/>
        </w:rPr>
        <w:t xml:space="preserve">Structured JSON logs (already produced by API and workers) are the primary data source. Log analysis scripts can compute any metric from logs.</w:t>
      </w:r>
    </w:p>
    <w:p>
      <w:pPr>
        <w:pStyle w:val="ListParagraph"/>
        <w:numPr>
          <w:ilvl w:val="0"/>
          <w:numId w:val="2"/>
        </w:numPr>
        <w:spacing w:after="50"/>
      </w:pPr>
      <w:r>
        <w:rPr>
          <w:sz w:val="21"/>
          <w:szCs w:val="21"/>
        </w:rPr>
        <w:t xml:space="preserve">Redis counters for real-time aggregates (query count, error rate) using INCR + TTL pattern.</w:t>
      </w:r>
    </w:p>
    <w:p>
      <w:pPr>
        <w:pStyle w:val="ListParagraph"/>
        <w:numPr>
          <w:ilvl w:val="0"/>
          <w:numId w:val="2"/>
        </w:numPr>
        <w:spacing w:after="50"/>
      </w:pPr>
      <w:r>
        <w:rPr>
          <w:sz w:val="21"/>
          <w:szCs w:val="21"/>
        </w:rPr>
        <w:t xml:space="preserve">Docker API for container resource usage (already consumed by manager app dashboard).</w:t>
      </w:r>
    </w:p>
    <w:p>
      <w:pPr>
        <w:pStyle w:val="ListParagraph"/>
        <w:numPr>
          <w:ilvl w:val="0"/>
          <w:numId w:val="2"/>
        </w:numPr>
        <w:spacing w:after="50"/>
      </w:pPr>
      <w:r>
        <w:rPr>
          <w:sz w:val="21"/>
          <w:szCs w:val="21"/>
        </w:rPr>
        <w:t xml:space="preserve">PostgreSQL queries for data volume metrics (SELECT count(*) FROM files, etc.).</w:t>
      </w:r>
    </w:p>
    <w:p>
      <w:pPr>
        <w:spacing w:after="110"/>
      </w:pPr>
      <w:r>
        <w:rPr>
          <w:sz w:val="21"/>
          <w:szCs w:val="21"/>
        </w:rPr>
        <w:t xml:space="preserve">If richer dashboards are needed in v1.1+, a lightweight local time-series solution (e.g., SQLite with time-bucketed tables) can be added without architectural change.</w:t>
      </w:r>
    </w:p>
    <w:p>
      <w:pPr>
        <w:pStyle w:val="Heading1"/>
      </w:pPr>
      <w:r>
        <w:t xml:space="preserve">4. Health KPIs (displayed in Manager Dashboard)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46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KPI</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Good</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Warning</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Critical</w:t>
            </w:r>
          </w:p>
        </w:tc>
        <w:tc>
          <w:tcPr>
            <w:tcW w:type="dxa" w:w="4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Source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System uptime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7 services healthy &gt; 99%</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Any service degraded &gt; 5 min in last 24h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Any service down &gt; 15 min</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Watchdog state + Docker API</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Disk usage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 80% of available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80-95% of available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&gt; 95% of available</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Docker system df + statvfs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Ingestion error rate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1% of files fail</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1-5% fail</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&gt; 5% fail</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ingestion_states WHERE current_stage = 'FAILED'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error rate (5xx)</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&lt; 0.1% of requests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0.1-1%</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&gt; 1%</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Redis counter: error_rate:500</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 latency (P95)</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&lt; 1s (deterministic), &lt; 5s (LLM)</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1-2s / 5-10s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&gt; 2s / &gt; 10s</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Structured log aggregation</w:t>
            </w:r>
          </w:p>
        </w:tc>
      </w:tr>
    </w:tbl>
    <w:p>
      <w:pPr>
        <w:spacing w:after="60"/>
      </w:pP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ART-27: Product Metrics System  |  Tier 5 Operational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2026-03-20T01:28:54.647Z</dcterms:created>
  <dcterms:modified xsi:type="dcterms:W3CDTF">2026-03-20T01:28:54.647Z</dcterms:modified>
</cp:coreProperties>
</file>

<file path=docProps/custom.xml><?xml version="1.0" encoding="utf-8"?>
<Properties xmlns="http://schemas.openxmlformats.org/officeDocument/2006/custom-properties" xmlns:vt="http://schemas.openxmlformats.org/officeDocument/2006/docPropsVTypes"/>
</file>