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Происхождение формул выпускной квалификационной работы</w:t>
      </w:r>
    </w:p>
    <w:p>
      <w:pPr>
        <w:spacing w:after="240"/>
        <w:jc w:val="center"/>
      </w:pPr>
      <w:r>
        <w:rPr>
          <w:i/>
          <w:iCs/>
          <w:sz w:val="26"/>
          <w:szCs w:val="26"/>
        </w:rPr>
        <w:t xml:space="preserve">Из каких источников взята каждая формула и что разработано в самой работе</w:t>
      </w:r>
    </w:p>
    <w:p>
      <w:pPr>
        <w:pStyle w:val="Heading1"/>
        <w:keepNext/>
        <w:spacing w:after="100" w:before="320"/>
      </w:pPr>
      <w:r>
        <w:rPr>
          <w:b/>
          <w:bCs/>
          <w:color w:val="1A237E"/>
          <w:sz w:val="30"/>
          <w:szCs w:val="30"/>
        </w:rPr>
        <w:t xml:space="preserve">1. Как формировались формулы</w:t>
      </w:r>
    </w:p>
    <w:p>
      <w:pPr>
        <w:spacing w:after="100" w:before="0" w:line="312"/>
        <w:ind w:firstLine="709"/>
        <w:jc w:val="both"/>
      </w:pPr>
      <w:r>
        <w:t xml:space="preserve">Формулы работы относятся к трём группам.</w:t>
      </w:r>
    </w:p>
    <w:p>
      <w:pPr>
        <w:spacing w:after="100" w:before="0" w:line="312"/>
        <w:ind w:firstLine="709"/>
        <w:jc w:val="both"/>
      </w:pPr>
      <w:r>
        <w:rPr>
          <w:b/>
          <w:bCs/>
        </w:rPr>
        <w:t xml:space="preserve">Группа А – стандартные формулы из литературы.</w:t>
      </w:r>
      <w:r>
        <w:t xml:space="preserve"> Определения графа, матрицы смежности, евклидова расстояния, проекции точки на отрезок, связности, оценки сложности алгоритмов. Они взяты из учебников по теории графов, алгоритмам и вычислительной геометрии и приведены в общепринятой записи.</w:t>
      </w:r>
    </w:p>
    <w:p>
      <w:pPr>
        <w:spacing w:after="100" w:before="0" w:line="312"/>
        <w:ind w:firstLine="709"/>
        <w:jc w:val="both"/>
      </w:pPr>
      <w:r>
        <w:rPr>
          <w:b/>
          <w:bCs/>
        </w:rPr>
        <w:t xml:space="preserve">Группа Б – формулы, разработанные в работе на основе известных методов.</w:t>
      </w:r>
      <w:r>
        <w:t xml:space="preserve"> Правила построения топологии (2.7, 2.9), функция состояния (2.13), множество стартовых узлов (2.15), модели времени (2.16, 2.17) и показатели оперативности (2.18–2.20). Метод, лежащий в основе каждой из них, известен и указан в таблице; конкретная формула, её параметры и применение к задаче анализа отключений составлены в ходе выполнения ВКР. Именно эти формулы составляют содержание научной новизны и практической части работы, поэтому на защите их следует представлять как разработанные в работе.</w:t>
      </w:r>
    </w:p>
    <w:p>
      <w:pPr>
        <w:spacing w:after="100" w:before="0" w:line="312"/>
        <w:ind w:firstLine="709"/>
        <w:jc w:val="both"/>
      </w:pPr>
      <w:r>
        <w:rPr>
          <w:b/>
          <w:bCs/>
        </w:rPr>
        <w:t xml:space="preserve">Группа В – нормативные и экономические формулы.</w:t>
      </w:r>
      <w:r>
        <w:t xml:space="preserve"> Недоотпуск электроэнергии и расчёт экономического эффекта по общепринятым методикам.</w:t>
      </w:r>
    </w:p>
    <w:p>
      <w:pPr>
        <w:spacing w:after="100" w:before="0" w:line="312"/>
        <w:ind w:firstLine="709"/>
        <w:jc w:val="both"/>
      </w:pPr>
      <w:r>
        <w:t xml:space="preserve">Важно: числовые параметры модели трудоёмкости ручного анализа (t</w:t>
      </w:r>
      <w:r>
        <w:rPr>
          <w:vertAlign w:val="subscript"/>
        </w:rPr>
        <w:t xml:space="preserve">0</w:t>
      </w:r>
      <w:r>
        <w:t xml:space="preserve"> = 60 с, t</w:t>
      </w:r>
      <w:r>
        <w:rPr>
          <w:vertAlign w:val="subscript"/>
        </w:rPr>
        <w:t xml:space="preserve">уч</w:t>
      </w:r>
      <w:r>
        <w:t xml:space="preserve"> = 8 с, t</w:t>
      </w:r>
      <w:r>
        <w:rPr>
          <w:vertAlign w:val="subscript"/>
        </w:rPr>
        <w:t xml:space="preserve">отв</w:t>
      </w:r>
      <w:r>
        <w:t xml:space="preserve"> = 15 с) и допустимое время T</w:t>
      </w:r>
      <w:r>
        <w:rPr>
          <w:vertAlign w:val="subscript"/>
        </w:rPr>
        <w:t xml:space="preserve">доп</w:t>
      </w:r>
      <w:r>
        <w:t xml:space="preserve"> = 5 мин – это экспертная (условная) оценка, принятая в работе, а не значения из нормативного документа. Модель проверена пробным хронометражем (за 18,9 с найден 1 участок из 73), который показал, что оценка не завышена. На защите об этом нужно говорить прямо.</w:t>
      </w:r>
    </w:p>
    <w:p>
      <w:pPr>
        <w:pStyle w:val="Heading1"/>
        <w:keepNext/>
        <w:spacing w:after="100" w:before="320"/>
      </w:pPr>
      <w:r>
        <w:rPr>
          <w:b/>
          <w:bCs/>
          <w:color w:val="1A237E"/>
          <w:sz w:val="30"/>
          <w:szCs w:val="30"/>
        </w:rPr>
        <w:t xml:space="preserve">2. Сводная таблица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50"/>
        <w:gridCol w:w="800"/>
        <w:gridCol w:w="5088"/>
      </w:tblGrid>
      <w:tr>
        <w:trPr>
          <w:cantSplit/>
          <w:tblHeader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Формула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Группа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Источник (номера по списку раздела 4)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(2.1)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Граф сети G = (V, E)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Харари [1], Оре [2], Кристофидес [3]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(2.2)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Кортеж атрибутов ребра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А/Б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Модель «узел – ребро» ГИС: ДеМерс [8], Лурье [9]; состав атрибутов – разработан в работе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(2.3)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Матрица смежности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Харари [1], Кристофидес [3], Асанов и др. [4]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(2.4)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Активная матрица смежности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А/Б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Операция удаления рёбер – Харари [1]; применение к отключениям – в работе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(2.5)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Переход к плоским координатам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Серапинас [10]; реализация – библиотека PROJ/GDAL [16]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(2.6)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Евклидово расстояние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Курс аналитической геометрии; Препарата, Шеймос [7]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(2.7)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Сведение концов (отношение эквивалентности)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Б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Отношение эквивалентности и union–find: Кормен и др. [5], Тарьян [6]; правило и допуск ε = 10 м – разработаны в работе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(2.8)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Проекция точки на отрезок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Препарата, Шеймос [7]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(2.9)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Условия Т-ответвления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Б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Скалярное произведение и косинус угла – [7]; набор условий и порог 0,94 (20°) – разработаны в работе по результатам проверки на данных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(2.10)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Активный граф G′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Харари [1], Кормен и др. [5]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(2.11)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Обесточенные узлы через компоненты связности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А/Б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Компоненты связности – [1], [5]; трактовка как обесточения – законы Кирхгофа [11]; формулировка – в работе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(2.12)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Узлы под напряжением (достижимость)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Поиск в ширину – Мур [12], Кормен и др. [5]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(2.13)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Функция состояния (4 состояния)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Б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Разработана в работе (состояние 3 введено для отделения разрывов исходных данных)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(2.14)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Сложность O(|V| + |E|)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Кормен и др. [5]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(2.15)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Стартовые узлы инкрементального алгоритма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Б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Разработана в работе на основе свойств поиска в ширину [5]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(2.16)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Время ручного анализа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Б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Микроэлементное нормирование труда – Генкин [13]; формула и параметры (экспертная оценка) – разработаны в работе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(2.17)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Время автоматизированного анализа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Б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Аддитивность времени операций; составлена в работе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(2.18)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Коэффициент повышения оперативности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Б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Относительный показатель выигрыша во времени; показатели оперативности – Петухов [14], ГОСТ Р ИСО/МЭК 25010 [15]; формула – в работе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(2.19)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Вероятность своевременного анализа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А/Б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Показатель «вероятность своевременного выполнения задачи» – Вентцель [17], Петухов [14]; частотная оценка – закон больших чисел; применение и T</w:t>
            </w:r>
            <w:r>
              <w:rPr>
                <w:b w:val="false"/>
                <w:bCs w:val="false"/>
                <w:sz w:val="22"/>
                <w:szCs w:val="22"/>
                <w:vertAlign w:val="subscript"/>
              </w:rPr>
              <w:t xml:space="preserve">доп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– в работе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(2.20)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Трудоёмкость анализа N-1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Б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Критерий N-1 – Методические указания по устойчивости энергосистем [18]; формула – в работе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</w:t>
            </w:r>
            <w:r>
              <w:rPr>
                <w:b w:val="false"/>
                <w:bCs w:val="false"/>
                <w:sz w:val="22"/>
                <w:szCs w:val="22"/>
                <w:vertAlign w:val="subscript"/>
              </w:rPr>
              <w:t xml:space="preserve">j</w:t>
            </w:r>
            <w:r>
              <w:rPr>
                <w:b w:val="false"/>
                <w:bCs w:val="false"/>
                <w:sz w:val="22"/>
                <w:szCs w:val="22"/>
              </w:rPr>
              <w:t xml:space="preserve"> (новая)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Показатель критичности элемента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Б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Анализ видов и последствий отказов – ГОСТ Р 27.303–2021 [21]; надёжность систем энергетики – Руденко, Ушаков [22]; формула – разработана в работе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K, π (новые)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Множество критических объектов, ранжирование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Б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Ранжирование по тяжести последствий – ГОСТ Р 27.303–2021 [21]; порог W* = 100 км – принят в работе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 = R∘N∘A∘T (новая)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Программа как композиция операторов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Б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Функциональная декомпозиция (структурное программирование); схема – ГОСТ 19.701–90; составлено в работе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O(|Φ</w:t>
            </w:r>
            <w:r>
              <w:rPr>
                <w:b w:val="false"/>
                <w:bCs w:val="false"/>
                <w:sz w:val="22"/>
                <w:szCs w:val="22"/>
                <w:vertAlign w:val="subscript"/>
              </w:rPr>
              <w:t xml:space="preserve">Σ</w:t>
            </w:r>
            <w:r>
              <w:rPr>
                <w:b w:val="false"/>
                <w:bCs w:val="false"/>
                <w:sz w:val="22"/>
                <w:szCs w:val="22"/>
              </w:rPr>
              <w:t xml:space="preserve">| + |E(Φ</w:t>
            </w:r>
            <w:r>
              <w:rPr>
                <w:b w:val="false"/>
                <w:bCs w:val="false"/>
                <w:sz w:val="22"/>
                <w:szCs w:val="22"/>
                <w:vertAlign w:val="subscript"/>
              </w:rPr>
              <w:t xml:space="preserve">Σ</w:t>
            </w:r>
            <w:r>
              <w:rPr>
                <w:b w:val="false"/>
                <w:bCs w:val="false"/>
                <w:sz w:val="22"/>
                <w:szCs w:val="22"/>
              </w:rPr>
              <w:t xml:space="preserve">)|), O(m·log m)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Сложность анализа и ранжирования, память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Оценки сложности BFS, сортировки и списков смежности – Кормен и др. [5]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(3.1)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Недоотпуск электроэнергии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 = ∫P dt (курс физики/ТОЭ [11]); показатель недоотпуска – приказ Минэнерго № 1256 [19]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(3.2)–(3.5)</w:t>
            </w:r>
          </w:p>
        </w:tc>
        <w:tc>
          <w:tcPr>
            <w:tcW w:type="dxa" w:w="265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Экономический эффект и срок окупаемости</w:t>
            </w:r>
          </w:p>
        </w:tc>
        <w:tc>
          <w:tcPr>
            <w:tcW w:type="dxa" w:w="8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</w:t>
            </w:r>
          </w:p>
        </w:tc>
        <w:tc>
          <w:tcPr>
            <w:tcW w:type="dxa" w:w="508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Методические рекомендации по оценке эффективности инвестиционных проектов [20]</w:t>
            </w:r>
          </w:p>
        </w:tc>
      </w:tr>
    </w:tbl>
    <w:p>
      <w:pPr>
        <w:pStyle w:val="Heading1"/>
        <w:keepNext/>
        <w:spacing w:after="100" w:before="320"/>
      </w:pPr>
      <w:r>
        <w:rPr>
          <w:b/>
          <w:bCs/>
          <w:color w:val="1A237E"/>
          <w:sz w:val="30"/>
          <w:szCs w:val="30"/>
        </w:rPr>
        <w:t xml:space="preserve">3. Пояснения по группам</w:t>
      </w:r>
    </w:p>
    <w:p>
      <w:pPr>
        <w:pStyle w:val="Heading2"/>
        <w:keepNext/>
        <w:spacing w:after="100" w:before="220"/>
      </w:pPr>
      <w:r>
        <w:rPr>
          <w:b/>
          <w:bCs/>
          <w:color w:val="2E75B6"/>
          <w:sz w:val="28"/>
          <w:szCs w:val="28"/>
        </w:rPr>
        <w:t xml:space="preserve">3.1 Математическое представление сети (2.1)–(2.4)</w:t>
      </w:r>
    </w:p>
    <w:p>
      <w:pPr>
        <w:spacing w:after="100" w:before="0" w:line="312"/>
        <w:ind w:firstLine="709"/>
        <w:jc w:val="both"/>
      </w:pPr>
      <w:r>
        <w:t xml:space="preserve">Граф G = (V, E), матрица смежности и операция удаления рёбер – классические определения теории графов. Они приведены, например, в монографии Ф. Харари «Теория графов» (гл. 2, 13) и учебнике Н. Кристофидеса (гл. 1). Состав атрибутов ребра (2.2) соответствует топологической модели «узел – ребро», принятой в ГИС (М. ДеМерс, И. К. Лурье), а конкретный набор полей (kind, U, l, from_node, to_node) определён в работе исходя из задачи.</w:t>
      </w:r>
    </w:p>
    <w:p>
      <w:pPr>
        <w:pStyle w:val="Heading2"/>
        <w:keepNext/>
        <w:spacing w:after="100" w:before="220"/>
      </w:pPr>
      <w:r>
        <w:rPr>
          <w:b/>
          <w:bCs/>
          <w:color w:val="2E75B6"/>
          <w:sz w:val="28"/>
          <w:szCs w:val="28"/>
        </w:rPr>
        <w:t xml:space="preserve">3.2 Геометрические формулы (2.5)–(2.9)</w:t>
      </w:r>
    </w:p>
    <w:p>
      <w:pPr>
        <w:spacing w:after="100" w:before="0" w:line="312"/>
        <w:ind w:firstLine="709"/>
        <w:jc w:val="both"/>
      </w:pPr>
      <w:r>
        <w:t xml:space="preserve">Формула (2.5) – общая запись картографической проекции (Б. Б. Серапинас, «Математическая картография»); в программе преобразование выполняет библиотека PROJ. Евклидово расстояние (2.6) и проекция точки на отрезок (2.8) – стандартные формулы вычислительной геометрии (Ф. Препарата, М. Шеймос). Правило сведения концов (2.7) использует понятие отношения эквивалентности и структуру «система непересекающихся множеств» (Т. Кормен и др., гл. 21; Р. Тарьян, 1975). Условия Т-ответвления (2.9) – собственная разработка: пороги расстояния, угла и совместимости напряжений выбраны в работе, а условие непараллельности введено после того, как на реальных данных была обнаружена ложная связь параллельных цепей.</w:t>
      </w:r>
    </w:p>
    <w:p>
      <w:pPr>
        <w:pStyle w:val="Heading2"/>
        <w:keepNext/>
        <w:spacing w:after="100" w:before="220"/>
      </w:pPr>
      <w:r>
        <w:rPr>
          <w:b/>
          <w:bCs/>
          <w:color w:val="2E75B6"/>
          <w:sz w:val="28"/>
          <w:szCs w:val="28"/>
        </w:rPr>
        <w:t xml:space="preserve">3.3 Модель обесточенных участков (2.10)–(2.15)</w:t>
      </w:r>
    </w:p>
    <w:p>
      <w:pPr>
        <w:spacing w:after="100" w:before="0" w:line="312"/>
        <w:ind w:firstLine="709"/>
        <w:jc w:val="both"/>
      </w:pPr>
      <w:r>
        <w:t xml:space="preserve">Физическое основание – законы Кирхгофа: ток протекает только по контуру с источником, поэтому участок без пути к источнику обесточен. Математически это задача достижимости в графе, решаемая поиском в ширину (Э. Мур, 1959; Т. Кормен и др., гл. 22), сложность (2.14) – оттуда же. Функция четырёх состояний (2.13) и инкрементальный алгоритм со стартовыми узлами (2.15) разработаны в работе; их корректность доказана в подразделах 2.3–2.4 и подтверждена экспериментом (360 сценариев).</w:t>
      </w:r>
    </w:p>
    <w:p>
      <w:pPr>
        <w:pStyle w:val="Heading2"/>
        <w:keepNext/>
        <w:spacing w:after="100" w:before="220"/>
      </w:pPr>
      <w:r>
        <w:rPr>
          <w:b/>
          <w:bCs/>
          <w:color w:val="2E75B6"/>
          <w:sz w:val="28"/>
          <w:szCs w:val="28"/>
        </w:rPr>
        <w:t xml:space="preserve">3.4 Показатели оперативности (2.16)–(2.20)</w:t>
      </w:r>
    </w:p>
    <w:p>
      <w:pPr>
        <w:spacing w:after="100" w:before="0" w:line="312"/>
        <w:ind w:firstLine="709"/>
        <w:jc w:val="both"/>
      </w:pPr>
      <w:r>
        <w:rPr>
          <w:b/>
          <w:bCs/>
        </w:rPr>
        <w:t xml:space="preserve">Понятие оперативности.</w:t>
      </w:r>
      <w:r>
        <w:t xml:space="preserve"> В теории эффективности целенаправленных процессов (Г. Б. Петухов) оперативность – свойство процесса достигать цели в заданное время; её показатели – время выполнения задачи и вероятность выполнения задачи за время, не превышающее допустимого. В стандарте качества программных систем ГОСТ Р ИСО/МЭК 25010 аналогичная характеристика называется «временные характеристики» (время отклика). Эти источники дают </w:t>
      </w:r>
      <w:r>
        <w:rPr>
          <w:b/>
          <w:bCs/>
        </w:rPr>
        <w:t xml:space="preserve">вид показателей</w:t>
      </w:r>
      <w:r>
        <w:t xml:space="preserve">, а конкретные формулы для анализа отключений составлены в работе.</w:t>
      </w:r>
    </w:p>
    <w:p>
      <w:pPr>
        <w:spacing w:after="100" w:before="0" w:line="312"/>
        <w:ind w:firstLine="709"/>
        <w:jc w:val="both"/>
      </w:pPr>
      <w:r>
        <w:rPr>
          <w:b/>
          <w:bCs/>
        </w:rPr>
        <w:t xml:space="preserve">(2.16) Время ручного анализа.</w:t>
      </w:r>
      <w:r>
        <w:t xml:space="preserve"> Построено по принципу микроэлементного нормирования труда (Б. М. Генкин): время операции равно сумме времён элементарных действий. Элементы (поиск места, прослеживание участка, проверка ответвления) и их длительности определены в работе экспертно; нормативного документа с такими значениями нет. Проверка – хронометраж в режиме «Ручной замер».</w:t>
      </w:r>
    </w:p>
    <w:p>
      <w:pPr>
        <w:spacing w:after="100" w:before="0" w:line="312"/>
        <w:ind w:firstLine="709"/>
        <w:jc w:val="both"/>
      </w:pPr>
      <w:r>
        <w:rPr>
          <w:b/>
          <w:bCs/>
        </w:rPr>
        <w:t xml:space="preserve">(2.17) Время автоматизированного анализа.</w:t>
      </w:r>
      <w:r>
        <w:t xml:space="preserve"> Сумма времени расчёта и отображения – следствие аддитивности времени последовательных операций; значения измерены в эксперименте.</w:t>
      </w:r>
    </w:p>
    <w:p>
      <w:pPr>
        <w:spacing w:after="100" w:before="0" w:line="312"/>
        <w:ind w:firstLine="709"/>
        <w:jc w:val="both"/>
      </w:pPr>
      <w:r>
        <w:rPr>
          <w:b/>
          <w:bCs/>
        </w:rPr>
        <w:t xml:space="preserve">(2.18) Коэффициент повышения оперативности.</w:t>
      </w:r>
      <w:r>
        <w:t xml:space="preserve"> Относительный показатель выигрыша во времени, построенный в работе как отношение суммарного времени ручного и автоматизированного анализа на одной выборке аварий.</w:t>
      </w:r>
    </w:p>
    <w:p>
      <w:pPr>
        <w:spacing w:after="100" w:before="0" w:line="312"/>
        <w:ind w:firstLine="709"/>
        <w:jc w:val="both"/>
      </w:pPr>
      <w:r>
        <w:rPr>
          <w:b/>
          <w:bCs/>
        </w:rPr>
        <w:t xml:space="preserve">(2.19) Вероятность своевременного анализа.</w:t>
      </w:r>
      <w:r>
        <w:t xml:space="preserve"> Показатель «вероятность своевременного выполнения задачи» P(T ≤ T</w:t>
      </w:r>
      <w:r>
        <w:rPr>
          <w:vertAlign w:val="subscript"/>
        </w:rPr>
        <w:t xml:space="preserve">доп</w:t>
      </w:r>
      <w:r>
        <w:t xml:space="preserve">) широко используется в исследовании операций (Е. С. Вентцель) и теории эффективности (Г. Б. Петухов). Оценка по выборке как доля успешных случаев – частотное определение вероятности (закон больших чисел). Значение T</w:t>
      </w:r>
      <w:r>
        <w:rPr>
          <w:vertAlign w:val="subscript"/>
        </w:rPr>
        <w:t xml:space="preserve">доп</w:t>
      </w:r>
      <w:r>
        <w:t xml:space="preserve"> = 5 мин принято в работе условно.</w:t>
      </w:r>
    </w:p>
    <w:p>
      <w:pPr>
        <w:spacing w:after="100" w:before="0" w:line="312"/>
        <w:ind w:firstLine="709"/>
        <w:jc w:val="both"/>
      </w:pPr>
      <w:r>
        <w:rPr>
          <w:b/>
          <w:bCs/>
        </w:rPr>
        <w:t xml:space="preserve">(2.20) Трудоёмкость анализа N-1.</w:t>
      </w:r>
      <w:r>
        <w:t xml:space="preserve"> Критерий N-1 (отказ любого одного элемента) установлен в Методических указаниях по устойчивости энергосистем (приказ Минэнерго России № 630); формула трудоёмкости как суммы времени анализа всех отказов составлена в работе.</w:t>
      </w:r>
    </w:p>
    <w:p>
      <w:pPr>
        <w:pStyle w:val="Heading2"/>
        <w:keepNext/>
        <w:spacing w:after="100" w:before="220"/>
      </w:pPr>
      <w:r>
        <w:rPr>
          <w:b/>
          <w:bCs/>
          <w:color w:val="2E75B6"/>
          <w:sz w:val="28"/>
          <w:szCs w:val="28"/>
        </w:rPr>
        <w:t xml:space="preserve">3.5 Показатель критичности элемента</w:t>
      </w:r>
    </w:p>
    <w:p>
      <w:pPr>
        <w:spacing w:after="100" w:before="0" w:line="312"/>
        <w:ind w:firstLine="709"/>
        <w:jc w:val="both"/>
      </w:pPr>
      <w:r>
        <w:t xml:space="preserve">Показатель критичности W</w:t>
      </w:r>
      <w:r>
        <w:rPr>
          <w:vertAlign w:val="subscript"/>
        </w:rPr>
        <w:t xml:space="preserve">j</w:t>
      </w:r>
      <w:r>
        <w:t xml:space="preserve"> – суммарная длина линий, обесточиваемых при отказе элемента j, – введён в работе по аналогии с анализом видов и последствий отказов (ГОСТ Р 27.303–2021): элементы ранжируются по тяжести последствий отказа. Для электрической сети тяжесть последствий выражена объёмом обесточенной сети, так как данные о нагрузке потребителей в открытом наборе отсутствуют.</w:t>
      </w:r>
    </w:p>
    <w:p>
      <w:pPr>
        <w:pStyle w:val="Heading2"/>
        <w:keepNext/>
        <w:spacing w:after="100" w:before="220"/>
      </w:pPr>
      <w:r>
        <w:rPr>
          <w:b/>
          <w:bCs/>
          <w:color w:val="2E75B6"/>
          <w:sz w:val="28"/>
          <w:szCs w:val="28"/>
        </w:rPr>
        <w:t xml:space="preserve">3.6 Формулы раздела 3</w:t>
      </w:r>
    </w:p>
    <w:p>
      <w:pPr>
        <w:spacing w:after="100" w:before="0" w:line="312"/>
        <w:ind w:firstLine="709"/>
        <w:jc w:val="both"/>
      </w:pPr>
      <w:r>
        <w:t xml:space="preserve">Недоотпуск (3.1) следует из определения энергии W = ∫P dt; сам показатель недоотпуска и показатели надёжности П</w:t>
      </w:r>
      <w:r>
        <w:rPr>
          <w:vertAlign w:val="subscript"/>
        </w:rPr>
        <w:t xml:space="preserve">SAIDI</w:t>
      </w:r>
      <w:r>
        <w:t xml:space="preserve">, П</w:t>
      </w:r>
      <w:r>
        <w:rPr>
          <w:vertAlign w:val="subscript"/>
        </w:rPr>
        <w:t xml:space="preserve">SAIFI</w:t>
      </w:r>
      <w:r>
        <w:t xml:space="preserve"> установлены приказом Минэнерго России № 1256. Экономический расчёт (3.2)–(3.5) выполнен по Методическим рекомендациям по оценке эффективности инвестиционных проектов (простой срок окупаемости); исходные данные условные.</w:t>
      </w:r>
    </w:p>
    <w:p>
      <w:pPr>
        <w:pStyle w:val="Heading1"/>
        <w:keepNext/>
        <w:spacing w:after="100" w:before="320"/>
      </w:pPr>
      <w:r>
        <w:rPr>
          <w:b/>
          <w:bCs/>
          <w:color w:val="1A237E"/>
          <w:sz w:val="30"/>
          <w:szCs w:val="30"/>
        </w:rPr>
        <w:t xml:space="preserve">4. Список источников</w:t>
      </w:r>
    </w:p>
    <w:p>
      <w:pPr>
        <w:spacing w:after="100" w:before="0" w:line="312"/>
        <w:jc w:val="both"/>
      </w:pPr>
      <w:r>
        <w:t xml:space="preserve">Источники, отмеченные звёздочкой (*), пока отсутствуют в списке литературы пояснительной записки – при необходимости их можно добавить.</w:t>
      </w:r>
    </w:p>
    <w:p>
      <w:pPr>
        <w:spacing w:after="60" w:before="0" w:line="312"/>
        <w:jc w:val="both"/>
      </w:pPr>
      <w:r>
        <w:t xml:space="preserve">1. Харари, Ф. Теория графов / Ф. Харари ; пер. с англ. – Москва : Мир, 1973. – 300 с.</w:t>
      </w:r>
    </w:p>
    <w:p>
      <w:pPr>
        <w:spacing w:after="60" w:before="0" w:line="312"/>
        <w:jc w:val="both"/>
      </w:pPr>
      <w:r>
        <w:t xml:space="preserve">2. Оре, О. Теория графов / О. Оре. – 2-е изд. – Москва : Наука, 1980. – 336 с.</w:t>
      </w:r>
    </w:p>
    <w:p>
      <w:pPr>
        <w:spacing w:after="60" w:before="0" w:line="312"/>
        <w:jc w:val="both"/>
      </w:pPr>
      <w:r>
        <w:t xml:space="preserve">3. Кристофидес, Н. Теория графов. Алгоритмический подход / Н. Кристофидес. – Москва : Мир, 1978. – 432 с.</w:t>
      </w:r>
    </w:p>
    <w:p>
      <w:pPr>
        <w:spacing w:after="60" w:before="0" w:line="312"/>
        <w:jc w:val="both"/>
      </w:pPr>
      <w:r>
        <w:t xml:space="preserve">4. Асанов, М. О. Дискретная математика: графы, матроиды, алгоритмы / М. О. Асанов, В. А. Баранский, В. В. Расин. – Санкт-Петербург : Лань, 2020. – 364 с.</w:t>
      </w:r>
    </w:p>
    <w:p>
      <w:pPr>
        <w:spacing w:after="60" w:before="0" w:line="312"/>
        <w:jc w:val="both"/>
      </w:pPr>
      <w:r>
        <w:t xml:space="preserve">5. Кормен, Т. Х. Алгоритмы: построение и анализ / Т. Х. Кормен, Ч. И. Лейзерсон, Р. Л. Ривест, К. Штайн. – 3-е изд. – Москва : Вильямс, 2013. – 1328 с. (гл. 21 – системы непересекающихся множеств, гл. 22 – поиск в ширину и в глубину).</w:t>
      </w:r>
    </w:p>
    <w:p>
      <w:pPr>
        <w:spacing w:after="60" w:before="0" w:line="312"/>
        <w:jc w:val="both"/>
      </w:pPr>
      <w:r>
        <w:t xml:space="preserve">6*. Tarjan, R. E. Efficiency of a good but not linear set union algorithm / R. E. Tarjan // Journal of the ACM. – 1975. – Vol. 22, № 2. – P. 215–225.</w:t>
      </w:r>
    </w:p>
    <w:p>
      <w:pPr>
        <w:spacing w:after="60" w:before="0" w:line="312"/>
        <w:jc w:val="both"/>
      </w:pPr>
      <w:r>
        <w:t xml:space="preserve">7*. Препарата, Ф. Вычислительная геометрия: введение / Ф. Препарата, М. Шеймос. – Москва : Мир, 1989. – 478 с.</w:t>
      </w:r>
    </w:p>
    <w:p>
      <w:pPr>
        <w:spacing w:after="60" w:before="0" w:line="312"/>
        <w:jc w:val="both"/>
      </w:pPr>
      <w:r>
        <w:t xml:space="preserve">8. ДеМерс, М. Н. Географические информационные системы. Основы / М. Н. ДеМерс. – Москва : Дата+, 1999. – 490 с.</w:t>
      </w:r>
    </w:p>
    <w:p>
      <w:pPr>
        <w:spacing w:after="60" w:before="0" w:line="312"/>
        <w:jc w:val="both"/>
      </w:pPr>
      <w:r>
        <w:t xml:space="preserve">9. Лурье, И. К. Геоинформационное картографирование / И. К. Лурье. – Москва : КДУ, 2010. – 424 с.</w:t>
      </w:r>
    </w:p>
    <w:p>
      <w:pPr>
        <w:spacing w:after="60" w:before="0" w:line="312"/>
        <w:jc w:val="both"/>
      </w:pPr>
      <w:r>
        <w:t xml:space="preserve">10*. Серапинас, Б. Б. Математическая картография / Б. Б. Серапинас. – Москва : Академия, 2005. – 336 с.</w:t>
      </w:r>
    </w:p>
    <w:p>
      <w:pPr>
        <w:spacing w:after="60" w:before="0" w:line="312"/>
        <w:jc w:val="both"/>
      </w:pPr>
      <w:r>
        <w:t xml:space="preserve">11*. Бессонов, Л. А. Теоретические основы электротехники. Электрические цепи / Л. А. Бессонов. – Москва : Юрайт (законы Кирхгофа и Ома, энергия и мощность).</w:t>
      </w:r>
    </w:p>
    <w:p>
      <w:pPr>
        <w:spacing w:after="60" w:before="0" w:line="312"/>
        <w:jc w:val="both"/>
      </w:pPr>
      <w:r>
        <w:t xml:space="preserve">12*. Moore, E. F. The shortest path through a maze / E. F. Moore // Proceedings of the International Symposium on the Theory of Switching. – Harvard University Press, 1959. – P. 285–292.</w:t>
      </w:r>
    </w:p>
    <w:p>
      <w:pPr>
        <w:spacing w:after="60" w:before="0" w:line="312"/>
        <w:jc w:val="both"/>
      </w:pPr>
      <w:r>
        <w:t xml:space="preserve">13*. Генкин, Б. М. Организация, нормирование и оплата труда на промышленных предприятиях / Б. М. Генкин. – Москва : Норма (раздел о микроэлементном нормировании).</w:t>
      </w:r>
    </w:p>
    <w:p>
      <w:pPr>
        <w:spacing w:after="60" w:before="0" w:line="312"/>
        <w:jc w:val="both"/>
      </w:pPr>
      <w:r>
        <w:t xml:space="preserve">14*. Петухов, Г. Б. Основы теории эффективности целенаправленных процессов. Ч. 1 / Г. Б. Петухов. – Москва : МО СССР, 1989. – 660 с.</w:t>
      </w:r>
    </w:p>
    <w:p>
      <w:pPr>
        <w:spacing w:after="60" w:before="0" w:line="312"/>
        <w:jc w:val="both"/>
      </w:pPr>
      <w:r>
        <w:t xml:space="preserve">15*. ГОСТ Р ИСО/МЭК 25010–2015. Информационные технологии.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продуктов.</w:t>
      </w:r>
    </w:p>
    <w:p>
      <w:pPr>
        <w:spacing w:after="60" w:before="0" w:line="312"/>
        <w:jc w:val="both"/>
      </w:pPr>
      <w:r>
        <w:t xml:space="preserve">16. GDAL/PROJ documentation. – URL: https://gdal.org/</w:t>
      </w:r>
    </w:p>
    <w:p>
      <w:pPr>
        <w:spacing w:after="60" w:before="0" w:line="312"/>
        <w:jc w:val="both"/>
      </w:pPr>
      <w:r>
        <w:t xml:space="preserve">17*. Вентцель, Е. С. Исследование операций / Е. С. Вентцель. – Москва : Советское радио, 1972. – 552 с.</w:t>
      </w:r>
    </w:p>
    <w:p>
      <w:pPr>
        <w:spacing w:after="60" w:before="0" w:line="312"/>
        <w:jc w:val="both"/>
      </w:pPr>
      <w:r>
        <w:t xml:space="preserve">18*. Об утверждении Методических указаний по устойчивости энергосистем : приказ Минэнерго России от 03.08.2018 № 630.</w:t>
      </w:r>
    </w:p>
    <w:p>
      <w:pPr>
        <w:spacing w:after="60" w:before="0" w:line="312"/>
        <w:jc w:val="both"/>
      </w:pPr>
      <w:r>
        <w:t xml:space="preserve">19. Об утверждении методических указаний по расчёту уровня надёжности и качества поставляемых товаров и оказываемых услуг… : приказ Минэнерго России от 29.11.2016 № 1256.</w:t>
      </w:r>
    </w:p>
    <w:p>
      <w:pPr>
        <w:spacing w:after="60" w:before="0" w:line="312"/>
        <w:jc w:val="both"/>
      </w:pPr>
      <w:r>
        <w:t xml:space="preserve">20*. Методические рекомендации по оценке эффективности инвестиционных проектов (вторая редакция) : утв. Минэкономики РФ, Минфином РФ, Госстроем РФ 21.06.1999 № ВК 477.</w:t>
      </w:r>
    </w:p>
    <w:p>
      <w:pPr>
        <w:spacing w:after="60" w:before="0" w:line="312"/>
        <w:jc w:val="both"/>
      </w:pPr>
      <w:r>
        <w:t xml:space="preserve">21*. ГОСТ Р 27.303–2021 (МЭК 60812:2018). Надёжность в технике. Анализ видов и последствий отказов.</w:t>
      </w:r>
    </w:p>
    <w:p>
      <w:pPr>
        <w:spacing w:after="60" w:before="0" w:line="312"/>
        <w:jc w:val="both"/>
      </w:pPr>
      <w:r>
        <w:t xml:space="preserve">22. Руденко, Ю. Н. Надёжность систем энергетики / Ю. Н. Руденко, И. А. Ушаков. – 2-е изд. – Новосибирск : Наука, 1989. – 328 с.</w:t>
      </w:r>
    </w:p>
    <w:p>
      <w:pPr>
        <w:spacing w:after="100" w:before="120" w:line="312"/>
        <w:ind w:firstLine="709"/>
        <w:jc w:val="both"/>
      </w:pPr>
      <w:r>
        <w:rPr>
          <w:i/>
          <w:iCs/>
        </w:rPr>
        <w:t xml:space="preserve">Издательские данные отмеченных звёздочкой источников (страницы, год переиздания) перед включением в список литературы рекомендуется сверить с экземпляром книги в библиотеке.</w:t>
      </w:r>
    </w:p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2026-10-11T18:23:03.371Z</dcterms:created>
  <dcterms:modified xsi:type="dcterms:W3CDTF">2026-10-11T18:23:03.372Z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