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2022" w14:textId="77777777" w:rsidR="0032689B" w:rsidRPr="00841B63" w:rsidRDefault="00D973AA">
      <w:pPr>
        <w:rPr>
          <w:b/>
          <w:u w:val="single"/>
        </w:rPr>
      </w:pPr>
      <w:r w:rsidRPr="00841B63">
        <w:rPr>
          <w:b/>
          <w:u w:val="single"/>
        </w:rPr>
        <w:t>Tutoriel annotation manuelle</w:t>
      </w:r>
      <w:r w:rsidR="00936F4B" w:rsidRPr="00841B63">
        <w:rPr>
          <w:b/>
          <w:u w:val="single"/>
        </w:rPr>
        <w:t xml:space="preserve"> d’un gène connu d’intérêt dans une séquence </w:t>
      </w:r>
      <w:r w:rsidR="00151B0E">
        <w:rPr>
          <w:b/>
          <w:u w:val="single"/>
        </w:rPr>
        <w:t xml:space="preserve">de génome </w:t>
      </w:r>
      <w:r w:rsidR="00936F4B" w:rsidRPr="00841B63">
        <w:rPr>
          <w:b/>
          <w:u w:val="single"/>
        </w:rPr>
        <w:t>non annotée</w:t>
      </w:r>
    </w:p>
    <w:p w14:paraId="0176ACCB" w14:textId="77777777" w:rsidR="00936F4B" w:rsidRDefault="00C5436B">
      <w:r>
        <w:t>Ce tutoriel présente la manière d’annoter un gène d’intérêt lorsqu’il n’est pas annoté dans un génome. Il peut aussi servir pour vérifier et éventuellement corriger des annotations si elles sont erronées. Il combine une annotation par similarité de séquence couplé</w:t>
      </w:r>
      <w:r w:rsidR="008E1706">
        <w:t>e</w:t>
      </w:r>
      <w:r>
        <w:t xml:space="preserve"> à la reconnaissance </w:t>
      </w:r>
      <w:r w:rsidRPr="008E1706">
        <w:rPr>
          <w:i/>
        </w:rPr>
        <w:t>ab initio</w:t>
      </w:r>
      <w:r>
        <w:t xml:space="preserve"> de motifs (démarrage de traduction et jonctions intron/exon). Il requiert la possibilité de faire des BLAST et l’utilisation du logiciel ARTEMIS (</w:t>
      </w:r>
      <w:r w:rsidRPr="00C5436B">
        <w:t>https://www.sanger.ac.uk/tool/artemis/</w:t>
      </w:r>
      <w:r>
        <w:t>).</w:t>
      </w:r>
    </w:p>
    <w:p w14:paraId="40CFA5B6" w14:textId="77777777" w:rsidR="00151B0E" w:rsidRDefault="00936F4B" w:rsidP="00A61C75">
      <w:pPr>
        <w:spacing w:line="240" w:lineRule="auto"/>
      </w:pPr>
      <w:r>
        <w:t>- Déclarer la séquence inconnue comme une banque de BLAST si elle n’est pas disponible sur un serveur</w:t>
      </w:r>
      <w:r w:rsidR="00151B0E">
        <w:t xml:space="preserve"> BLAST.</w:t>
      </w:r>
    </w:p>
    <w:p w14:paraId="79151945" w14:textId="77777777" w:rsidR="00936F4B" w:rsidRPr="00151B0E" w:rsidRDefault="00936F4B" w:rsidP="00151B0E">
      <w:pPr>
        <w:ind w:firstLine="708"/>
      </w:pPr>
      <w:r>
        <w:t xml:space="preserve">Sous PC utiliser </w:t>
      </w:r>
      <w:proofErr w:type="spellStart"/>
      <w:r>
        <w:t>Bioedit</w:t>
      </w:r>
      <w:proofErr w:type="spellEnd"/>
      <w:r>
        <w:t xml:space="preserve"> </w:t>
      </w:r>
      <w:r w:rsidR="00151B0E">
        <w:t xml:space="preserve">pour faire des BLAST en local </w:t>
      </w:r>
      <w:r>
        <w:t>(</w:t>
      </w:r>
      <w:hyperlink r:id="rId5" w:history="1">
        <w:r w:rsidRPr="00230702">
          <w:rPr>
            <w:rStyle w:val="Lienhypertexte"/>
          </w:rPr>
          <w:t>https://bioedit.software.informer.com/T%C3%A9l%C3%A9charger/</w:t>
        </w:r>
      </w:hyperlink>
      <w:r>
        <w:t>)</w:t>
      </w:r>
      <w:r w:rsidR="00151B0E">
        <w:t xml:space="preserve">. </w:t>
      </w:r>
      <w:r w:rsidR="00151B0E" w:rsidRPr="00151B0E">
        <w:t>Pour déclarer la banque,</w:t>
      </w:r>
      <w:r w:rsidRPr="00151B0E">
        <w:t xml:space="preserve"> faire </w:t>
      </w:r>
      <w:proofErr w:type="spellStart"/>
      <w:r w:rsidRPr="00151B0E">
        <w:t>accessory</w:t>
      </w:r>
      <w:proofErr w:type="spellEnd"/>
      <w:r w:rsidRPr="00151B0E">
        <w:t xml:space="preserve"> application -&gt; BLAST-&gt; </w:t>
      </w:r>
      <w:proofErr w:type="spellStart"/>
      <w:r w:rsidRPr="00151B0E">
        <w:t>create</w:t>
      </w:r>
      <w:proofErr w:type="spellEnd"/>
      <w:r w:rsidRPr="00151B0E">
        <w:t xml:space="preserve"> a local </w:t>
      </w:r>
      <w:proofErr w:type="spellStart"/>
      <w:r w:rsidRPr="00151B0E">
        <w:t>nucleotide</w:t>
      </w:r>
      <w:proofErr w:type="spellEnd"/>
      <w:r w:rsidRPr="00151B0E">
        <w:t xml:space="preserve"> </w:t>
      </w:r>
      <w:proofErr w:type="spellStart"/>
      <w:r w:rsidRPr="00151B0E">
        <w:t>database</w:t>
      </w:r>
      <w:proofErr w:type="spellEnd"/>
      <w:r w:rsidR="00151B0E" w:rsidRPr="00151B0E">
        <w:t xml:space="preserve"> et charger votre fichier de </w:t>
      </w:r>
      <w:proofErr w:type="spellStart"/>
      <w:r w:rsidR="00151B0E" w:rsidRPr="00151B0E">
        <w:t>sequence</w:t>
      </w:r>
      <w:proofErr w:type="spellEnd"/>
      <w:r w:rsidR="00151B0E" w:rsidRPr="00151B0E">
        <w:t>.</w:t>
      </w:r>
    </w:p>
    <w:p w14:paraId="397775C9" w14:textId="77777777" w:rsidR="00F126CA" w:rsidRDefault="00B325A6" w:rsidP="00936F4B">
      <w:r>
        <w:t xml:space="preserve">- utiliser la séquence du gène connu pour interroger par </w:t>
      </w:r>
      <w:proofErr w:type="spellStart"/>
      <w:r w:rsidR="00F126CA">
        <w:t>t</w:t>
      </w:r>
      <w:r>
        <w:t>BLAST</w:t>
      </w:r>
      <w:r w:rsidR="00F126CA">
        <w:t>n</w:t>
      </w:r>
      <w:proofErr w:type="spellEnd"/>
      <w:r>
        <w:t xml:space="preserve"> </w:t>
      </w:r>
      <w:r w:rsidR="00AC414A">
        <w:t xml:space="preserve">la banque nouvellement créée. Pour l’interprétation des données, il faut connaître </w:t>
      </w:r>
      <w:r w:rsidR="00F126CA">
        <w:t xml:space="preserve">(1) </w:t>
      </w:r>
      <w:r w:rsidR="00AC414A">
        <w:t xml:space="preserve">la distance phylogénétique entre </w:t>
      </w:r>
      <w:r w:rsidR="00F126CA">
        <w:t>l’espèce d’où provient le gène connu et celle d’où provient la séquence à annoter, (2) savoir si l</w:t>
      </w:r>
      <w:r w:rsidR="00151B0E">
        <w:t xml:space="preserve">e gène </w:t>
      </w:r>
      <w:r w:rsidR="00F126CA">
        <w:t>évolue lentement ou vite. Dans le cas des</w:t>
      </w:r>
      <w:r w:rsidR="00151B0E">
        <w:t xml:space="preserve"> gènes des</w:t>
      </w:r>
      <w:r w:rsidR="00F126CA">
        <w:t xml:space="preserve"> codes-barres fongiques, les séquences évoluent lentement</w:t>
      </w:r>
      <w:r w:rsidR="00151B0E">
        <w:t xml:space="preserve"> et il n’y a donc pas de problème pour reconnaitre la position de la séquence de l’orthologue dans le génome à annoter. Voici par exemple, </w:t>
      </w:r>
      <w:r w:rsidR="00F126CA">
        <w:t xml:space="preserve">le résultat </w:t>
      </w:r>
      <w:r w:rsidR="00151B0E">
        <w:t xml:space="preserve">du BLAST du premier code barre de </w:t>
      </w:r>
      <w:r w:rsidR="00151B0E" w:rsidRPr="001B407D">
        <w:rPr>
          <w:i/>
        </w:rPr>
        <w:t>Podospora anserina</w:t>
      </w:r>
      <w:r w:rsidR="00151B0E">
        <w:t xml:space="preserve"> sur le génome de </w:t>
      </w:r>
      <w:proofErr w:type="spellStart"/>
      <w:r w:rsidR="00151B0E" w:rsidRPr="001B407D">
        <w:rPr>
          <w:i/>
        </w:rPr>
        <w:t>Cercophora</w:t>
      </w:r>
      <w:proofErr w:type="spellEnd"/>
      <w:r w:rsidR="00151B0E" w:rsidRPr="001B407D">
        <w:rPr>
          <w:i/>
        </w:rPr>
        <w:t xml:space="preserve"> </w:t>
      </w:r>
      <w:proofErr w:type="spellStart"/>
      <w:r w:rsidR="00151B0E" w:rsidRPr="001B407D">
        <w:rPr>
          <w:i/>
        </w:rPr>
        <w:t>samala</w:t>
      </w:r>
      <w:proofErr w:type="spellEnd"/>
      <w:r w:rsidR="00151B0E">
        <w:t>. Le premier hit</w:t>
      </w:r>
      <w:r w:rsidR="00F126CA">
        <w:t xml:space="preserve"> montre la</w:t>
      </w:r>
      <w:r w:rsidR="00151B0E">
        <w:t xml:space="preserve"> très</w:t>
      </w:r>
      <w:r w:rsidR="00F126CA">
        <w:t xml:space="preserve"> bonne conservation des séquences </w:t>
      </w:r>
      <w:r w:rsidR="00151B0E">
        <w:t xml:space="preserve">entre les deux espèces (qui sont très proches) </w:t>
      </w:r>
      <w:r w:rsidR="00F126CA">
        <w:t xml:space="preserve">ainsi que la présence d’un intron </w:t>
      </w:r>
      <w:r w:rsidR="00151B0E">
        <w:t xml:space="preserve">(visualisé par la présence d’une séquence contenant des codons stop et qui ne matche pas avec la séquence de </w:t>
      </w:r>
      <w:r w:rsidR="00151B0E" w:rsidRPr="001B407D">
        <w:rPr>
          <w:i/>
        </w:rPr>
        <w:t>Podospora anserina</w:t>
      </w:r>
      <w:r w:rsidR="00151B0E">
        <w:t>). Notez que sur ce hit la similarité de séquence commence à l’acide aminé n°9</w:t>
      </w:r>
      <w:r w:rsidR="001B407D">
        <w:t>8</w:t>
      </w:r>
      <w:r w:rsidR="00151B0E">
        <w:t>. Ce qui montre qu’il y a au moins un exon supplémentaire qui code pour la portion N-terminal</w:t>
      </w:r>
      <w:r w:rsidR="00FA7891">
        <w:t>e</w:t>
      </w:r>
      <w:r w:rsidR="00151B0E">
        <w:t xml:space="preserve"> de la protéine.</w:t>
      </w:r>
    </w:p>
    <w:p w14:paraId="36EE7477" w14:textId="77777777" w:rsidR="00B325A6" w:rsidRDefault="00F126CA" w:rsidP="00F126CA">
      <w:pPr>
        <w:jc w:val="center"/>
      </w:pPr>
      <w:r>
        <w:rPr>
          <w:noProof/>
        </w:rPr>
        <w:lastRenderedPageBreak/>
        <mc:AlternateContent>
          <mc:Choice Requires="wps">
            <w:drawing>
              <wp:anchor distT="45720" distB="45720" distL="114300" distR="114300" simplePos="0" relativeHeight="251659264" behindDoc="0" locked="0" layoutInCell="1" allowOverlap="1" wp14:anchorId="18ACB76B" wp14:editId="35053866">
                <wp:simplePos x="0" y="0"/>
                <wp:positionH relativeFrom="column">
                  <wp:posOffset>3016034</wp:posOffset>
                </wp:positionH>
                <wp:positionV relativeFrom="paragraph">
                  <wp:posOffset>5513010</wp:posOffset>
                </wp:positionV>
                <wp:extent cx="595222" cy="1404620"/>
                <wp:effectExtent l="0" t="0" r="14605" b="146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22" cy="1404620"/>
                        </a:xfrm>
                        <a:prstGeom prst="rect">
                          <a:avLst/>
                        </a:prstGeom>
                        <a:solidFill>
                          <a:srgbClr val="FFFFFF"/>
                        </a:solidFill>
                        <a:ln w="9525">
                          <a:solidFill>
                            <a:srgbClr val="000000"/>
                          </a:solidFill>
                          <a:miter lim="800000"/>
                          <a:headEnd/>
                          <a:tailEnd/>
                        </a:ln>
                      </wps:spPr>
                      <wps:txbx>
                        <w:txbxContent>
                          <w:p w14:paraId="5B90C70A" w14:textId="77777777" w:rsidR="00F126CA" w:rsidRPr="00F126CA" w:rsidRDefault="00F126CA" w:rsidP="00F126CA">
                            <w:pPr>
                              <w:jc w:val="center"/>
                              <w:rPr>
                                <w:color w:val="FF0000"/>
                              </w:rPr>
                            </w:pPr>
                            <w:proofErr w:type="gramStart"/>
                            <w:r w:rsidRPr="00F126CA">
                              <w:rPr>
                                <w:color w:val="FF0000"/>
                              </w:rPr>
                              <w:t>intron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7.5pt;margin-top:434.1pt;width:46.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">
                <v:textbox style="mso-fit-shape-to-text:t">
                  <w:txbxContent>
                    <w:p w:rsidR="00F126CA" w:rsidRPr="00F126CA" w:rsidRDefault="00F126CA" w:rsidP="00F126CA">
                      <w:pPr>
                        <w:jc w:val="center"/>
                        <w:rPr>
                          <w:color w:val="FF0000"/>
                        </w:rPr>
                      </w:pPr>
                      <w:proofErr w:type="gramStart"/>
                      <w:r w:rsidRPr="00F126CA">
                        <w:rPr>
                          <w:color w:val="FF0000"/>
                        </w:rPr>
                        <w:t>intron</w:t>
                      </w:r>
                      <w:proofErr w:type="gramEnd"/>
                    </w:p>
                  </w:txbxContent>
                </v:textbox>
              </v:shape>
            </w:pict>
          </mc:Fallback>
        </mc:AlternateContent>
      </w:r>
      <w:r w:rsidRPr="00F126CA">
        <w:rPr>
          <w:noProof/>
        </w:rPr>
        <w:drawing>
          <wp:inline distT="0" distB="0" distL="0" distR="0" wp14:anchorId="24516132" wp14:editId="610A8138">
            <wp:extent cx="4337408" cy="6126935"/>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9840" cy="6130371"/>
                    </a:xfrm>
                    <a:prstGeom prst="rect">
                      <a:avLst/>
                    </a:prstGeom>
                    <a:noFill/>
                    <a:ln>
                      <a:noFill/>
                    </a:ln>
                  </pic:spPr>
                </pic:pic>
              </a:graphicData>
            </a:graphic>
          </wp:inline>
        </w:drawing>
      </w:r>
    </w:p>
    <w:p w14:paraId="74F6C7E7" w14:textId="77777777" w:rsidR="00297C56" w:rsidRDefault="00297C56" w:rsidP="001B407D">
      <w:r>
        <w:t xml:space="preserve">Et le hit suivant est </w:t>
      </w:r>
      <w:r w:rsidR="001B407D">
        <w:t xml:space="preserve">effectivement </w:t>
      </w:r>
      <w:r>
        <w:t>un autre exon</w:t>
      </w:r>
      <w:r w:rsidR="0008559C">
        <w:t xml:space="preserve"> qui est localisé sur le même contig que les deux exons précédents et à quelques dizaines de paires de bases (le résultat de blast donne les coordonnées sur le contig)</w:t>
      </w:r>
      <w:r w:rsidR="001B407D">
        <w:t>. Il code pour une partie de la séquence N-terminale de l’acide aminé 12 au 97</w:t>
      </w:r>
      <w:r>
        <w:t> :</w:t>
      </w:r>
    </w:p>
    <w:p w14:paraId="3A5FDE7B" w14:textId="77777777" w:rsidR="00297C56" w:rsidRDefault="00297C56" w:rsidP="00F126CA">
      <w:pPr>
        <w:jc w:val="center"/>
      </w:pPr>
      <w:r w:rsidRPr="00297C56">
        <w:rPr>
          <w:noProof/>
        </w:rPr>
        <w:drawing>
          <wp:inline distT="0" distB="0" distL="0" distR="0" wp14:anchorId="6B0C3B2D" wp14:editId="4F471486">
            <wp:extent cx="5760720" cy="223640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36401"/>
                    </a:xfrm>
                    <a:prstGeom prst="rect">
                      <a:avLst/>
                    </a:prstGeom>
                    <a:noFill/>
                    <a:ln>
                      <a:noFill/>
                    </a:ln>
                  </pic:spPr>
                </pic:pic>
              </a:graphicData>
            </a:graphic>
          </wp:inline>
        </w:drawing>
      </w:r>
    </w:p>
    <w:p w14:paraId="0AE6EE60" w14:textId="77777777" w:rsidR="00297C56" w:rsidRDefault="00297C56" w:rsidP="001B407D">
      <w:r>
        <w:t>Par contre les suivant</w:t>
      </w:r>
      <w:r w:rsidR="001B407D">
        <w:t>s</w:t>
      </w:r>
      <w:r>
        <w:t xml:space="preserve"> ne sont pas des bon</w:t>
      </w:r>
      <w:r w:rsidR="00E3148E">
        <w:t>s</w:t>
      </w:r>
      <w:r>
        <w:t xml:space="preserve"> hits </w:t>
      </w:r>
      <w:r w:rsidR="0065325E">
        <w:t>car trop divergents et localisés sur d’autres contigs. Ils</w:t>
      </w:r>
      <w:r>
        <w:t xml:space="preserve"> correspondent soit à des paralogues </w:t>
      </w:r>
      <w:r w:rsidR="0065325E">
        <w:t xml:space="preserve">éloignés </w:t>
      </w:r>
      <w:r>
        <w:t>soit à des faux positifs</w:t>
      </w:r>
      <w:r w:rsidR="00C5436B">
        <w:t> :</w:t>
      </w:r>
    </w:p>
    <w:p w14:paraId="58539C9C" w14:textId="77777777" w:rsidR="00297C56" w:rsidRDefault="00297C56" w:rsidP="00F126CA">
      <w:pPr>
        <w:jc w:val="center"/>
      </w:pPr>
      <w:r w:rsidRPr="00297C56">
        <w:rPr>
          <w:noProof/>
        </w:rPr>
        <w:drawing>
          <wp:inline distT="0" distB="0" distL="0" distR="0" wp14:anchorId="74EB3729" wp14:editId="7EB021F7">
            <wp:extent cx="5760720" cy="428260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82604"/>
                    </a:xfrm>
                    <a:prstGeom prst="rect">
                      <a:avLst/>
                    </a:prstGeom>
                    <a:noFill/>
                    <a:ln>
                      <a:noFill/>
                    </a:ln>
                  </pic:spPr>
                </pic:pic>
              </a:graphicData>
            </a:graphic>
          </wp:inline>
        </w:drawing>
      </w:r>
    </w:p>
    <w:p w14:paraId="1AABEE4E" w14:textId="0508D687" w:rsidR="0065325E" w:rsidRDefault="0065325E" w:rsidP="0065325E">
      <w:r>
        <w:t>En regardant les coordonnées des hits positifs</w:t>
      </w:r>
      <w:r w:rsidR="001B407D">
        <w:t xml:space="preserve"> </w:t>
      </w:r>
      <w:r w:rsidR="00B87550">
        <w:t>assurés</w:t>
      </w:r>
      <w:r>
        <w:t>, on constate qu’il semble manquer les 10 à 12 premiers acides aminés</w:t>
      </w:r>
      <w:r w:rsidR="001B407D">
        <w:t xml:space="preserve">. C’est </w:t>
      </w:r>
      <w:r w:rsidR="002E5297">
        <w:t>dû à</w:t>
      </w:r>
      <w:r w:rsidR="00C5436B">
        <w:t xml:space="preserve"> </w:t>
      </w:r>
      <w:r w:rsidR="00A61C75">
        <w:t xml:space="preserve">un </w:t>
      </w:r>
      <w:r w:rsidR="00C5436B">
        <w:t>score BLAST de cet</w:t>
      </w:r>
      <w:r w:rsidR="002E5297">
        <w:t xml:space="preserve">te partie </w:t>
      </w:r>
      <w:r w:rsidR="00C5436B">
        <w:t xml:space="preserve">trop faible (c’est-à-dire </w:t>
      </w:r>
      <w:r w:rsidR="00A61C75">
        <w:t>une</w:t>
      </w:r>
      <w:r w:rsidR="00C5436B">
        <w:t xml:space="preserve"> </w:t>
      </w:r>
      <w:proofErr w:type="spellStart"/>
      <w:r w:rsidR="00C5436B">
        <w:t>e-value</w:t>
      </w:r>
      <w:proofErr w:type="spellEnd"/>
      <w:r w:rsidR="00C5436B">
        <w:t xml:space="preserve"> trop </w:t>
      </w:r>
      <w:proofErr w:type="spellStart"/>
      <w:r w:rsidR="00C5436B">
        <w:t>elevée</w:t>
      </w:r>
      <w:proofErr w:type="spellEnd"/>
      <w:r w:rsidR="00C5436B">
        <w:t>) pour être retenu. Notez qu’il est possible de baisser le seuil</w:t>
      </w:r>
      <w:r w:rsidR="00B87550">
        <w:t xml:space="preserve"> de détection BLAST (il faut augmenter la </w:t>
      </w:r>
      <w:proofErr w:type="spellStart"/>
      <w:r w:rsidR="00B87550">
        <w:t>e-value</w:t>
      </w:r>
      <w:proofErr w:type="spellEnd"/>
      <w:r w:rsidR="00B87550">
        <w:t xml:space="preserve"> dans les paramètres)</w:t>
      </w:r>
      <w:r w:rsidR="00C5436B">
        <w:t>, mais dans ce cas le nombre de faux positifs augmente…</w:t>
      </w:r>
      <w:r w:rsidR="002E5297">
        <w:t xml:space="preserve"> C’est dû au fait que les portions N et C terminales des protéines évoluent </w:t>
      </w:r>
      <w:r w:rsidR="00AE779A">
        <w:t xml:space="preserve">généralement </w:t>
      </w:r>
      <w:bookmarkStart w:id="0" w:name="_GoBack"/>
      <w:bookmarkEnd w:id="0"/>
      <w:r w:rsidR="002E5297">
        <w:t xml:space="preserve">rapidement </w:t>
      </w:r>
      <w:r w:rsidR="00B87550">
        <w:t>et que</w:t>
      </w:r>
      <w:r w:rsidR="002E5297">
        <w:t xml:space="preserve"> BLAST les aligne </w:t>
      </w:r>
      <w:r w:rsidR="00B87550">
        <w:t xml:space="preserve">donc </w:t>
      </w:r>
      <w:r w:rsidR="002E5297">
        <w:t xml:space="preserve">mal. Il est </w:t>
      </w:r>
      <w:r w:rsidR="00B87550">
        <w:t xml:space="preserve">aussi </w:t>
      </w:r>
      <w:r w:rsidR="002E5297">
        <w:t xml:space="preserve">possible que ce soit dû à la présence d’un intron qui génère un exon </w:t>
      </w:r>
      <w:r w:rsidR="005B083C">
        <w:t>trop petit pour être détecté par BLAST. Dans ce cas, il faudra faire une évaluation de la séquence au cas par cas pour savoir ce qu’il se passe.</w:t>
      </w:r>
    </w:p>
    <w:p w14:paraId="50E1F3D0" w14:textId="77777777" w:rsidR="00C5436B" w:rsidRDefault="00C5436B" w:rsidP="0065325E">
      <w:r>
        <w:t>Maintenant que les scores en BLAST sont défini</w:t>
      </w:r>
      <w:r w:rsidR="00397A82">
        <w:t>s</w:t>
      </w:r>
      <w:r>
        <w:t xml:space="preserve">, il faut ouvrir la séquence du génome avec </w:t>
      </w:r>
      <w:proofErr w:type="spellStart"/>
      <w:r>
        <w:t>artemis</w:t>
      </w:r>
      <w:proofErr w:type="spellEnd"/>
      <w:r>
        <w:t xml:space="preserve"> et rechercher les régions de similarité (pour ouvrir le navigateur, il faut faire ctrl-G)</w:t>
      </w:r>
      <w:r w:rsidR="00D45014">
        <w:t xml:space="preserve"> et définir avec ctrl-C (pour </w:t>
      </w:r>
      <w:proofErr w:type="spellStart"/>
      <w:r w:rsidR="00D45014">
        <w:t>create</w:t>
      </w:r>
      <w:proofErr w:type="spellEnd"/>
      <w:r w:rsidR="00D45014">
        <w:t>) les portions de CDS. Dans l’exemple ci-dessus, il faut donc définir les 3 exons et les fusionner en utilisant la commande ctrl-M</w:t>
      </w:r>
      <w:r w:rsidR="00397A82">
        <w:t>. Les jonctions exon/exon sont alors mal définies et la CDS n’aura pas son codon start.</w:t>
      </w:r>
    </w:p>
    <w:p w14:paraId="0753455D" w14:textId="77777777" w:rsidR="00397A82" w:rsidRDefault="00397A82" w:rsidP="0065325E">
      <w:r>
        <w:t>Pour définir les jonctions exon/exon, il faut rechercher les consensus</w:t>
      </w:r>
      <w:r w:rsidR="006D3182">
        <w:t xml:space="preserve"> qui sont chez les </w:t>
      </w:r>
      <w:proofErr w:type="spellStart"/>
      <w:r w:rsidR="006D3182">
        <w:t>dikarya</w:t>
      </w:r>
      <w:proofErr w:type="spellEnd"/>
      <w:r>
        <w:t> :</w:t>
      </w:r>
    </w:p>
    <w:p w14:paraId="2098A940" w14:textId="77777777" w:rsidR="00397A82" w:rsidRDefault="00397A82" w:rsidP="006D3182">
      <w:pPr>
        <w:ind w:left="284"/>
      </w:pPr>
      <w:r>
        <w:t>Jonction exon/5’-intron : exon/</w:t>
      </w:r>
      <w:proofErr w:type="spellStart"/>
      <w:r w:rsidRPr="00397A82">
        <w:rPr>
          <w:highlight w:val="yellow"/>
        </w:rPr>
        <w:t>GTaaGt</w:t>
      </w:r>
      <w:proofErr w:type="spellEnd"/>
      <w:r>
        <w:rPr>
          <w:highlight w:val="yellow"/>
        </w:rPr>
        <w:t xml:space="preserve"> (surlignés en jaune les premiers nucléotides de l’intron)</w:t>
      </w:r>
      <w:r>
        <w:t xml:space="preserve"> avec les nucléotides en majuscules étant les plus importants, en particulier les deux premiers nucléotides sont quasiment toujours GT. Attention, il existe cependant un variant qui sera obligatoirement GCAAGT (les introns de ce type représentent moins de 1% des introns et sont </w:t>
      </w:r>
      <w:r w:rsidR="00A61C75">
        <w:t>épissés</w:t>
      </w:r>
      <w:r>
        <w:t xml:space="preserve"> par un variant particulier du spliceosome). Il peut y avoir jusqu’à 3 différences avec ce consensus, ce qui rend la détection de cette jonction pas toujours simple…</w:t>
      </w:r>
    </w:p>
    <w:p w14:paraId="1BA1B306" w14:textId="77777777" w:rsidR="00397A82" w:rsidRDefault="00397A82" w:rsidP="006D3182">
      <w:pPr>
        <w:ind w:left="284"/>
      </w:pPr>
      <w:r>
        <w:t xml:space="preserve">Jonction 3’-intron/exon : </w:t>
      </w:r>
      <w:proofErr w:type="spellStart"/>
      <w:r w:rsidRPr="00397A82">
        <w:rPr>
          <w:highlight w:val="yellow"/>
        </w:rPr>
        <w:t>PyAG</w:t>
      </w:r>
      <w:proofErr w:type="spellEnd"/>
      <w:r>
        <w:t>/exon</w:t>
      </w:r>
      <w:r w:rsidRPr="00397A82">
        <w:rPr>
          <w:highlight w:val="yellow"/>
        </w:rPr>
        <w:t xml:space="preserve"> </w:t>
      </w:r>
      <w:r>
        <w:rPr>
          <w:highlight w:val="yellow"/>
        </w:rPr>
        <w:t>(surlignés en jaune les derniers nucléotides de l’intron)</w:t>
      </w:r>
      <w:r w:rsidR="00AC1233" w:rsidRPr="00AC1233">
        <w:t>.</w:t>
      </w:r>
    </w:p>
    <w:p w14:paraId="255DBE8E" w14:textId="77777777" w:rsidR="00BD5323" w:rsidRDefault="00BD5323" w:rsidP="006D3182">
      <w:pPr>
        <w:ind w:left="284"/>
      </w:pPr>
      <w:r>
        <w:t xml:space="preserve">Point de branchement du lariat : </w:t>
      </w:r>
      <w:r w:rsidR="006D3182">
        <w:t xml:space="preserve">CTNA (le A étant le point de branchement) </w:t>
      </w:r>
      <w:r>
        <w:t>15 à 20 nucléotide</w:t>
      </w:r>
      <w:r w:rsidR="006D3182">
        <w:t>s en amont de la jonction 3’</w:t>
      </w:r>
    </w:p>
    <w:p w14:paraId="18640B1B" w14:textId="77777777" w:rsidR="00AD1698" w:rsidRDefault="00AD1698" w:rsidP="006D3182">
      <w:r>
        <w:t>Voici deux introns correctement annotés avec leur point de branchement entourés en rouge :</w:t>
      </w:r>
    </w:p>
    <w:p w14:paraId="510AC327" w14:textId="77777777" w:rsidR="006D3182" w:rsidRDefault="006D3182" w:rsidP="006D3182">
      <w:r>
        <w:rPr>
          <w:noProof/>
        </w:rPr>
        <mc:AlternateContent>
          <mc:Choice Requires="wps">
            <w:drawing>
              <wp:anchor distT="45720" distB="45720" distL="114300" distR="114300" simplePos="0" relativeHeight="251661312" behindDoc="0" locked="0" layoutInCell="1" allowOverlap="1" wp14:anchorId="46140D85" wp14:editId="0A578CD9">
                <wp:simplePos x="0" y="0"/>
                <wp:positionH relativeFrom="column">
                  <wp:posOffset>2855184</wp:posOffset>
                </wp:positionH>
                <wp:positionV relativeFrom="paragraph">
                  <wp:posOffset>205105</wp:posOffset>
                </wp:positionV>
                <wp:extent cx="193758" cy="190359"/>
                <wp:effectExtent l="0" t="0" r="15875" b="1968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58" cy="190359"/>
                        </a:xfrm>
                        <a:prstGeom prst="rect">
                          <a:avLst/>
                        </a:prstGeom>
                        <a:noFill/>
                        <a:ln w="19050">
                          <a:solidFill>
                            <a:srgbClr val="FF0000"/>
                          </a:solidFill>
                          <a:miter lim="800000"/>
                          <a:headEnd/>
                          <a:tailEnd/>
                        </a:ln>
                      </wps:spPr>
                      <wps:txbx>
                        <w:txbxContent>
                          <w:p w14:paraId="552D5912" w14:textId="77777777" w:rsidR="006D3182" w:rsidRPr="00AD1698" w:rsidRDefault="006D3182">
                            <w:pPr>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4.8pt;margin-top:16.15pt;width:15.25pt;height: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" filled="f" strokecolor="red" strokeweight="1.5pt">
                <v:textbox>
                  <w:txbxContent>
                    <w:p w:rsidR="006D3182" w:rsidRPr="00AD1698" w:rsidRDefault="006D3182">
                      <w:pPr>
                        <w:rPr>
                          <w:sz w:val="12"/>
                        </w:rPr>
                      </w:pPr>
                    </w:p>
                  </w:txbxContent>
                </v:textbox>
              </v:shape>
            </w:pict>
          </mc:Fallback>
        </mc:AlternateContent>
      </w:r>
      <w:r w:rsidRPr="006D3182">
        <w:rPr>
          <w:noProof/>
        </w:rPr>
        <w:drawing>
          <wp:inline distT="0" distB="0" distL="0" distR="0" wp14:anchorId="5BC31907" wp14:editId="66A40439">
            <wp:extent cx="5760720" cy="78876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88763"/>
                    </a:xfrm>
                    <a:prstGeom prst="rect">
                      <a:avLst/>
                    </a:prstGeom>
                    <a:noFill/>
                    <a:ln>
                      <a:noFill/>
                    </a:ln>
                  </pic:spPr>
                </pic:pic>
              </a:graphicData>
            </a:graphic>
          </wp:inline>
        </w:drawing>
      </w:r>
    </w:p>
    <w:p w14:paraId="24ED9FCA" w14:textId="77777777" w:rsidR="00AD1698" w:rsidRDefault="00AD1698" w:rsidP="0065325E">
      <w:r>
        <w:rPr>
          <w:noProof/>
        </w:rPr>
        <mc:AlternateContent>
          <mc:Choice Requires="wps">
            <w:drawing>
              <wp:anchor distT="45720" distB="45720" distL="114300" distR="114300" simplePos="0" relativeHeight="251663360" behindDoc="0" locked="0" layoutInCell="1" allowOverlap="1" wp14:anchorId="3D42E103" wp14:editId="49BF15EB">
                <wp:simplePos x="0" y="0"/>
                <wp:positionH relativeFrom="column">
                  <wp:posOffset>2349500</wp:posOffset>
                </wp:positionH>
                <wp:positionV relativeFrom="paragraph">
                  <wp:posOffset>577850</wp:posOffset>
                </wp:positionV>
                <wp:extent cx="193758" cy="190359"/>
                <wp:effectExtent l="0" t="0" r="15875" b="1968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58" cy="190359"/>
                        </a:xfrm>
                        <a:prstGeom prst="rect">
                          <a:avLst/>
                        </a:prstGeom>
                        <a:noFill/>
                        <a:ln w="19050">
                          <a:solidFill>
                            <a:srgbClr val="FF0000"/>
                          </a:solidFill>
                          <a:miter lim="800000"/>
                          <a:headEnd/>
                          <a:tailEnd/>
                        </a:ln>
                      </wps:spPr>
                      <wps:txbx>
                        <w:txbxContent>
                          <w:p w14:paraId="02AAC2F7" w14:textId="77777777" w:rsidR="00AD1698" w:rsidRPr="00AD1698" w:rsidRDefault="00AD1698">
                            <w:pPr>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453CF" id="_x0000_s1028" type="#_x0000_t202" style="position:absolute;margin-left:185pt;margin-top:45.5pt;width:15.25pt;height: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" filled="f" strokecolor="red" strokeweight="1.5pt">
                <v:textbox>
                  <w:txbxContent>
                    <w:p w:rsidR="00AD1698" w:rsidRPr="00AD1698" w:rsidRDefault="00AD1698">
                      <w:pPr>
                        <w:rPr>
                          <w:sz w:val="12"/>
                        </w:rPr>
                      </w:pPr>
                    </w:p>
                  </w:txbxContent>
                </v:textbox>
              </v:shape>
            </w:pict>
          </mc:Fallback>
        </mc:AlternateContent>
      </w:r>
      <w:r w:rsidRPr="00AD1698">
        <w:rPr>
          <w:noProof/>
        </w:rPr>
        <w:drawing>
          <wp:inline distT="0" distB="0" distL="0" distR="0" wp14:anchorId="42B8AC71" wp14:editId="41BC3D3F">
            <wp:extent cx="5760720" cy="986204"/>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986204"/>
                    </a:xfrm>
                    <a:prstGeom prst="rect">
                      <a:avLst/>
                    </a:prstGeom>
                    <a:noFill/>
                    <a:ln>
                      <a:noFill/>
                    </a:ln>
                  </pic:spPr>
                </pic:pic>
              </a:graphicData>
            </a:graphic>
          </wp:inline>
        </w:drawing>
      </w:r>
    </w:p>
    <w:p w14:paraId="4B17BC15" w14:textId="77777777" w:rsidR="00AD1698" w:rsidRDefault="00AD1698" w:rsidP="0065325E"/>
    <w:p w14:paraId="68975834" w14:textId="77777777" w:rsidR="00B87550" w:rsidRDefault="00B87550" w:rsidP="00B87550">
      <w:r>
        <w:t xml:space="preserve">Pour la recherche du codon start, regarder s’il n’y a pas un start (ATG) dans la première ORF de la CDS qui pourrait correspondre au codon start. En général, en position -3 d’un codon start on doit avoir une purine : </w:t>
      </w:r>
      <w:proofErr w:type="spellStart"/>
      <w:r>
        <w:t>PuXXATG</w:t>
      </w:r>
      <w:proofErr w:type="spellEnd"/>
      <w:r>
        <w:t>. Sinon, voir la possibilité de la présence d’un intron supplémentaire.</w:t>
      </w:r>
    </w:p>
    <w:p w14:paraId="111FB649" w14:textId="77777777" w:rsidR="00B87550" w:rsidRDefault="00B87550" w:rsidP="00B87550">
      <w:r>
        <w:t xml:space="preserve">Attention, la taille des introns est variable. Souvent entre 50 et 70 pb, elle peut monter jusqu’à 2 000 pb. Si vous avez des difficultés à trouver les introns et/ou le codon start, vous pouvez utiliser </w:t>
      </w:r>
      <w:r w:rsidRPr="006D3182">
        <w:t>FGENESH</w:t>
      </w:r>
      <w:r>
        <w:t xml:space="preserve"> (</w:t>
      </w:r>
      <w:hyperlink r:id="rId11" w:history="1">
        <w:r w:rsidRPr="00984CDB">
          <w:rPr>
            <w:rStyle w:val="Lienhypertexte"/>
          </w:rPr>
          <w:t>http://www.softberry.com/berry.phtml?topic=fgenesh&amp;group=programs&amp;subgroup=gfind</w:t>
        </w:r>
      </w:hyperlink>
      <w:r>
        <w:t xml:space="preserve">) ou </w:t>
      </w:r>
      <w:proofErr w:type="spellStart"/>
      <w:r>
        <w:t>augustus</w:t>
      </w:r>
      <w:proofErr w:type="spellEnd"/>
      <w:r>
        <w:t xml:space="preserve"> (</w:t>
      </w:r>
      <w:r w:rsidRPr="006D3182">
        <w:t>https://bioinf.uni-greifswald.de/webaugustus/prediction/create</w:t>
      </w:r>
      <w:r>
        <w:t xml:space="preserve">). Notez que si vous disposez de </w:t>
      </w:r>
      <w:r w:rsidR="00A61C75">
        <w:t xml:space="preserve">données de </w:t>
      </w:r>
      <w:proofErr w:type="spellStart"/>
      <w:r>
        <w:t>RNAseq</w:t>
      </w:r>
      <w:proofErr w:type="spellEnd"/>
      <w:r>
        <w:t xml:space="preserve"> de votre espèce à annoter</w:t>
      </w:r>
      <w:r w:rsidR="00A61C75">
        <w:t>,</w:t>
      </w:r>
      <w:r>
        <w:t xml:space="preserve"> vous pouvez mapper les </w:t>
      </w:r>
      <w:proofErr w:type="spellStart"/>
      <w:r>
        <w:t>RNAseq</w:t>
      </w:r>
      <w:proofErr w:type="spellEnd"/>
      <w:r>
        <w:t xml:space="preserve"> avec </w:t>
      </w:r>
      <w:proofErr w:type="spellStart"/>
      <w:r>
        <w:t>TopHat</w:t>
      </w:r>
      <w:proofErr w:type="spellEnd"/>
      <w:r>
        <w:t xml:space="preserve"> ou TopHat2 et charger les fichiers BAM pour vous aider à trouver les jonction précises et les codons start !</w:t>
      </w:r>
    </w:p>
    <w:p w14:paraId="08A0B782" w14:textId="77777777" w:rsidR="00B87550" w:rsidRDefault="00B87550" w:rsidP="0065325E"/>
    <w:sectPr w:rsidR="00B87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4AB"/>
    <w:multiLevelType w:val="hybridMultilevel"/>
    <w:tmpl w:val="FDF2E700"/>
    <w:lvl w:ilvl="0" w:tplc="5ABAFC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C34A10"/>
    <w:multiLevelType w:val="hybridMultilevel"/>
    <w:tmpl w:val="F27293E0"/>
    <w:lvl w:ilvl="0" w:tplc="D0A842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AA"/>
    <w:rsid w:val="0008559C"/>
    <w:rsid w:val="00151B0E"/>
    <w:rsid w:val="001B407D"/>
    <w:rsid w:val="00297C56"/>
    <w:rsid w:val="002E5297"/>
    <w:rsid w:val="0032689B"/>
    <w:rsid w:val="00397A82"/>
    <w:rsid w:val="005B083C"/>
    <w:rsid w:val="0065325E"/>
    <w:rsid w:val="006D3182"/>
    <w:rsid w:val="00841B63"/>
    <w:rsid w:val="00863DD5"/>
    <w:rsid w:val="008E1706"/>
    <w:rsid w:val="00936F4B"/>
    <w:rsid w:val="00A61C75"/>
    <w:rsid w:val="00AC1233"/>
    <w:rsid w:val="00AC414A"/>
    <w:rsid w:val="00AD1698"/>
    <w:rsid w:val="00AE779A"/>
    <w:rsid w:val="00B325A6"/>
    <w:rsid w:val="00B87550"/>
    <w:rsid w:val="00BD5323"/>
    <w:rsid w:val="00C5436B"/>
    <w:rsid w:val="00D45014"/>
    <w:rsid w:val="00D973AA"/>
    <w:rsid w:val="00E3148E"/>
    <w:rsid w:val="00E44D56"/>
    <w:rsid w:val="00F126CA"/>
    <w:rsid w:val="00FA78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86D2"/>
  <w15:chartTrackingRefBased/>
  <w15:docId w15:val="{B377485B-19F5-4D74-A1E1-2A97A1E4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6F4B"/>
    <w:pPr>
      <w:ind w:left="720"/>
      <w:contextualSpacing/>
    </w:pPr>
  </w:style>
  <w:style w:type="character" w:styleId="Lienhypertexte">
    <w:name w:val="Hyperlink"/>
    <w:basedOn w:val="Policepardfaut"/>
    <w:uiPriority w:val="99"/>
    <w:unhideWhenUsed/>
    <w:rsid w:val="00936F4B"/>
    <w:rPr>
      <w:color w:val="0000FF" w:themeColor="hyperlink"/>
      <w:u w:val="single"/>
    </w:rPr>
  </w:style>
  <w:style w:type="character" w:styleId="Mentionnonrsolue">
    <w:name w:val="Unresolved Mention"/>
    <w:basedOn w:val="Policepardfaut"/>
    <w:uiPriority w:val="99"/>
    <w:semiHidden/>
    <w:unhideWhenUsed/>
    <w:rsid w:val="00936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www.softberry.com/berry.phtml?topic=fgenesh&amp;group=programs&amp;subgroup=gfind" TargetMode="External"/><Relationship Id="rId5" Type="http://schemas.openxmlformats.org/officeDocument/2006/relationships/hyperlink" Target="https://bioedit.software.informer.com/T%C3%A9l%C3%A9charger/"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886</Words>
  <Characters>4879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philippe</cp:lastModifiedBy>
  <cp:revision>15</cp:revision>
  <cp:lastPrinted>2023-01-25T10:39:00Z</cp:lastPrinted>
  <dcterms:created xsi:type="dcterms:W3CDTF">2023-01-24T08:02:00Z</dcterms:created>
  <dcterms:modified xsi:type="dcterms:W3CDTF">2024-06-12T07:07:00Z</dcterms:modified>
</cp:coreProperties>
</file>