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Полное наименование системы</w:t>
      </w:r>
    </w:p>
    <w:p>
      <w:pPr>
        <w:pStyle w:val="BodyText"/>
        <w:spacing w:before="0" w:after="0"/>
        <w:ind w:hanging="0" w:start="72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Полное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 xml:space="preserve">наименование: Data Base </w:t>
      </w:r>
      <w:r>
        <w:rPr>
          <w:rFonts w:ascii="Times New Roman;serif" w:hAnsi="Times New Roman;serif"/>
        </w:rPr>
        <w:t>Entertainment Center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1.1.2. Краткое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bookmarkStart w:id="0" w:name="_Hlk157077731"/>
      <w:bookmarkEnd w:id="0"/>
      <w:r>
        <w:rPr>
          <w:rFonts w:ascii="Times New Roman;serif" w:hAnsi="Times New Roman;serif"/>
          <w:color w:val="000000"/>
        </w:rPr>
        <w:t>Краткое наименование: DBEC.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1.2. Основания для проведения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Работа выполняется на основании договора №54723 от 01.01.2024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 Наименование организация - Заказчика и Разработчика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1.3.1. Заказчик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ascii="Times New Roman;serif" w:hAnsi="Times New Roman;serif"/>
          <w:shd w:fill="FFFFFF" w:val="clear"/>
        </w:rPr>
        <w:t>Первомайская</w:t>
      </w:r>
      <w:r>
        <w:rPr>
          <w:rFonts w:ascii="Times New Roman;serif" w:hAnsi="Times New Roman;serif"/>
          <w:color w:val="000000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ascii="Times New Roman;serif" w:hAnsi="Times New Roman;serif"/>
            <w:color w:val="000000"/>
            <w:u w:val="single"/>
            <w:shd w:fill="FFFFFF" w:val="clear"/>
          </w:rPr>
          <w:t>+7(918) 461 77-77</w:t>
        </w:r>
      </w:hyperlink>
      <w:r>
        <w:rPr>
          <w:rFonts w:ascii="Times New Roman;serif" w:hAnsi="Times New Roman;serif"/>
          <w:color w:val="000000"/>
        </w:rPr>
        <w:t>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1.3.2. Разработчик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BodyText"/>
        <w:spacing w:before="0" w:after="159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1.4. Плановые сроки начала и окончания работы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Начало работы: 15.01.2024.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Окончание работы: 20.10.2024.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1.5. Источники и порядок финансирования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Финансирование на работу выделяются владельцем развлекательного центра. 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1.6. Порядок оформления и предъявления заказчику результатов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Развлекательного центра “Чунга-Чанга”.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 Регистрация и хранение информации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тех или иных направлений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учета данных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 в рамках оказания услуг;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своевременное оповещение клиентов о мероприятиях;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расчета финансов;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распределения личной информации.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start"/>
        <w:tblInd w:w="-82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261"/>
        <w:gridCol w:w="3678"/>
        <w:gridCol w:w="3120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клиентах</w:t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хранение информации о всех клиентах развлекательного центра.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развлекательного центра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иметь функцию сбора информации о клиентах,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1 человек.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2 человека.</w:t>
        <w:br/>
        <w:br/>
        <w:t>Данные лица должны выполнять следующие функциональные обязанности:</w:t>
        <w:br/>
        <w:t xml:space="preserve">- Руководитель - на всем протяжении функционирования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обеспечивает общее руководство группой.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занесения личных данных.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  <w:br/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двухсменный график, поочередно.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337" w:tblpY="-14"/>
        <w:tblW w:w="11191" w:type="dxa"/>
        <w:jc w:val="start"/>
        <w:tblInd w:w="-7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4968"/>
        <w:gridCol w:w="6222"/>
      </w:tblGrid>
      <w:tr>
        <w:trPr>
          <w:trHeight w:val="288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информационное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развлекательного центра;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развлекательноготцентра.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  <w:t>F1 -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F2 - персональные данные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F3 - персональные данные персонала;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9490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410"/>
        <w:gridCol w:w="1559"/>
        <w:gridCol w:w="1981"/>
        <w:gridCol w:w="2126"/>
        <w:gridCol w:w="2414"/>
      </w:tblGrid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start"/>
        <w:tblInd w:w="-1336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410"/>
        <w:gridCol w:w="3401"/>
        <w:gridCol w:w="2127"/>
        <w:gridCol w:w="1984"/>
      </w:tblGrid>
      <w:tr>
        <w:trPr>
          <w:trHeight w:val="1052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694"/>
        <w:gridCol w:w="2409"/>
        <w:gridCol w:w="3019"/>
        <w:gridCol w:w="2650"/>
      </w:tblGrid>
      <w:tr>
        <w:trPr>
          <w:trHeight w:val="1487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>
        <w:trPr>
          <w:trHeight w:val="1164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развлекательного центра.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Методические рекомендации по обеспечению информационной безопасности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Инструкции по использованию ПО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start"/>
        <w:tblInd w:w="-162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3"/>
        <w:gridCol w:w="4397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39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18</Pages>
  <Words>3643</Words>
  <Characters>26448</Characters>
  <CharactersWithSpaces>29852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2024-04-19T01:34:00Z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