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20"/>
        </w:rPr>
        <w:t>RELATÓRIO DE DESENVOLVIMENTO DA PESQUISA</w:t>
      </w:r>
    </w:p>
    <w:p>
      <w:pPr>
        <w:pStyle w:val="Title"/>
        <w:jc w:val="center"/>
      </w:pPr>
      <w:r>
        <w:t>Rastreabilidade entre especificações OpenSpec e código</w:t>
      </w:r>
    </w:p>
    <w:p>
      <w:pPr>
        <w:jc w:val="center"/>
      </w:pPr>
      <w:r>
        <w:rPr>
          <w:i/>
          <w:color w:val="444444"/>
          <w:sz w:val="24"/>
        </w:rPr>
        <w:t>Quando uma referência de caminho não resolvida sinaliza fricção de implementação?</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0"/>
            </w:pPr>
            <w:r/>
            <w:r>
              <w:rPr>
                <w:b/>
                <w:color w:val="FFFFFF"/>
                <w:sz w:val="17"/>
              </w:rPr>
              <w:t>Item</w:t>
            </w:r>
          </w:p>
        </w:tc>
        <w:tc>
          <w:tcPr>
            <w:tcW w:type="dxa" w:w="8208"/>
            <w:vAlign w:val="center"/>
            <w:shd w:fill="1F4E79"/>
          </w:tcPr>
          <w:p>
            <w:pPr>
              <w:spacing w:after="0"/>
            </w:pPr>
            <w:r/>
            <w:r>
              <w:rPr>
                <w:b/>
                <w:color w:val="FFFFFF"/>
                <w:sz w:val="17"/>
              </w:rPr>
              <w:t>Informação</w:t>
            </w:r>
          </w:p>
        </w:tc>
      </w:tr>
      <w:tr>
        <w:tc>
          <w:tcPr>
            <w:tcW w:type="dxa" w:w="2016"/>
            <w:vAlign w:val="center"/>
          </w:tcPr>
          <w:p>
            <w:pPr>
              <w:spacing w:after="0"/>
            </w:pPr>
            <w:r/>
            <w:r>
              <w:rPr>
                <w:b w:val="0"/>
                <w:color w:val="000000"/>
                <w:sz w:val="17"/>
              </w:rPr>
              <w:t>Pesquisador</w:t>
            </w:r>
          </w:p>
        </w:tc>
        <w:tc>
          <w:tcPr>
            <w:tcW w:type="dxa" w:w="8208"/>
            <w:vAlign w:val="center"/>
          </w:tcPr>
          <w:p>
            <w:pPr>
              <w:spacing w:after="0"/>
            </w:pPr>
            <w:r/>
            <w:r>
              <w:rPr>
                <w:b w:val="0"/>
                <w:color w:val="000000"/>
                <w:sz w:val="17"/>
              </w:rPr>
              <w:t>Pedro Odorize</w:t>
            </w:r>
          </w:p>
        </w:tc>
      </w:tr>
      <w:tr>
        <w:tc>
          <w:tcPr>
            <w:tcW w:type="dxa" w:w="2016"/>
            <w:vAlign w:val="center"/>
            <w:shd w:fill="F2F6FA"/>
          </w:tcPr>
          <w:p>
            <w:pPr>
              <w:spacing w:after="0"/>
            </w:pPr>
            <w:r/>
            <w:r>
              <w:rPr>
                <w:b w:val="0"/>
                <w:color w:val="000000"/>
                <w:sz w:val="17"/>
              </w:rPr>
              <w:t>Finalidade</w:t>
            </w:r>
          </w:p>
        </w:tc>
        <w:tc>
          <w:tcPr>
            <w:tcW w:type="dxa" w:w="8208"/>
            <w:vAlign w:val="center"/>
            <w:shd w:fill="F2F6FA"/>
          </w:tcPr>
          <w:p>
            <w:pPr>
              <w:spacing w:after="0"/>
            </w:pPr>
            <w:r/>
            <w:r>
              <w:rPr>
                <w:b w:val="0"/>
                <w:color w:val="000000"/>
                <w:sz w:val="17"/>
              </w:rPr>
              <w:t>Documento de acompanhamento para discussão com a orientadora</w:t>
            </w:r>
          </w:p>
        </w:tc>
      </w:tr>
      <w:tr>
        <w:tc>
          <w:tcPr>
            <w:tcW w:type="dxa" w:w="2016"/>
            <w:vAlign w:val="center"/>
          </w:tcPr>
          <w:p>
            <w:pPr>
              <w:spacing w:after="0"/>
            </w:pPr>
            <w:r/>
            <w:r>
              <w:rPr>
                <w:b w:val="0"/>
                <w:color w:val="000000"/>
                <w:sz w:val="17"/>
              </w:rPr>
              <w:t>Projeto</w:t>
            </w:r>
          </w:p>
        </w:tc>
        <w:tc>
          <w:tcPr>
            <w:tcW w:type="dxa" w:w="8208"/>
            <w:vAlign w:val="center"/>
          </w:tcPr>
          <w:p>
            <w:pPr>
              <w:spacing w:after="0"/>
            </w:pPr>
            <w:r/>
            <w:r>
              <w:rPr>
                <w:b w:val="0"/>
                <w:color w:val="000000"/>
                <w:sz w:val="17"/>
              </w:rPr>
              <w:t>MSR 2027 Mining Challenge — SpecMine / OpenSpec</w:t>
            </w:r>
          </w:p>
        </w:tc>
      </w:tr>
      <w:tr>
        <w:tc>
          <w:tcPr>
            <w:tcW w:type="dxa" w:w="2016"/>
            <w:vAlign w:val="center"/>
            <w:shd w:fill="F2F6FA"/>
          </w:tcPr>
          <w:p>
            <w:pPr>
              <w:spacing w:after="0"/>
            </w:pPr>
            <w:r/>
            <w:r>
              <w:rPr>
                <w:b w:val="0"/>
                <w:color w:val="000000"/>
                <w:sz w:val="17"/>
              </w:rPr>
              <w:t>Data</w:t>
            </w:r>
          </w:p>
        </w:tc>
        <w:tc>
          <w:tcPr>
            <w:tcW w:type="dxa" w:w="8208"/>
            <w:vAlign w:val="center"/>
            <w:shd w:fill="F2F6FA"/>
          </w:tcPr>
          <w:p>
            <w:pPr>
              <w:spacing w:after="0"/>
            </w:pPr>
            <w:r/>
            <w:r>
              <w:rPr>
                <w:b w:val="0"/>
                <w:color w:val="000000"/>
                <w:sz w:val="17"/>
              </w:rPr>
              <w:t>30 de setembro de 2026</w:t>
            </w:r>
          </w:p>
        </w:tc>
      </w:tr>
      <w:tr>
        <w:tc>
          <w:tcPr>
            <w:tcW w:type="dxa" w:w="2016"/>
            <w:vAlign w:val="center"/>
          </w:tcPr>
          <w:p>
            <w:pPr>
              <w:spacing w:after="0"/>
            </w:pPr>
            <w:r/>
            <w:r>
              <w:rPr>
                <w:b w:val="0"/>
                <w:color w:val="000000"/>
                <w:sz w:val="17"/>
              </w:rPr>
              <w:t>Status</w:t>
            </w:r>
          </w:p>
        </w:tc>
        <w:tc>
          <w:tcPr>
            <w:tcW w:type="dxa" w:w="8208"/>
            <w:vAlign w:val="center"/>
          </w:tcPr>
          <w:p>
            <w:pPr>
              <w:spacing w:after="0"/>
            </w:pPr>
            <w:r/>
            <w:r>
              <w:rPr>
                <w:b w:val="0"/>
                <w:color w:val="000000"/>
                <w:sz w:val="17"/>
              </w:rPr>
              <w:t>Análise preliminar concluída; validação semântica preparada, ainda não executada</w:t>
            </w:r>
          </w:p>
        </w:tc>
      </w:tr>
    </w:tbl>
    <w:p>
      <w:pPr>
        <w:spacing w:after="20"/>
      </w:pPr>
    </w:p>
    <w:p>
      <w:pPr>
        <w:spacing w:before="360"/>
        <w:jc w:val="center"/>
      </w:pPr>
      <w:r>
        <w:rPr>
          <w:i/>
          <w:color w:val="555555"/>
          <w:sz w:val="19"/>
        </w:rPr>
        <w:t>Este relatório não é o paper final. Ele registra o estado da investigação, as decisões metodológicas e os pontos que precisam de validação e orientação.</w:t>
      </w:r>
    </w:p>
    <w:p>
      <w:r>
        <w:br w:type="page"/>
      </w:r>
    </w:p>
    <w:p>
      <w:pPr>
        <w:pStyle w:val="Heading1"/>
      </w:pPr>
      <w:r>
        <w:t>1. Síntese executiva</w:t>
      </w:r>
    </w:p>
    <w:p>
      <w:r>
        <w:t>A pesquisa investiga se características observáveis de artefatos de Spec-Driven Development (SDD) estão associadas a sinais de desalinhamento entre a especificação e o código. O foco foi reduzido para arquivos tasks.md produzidos no ecossistema OpenSpec, usando o conjunto SpecMine. A unidade inicial de análise é a referência a um caminho de código encontrada em uma tarefa.</w:t>
      </w:r>
    </w:p>
    <w:p>
      <w:r>
        <w:t>O primeiro resultado importante não foi apenas estatístico. A auditoria mostrou que exists_at_anchor=0 significa que o caminho literal não foi resolvido no snapshot do repositório; isso não prova, por si só, que a implementação está errada. O caminho pode corresponder a um arquivo a ser criado, movido ou removido, a um glob, a um nome de biblioteca, a um exemplo ou a uma referência ambígua. Essa descoberta levou a uma reformulação de construct validity: o estudo não deve chamar toda ausência literal de “fricção”.</w:t>
      </w:r>
    </w:p>
    <w:p>
      <w:pPr>
        <w:spacing w:after="100"/>
      </w:pPr>
      <w:r>
        <w:rPr>
          <w:b/>
          <w:color w:val="1F4E79"/>
        </w:rPr>
        <w:t xml:space="preserve">Conclusão provisória: </w:t>
      </w:r>
      <w:r>
        <w:t>há associação entre estrutura da spec e referências literais não resolvidas, mas a interpretação semântica dessas referências precisa ser calibrada antes de sustentar uma afirmação sobre fricção de implementação.</w:t>
      </w:r>
    </w:p>
    <w:p>
      <w:pPr>
        <w:spacing w:after="100"/>
      </w:pPr>
      <w:r>
        <w:rPr>
          <w:b/>
          <w:color w:val="1F4E79"/>
        </w:rPr>
        <w:t xml:space="preserve">Contribuição pretendida: </w:t>
      </w:r>
      <w:r>
        <w:t>propor e avaliar uma taxonomia reproduzível para distinguir ausência problemática de ausência esperada, referência que não é arquivo e caso ambíguo, combinando análise em escala com validação humana assistida por LLM.</w:t>
      </w:r>
    </w:p>
    <w:p>
      <w:pPr>
        <w:spacing w:after="100"/>
      </w:pPr>
      <w:r>
        <w:rPr>
          <w:b/>
          <w:color w:val="1F4E79"/>
        </w:rPr>
        <w:t xml:space="preserve">Estado atual: </w:t>
      </w:r>
      <w:r>
        <w:t>o ambiente, a extração, a auditoria, a análise preliminar e os instrumentos de validação estão preparados; a planilha confirmatória em inglês ainda precisa ser respondida.</w:t>
      </w:r>
    </w:p>
    <w:p>
      <w:pPr>
        <w:pStyle w:val="Heading1"/>
      </w:pPr>
      <w:r>
        <w:t>2. Pergunta de pesquisa e evolução da tese</w:t>
      </w:r>
    </w:p>
    <w:p>
      <w:r>
        <w:t>A formulação inicial era:</w:t>
      </w:r>
    </w:p>
    <w:p>
      <w:pPr>
        <w:ind w:left="360"/>
      </w:pPr>
      <w:r>
        <w:rPr>
          <w:i/>
        </w:rPr>
        <w:t>Em SDD, tamanho da lista de tarefas, densidade de referências a código e taxa de conclusão predizem maior risco de referências a arquivos inexistentes?</w:t>
      </w:r>
    </w:p>
    <w:p>
      <w:r>
        <w:t>Essa formulação continua útil como hipótese operacional, mas era forte demais se “arquivo inexistente” fosse tratado como sinônimo de implementação defeituosa. O foco atual é mais preciso: estudar quando uma referência de caminho não resolvida corresponde a fricção e quais sinais estruturais estão associados a esse tipo de ocorrência.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1F4E79"/>
          </w:tcPr>
          <w:p>
            <w:pPr>
              <w:spacing w:after="0"/>
            </w:pPr>
            <w:r/>
            <w:r>
              <w:rPr>
                <w:b/>
                <w:color w:val="FFFFFF"/>
                <w:sz w:val="17"/>
              </w:rPr>
              <w:t>Elemento</w:t>
            </w:r>
          </w:p>
        </w:tc>
        <w:tc>
          <w:tcPr>
            <w:tcW w:type="dxa" w:w="8136"/>
            <w:vAlign w:val="center"/>
            <w:shd w:fill="1F4E79"/>
          </w:tcPr>
          <w:p>
            <w:pPr>
              <w:spacing w:after="0"/>
            </w:pPr>
            <w:r/>
            <w:r>
              <w:rPr>
                <w:b/>
                <w:color w:val="FFFFFF"/>
                <w:sz w:val="17"/>
              </w:rPr>
              <w:t>Formulação atual</w:t>
            </w:r>
          </w:p>
        </w:tc>
      </w:tr>
      <w:tr>
        <w:tc>
          <w:tcPr>
            <w:tcW w:type="dxa" w:w="2088"/>
            <w:vAlign w:val="center"/>
          </w:tcPr>
          <w:p>
            <w:pPr>
              <w:spacing w:after="0"/>
            </w:pPr>
            <w:r/>
            <w:r>
              <w:rPr>
                <w:b w:val="0"/>
                <w:color w:val="000000"/>
                <w:sz w:val="17"/>
              </w:rPr>
              <w:t>Objeto</w:t>
            </w:r>
          </w:p>
        </w:tc>
        <w:tc>
          <w:tcPr>
            <w:tcW w:type="dxa" w:w="8136"/>
            <w:vAlign w:val="center"/>
          </w:tcPr>
          <w:p>
            <w:pPr>
              <w:spacing w:after="0"/>
            </w:pPr>
            <w:r/>
            <w:r>
              <w:rPr>
                <w:b w:val="0"/>
                <w:color w:val="000000"/>
                <w:sz w:val="17"/>
              </w:rPr>
              <w:t>Referências de código em tarefas OpenSpec, não specs em abstrato.</w:t>
            </w:r>
          </w:p>
        </w:tc>
      </w:tr>
      <w:tr>
        <w:tc>
          <w:tcPr>
            <w:tcW w:type="dxa" w:w="2088"/>
            <w:vAlign w:val="center"/>
            <w:shd w:fill="F2F6FA"/>
          </w:tcPr>
          <w:p>
            <w:pPr>
              <w:spacing w:after="0"/>
            </w:pPr>
            <w:r/>
            <w:r>
              <w:rPr>
                <w:b w:val="0"/>
                <w:color w:val="000000"/>
                <w:sz w:val="17"/>
              </w:rPr>
              <w:t>Sinal automático</w:t>
            </w:r>
          </w:p>
        </w:tc>
        <w:tc>
          <w:tcPr>
            <w:tcW w:type="dxa" w:w="8136"/>
            <w:vAlign w:val="center"/>
            <w:shd w:fill="F2F6FA"/>
          </w:tcPr>
          <w:p>
            <w:pPr>
              <w:spacing w:after="0"/>
            </w:pPr>
            <w:r/>
            <w:r>
              <w:rPr>
                <w:b w:val="0"/>
                <w:color w:val="000000"/>
                <w:sz w:val="17"/>
              </w:rPr>
              <w:t>exists_at_anchor e resolução do caminho literal no snapshot.</w:t>
            </w:r>
          </w:p>
        </w:tc>
      </w:tr>
      <w:tr>
        <w:tc>
          <w:tcPr>
            <w:tcW w:type="dxa" w:w="2088"/>
            <w:vAlign w:val="center"/>
          </w:tcPr>
          <w:p>
            <w:pPr>
              <w:spacing w:after="0"/>
            </w:pPr>
            <w:r/>
            <w:r>
              <w:rPr>
                <w:b w:val="0"/>
                <w:color w:val="000000"/>
                <w:sz w:val="17"/>
              </w:rPr>
              <w:t>Constructo semântico</w:t>
            </w:r>
          </w:p>
        </w:tc>
        <w:tc>
          <w:tcPr>
            <w:tcW w:type="dxa" w:w="8136"/>
            <w:vAlign w:val="center"/>
          </w:tcPr>
          <w:p>
            <w:pPr>
              <w:spacing w:after="0"/>
            </w:pPr>
            <w:r/>
            <w:r>
              <w:rPr>
                <w:b w:val="0"/>
                <w:color w:val="000000"/>
                <w:sz w:val="17"/>
              </w:rPr>
              <w:t>Classificação da referência: existe, ausente problemática, ausência esperada, não-arquivo ou ambígua.</w:t>
            </w:r>
          </w:p>
        </w:tc>
      </w:tr>
      <w:tr>
        <w:tc>
          <w:tcPr>
            <w:tcW w:type="dxa" w:w="2088"/>
            <w:vAlign w:val="center"/>
            <w:shd w:fill="F2F6FA"/>
          </w:tcPr>
          <w:p>
            <w:pPr>
              <w:spacing w:after="0"/>
            </w:pPr>
            <w:r/>
            <w:r>
              <w:rPr>
                <w:b w:val="0"/>
                <w:color w:val="000000"/>
                <w:sz w:val="17"/>
              </w:rPr>
              <w:t>Preditores</w:t>
            </w:r>
          </w:p>
        </w:tc>
        <w:tc>
          <w:tcPr>
            <w:tcW w:type="dxa" w:w="8136"/>
            <w:vAlign w:val="center"/>
            <w:shd w:fill="F2F6FA"/>
          </w:tcPr>
          <w:p>
            <w:pPr>
              <w:spacing w:after="0"/>
            </w:pPr>
            <w:r/>
            <w:r>
              <w:rPr>
                <w:b w:val="0"/>
                <w:color w:val="000000"/>
                <w:sz w:val="17"/>
              </w:rPr>
              <w:t>Número de tarefas, densidade de referências, conclusão, tamanho do artefato e controles.</w:t>
            </w:r>
          </w:p>
        </w:tc>
      </w:tr>
      <w:tr>
        <w:tc>
          <w:tcPr>
            <w:tcW w:type="dxa" w:w="2088"/>
            <w:vAlign w:val="center"/>
          </w:tcPr>
          <w:p>
            <w:pPr>
              <w:spacing w:after="0"/>
            </w:pPr>
            <w:r/>
            <w:r>
              <w:rPr>
                <w:b w:val="0"/>
                <w:color w:val="000000"/>
                <w:sz w:val="17"/>
              </w:rPr>
              <w:t>Claim permitido</w:t>
            </w:r>
          </w:p>
        </w:tc>
        <w:tc>
          <w:tcPr>
            <w:tcW w:type="dxa" w:w="8136"/>
            <w:vAlign w:val="center"/>
          </w:tcPr>
          <w:p>
            <w:pPr>
              <w:spacing w:after="0"/>
            </w:pPr>
            <w:r/>
            <w:r>
              <w:rPr>
                <w:b w:val="0"/>
                <w:color w:val="000000"/>
                <w:sz w:val="17"/>
              </w:rPr>
              <w:t>Associação e capacidade de triagem; não causalidade nem prova de que a spec causou código ruim.</w:t>
            </w:r>
          </w:p>
        </w:tc>
      </w:tr>
    </w:tbl>
    <w:p>
      <w:pPr>
        <w:spacing w:after="20"/>
      </w:pPr>
    </w:p>
    <w:p>
      <w:pPr>
        <w:pStyle w:val="Heading1"/>
      </w:pPr>
      <w:r>
        <w:t>3. Dados e preparação do ambiente</w:t>
      </w:r>
    </w:p>
    <w:p>
      <w:r>
        <w:t>Foi criado um projeto local reproduzível com Git, Python 3.12, ambiente virtual uv e diretórios separados para dados brutos, dados intermediários, análise, validação, resultados e paper. Os arquivos brutos foram preservados sem edição. O processamento usa leitura colunar e agregações locais, evitando carregar desnecessariamente o corpus inteiro em memória.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9"/>
          </w:tcPr>
          <w:p>
            <w:pPr>
              <w:spacing w:after="0"/>
            </w:pPr>
            <w:r/>
            <w:r>
              <w:rPr>
                <w:b/>
                <w:color w:val="FFFFFF"/>
                <w:sz w:val="17"/>
              </w:rPr>
              <w:t>Fonte / artefato</w:t>
            </w:r>
          </w:p>
        </w:tc>
        <w:tc>
          <w:tcPr>
            <w:tcW w:type="dxa" w:w="7344"/>
            <w:vAlign w:val="center"/>
            <w:shd w:fill="1F4E79"/>
          </w:tcPr>
          <w:p>
            <w:pPr>
              <w:spacing w:after="0"/>
            </w:pPr>
            <w:r/>
            <w:r>
              <w:rPr>
                <w:b/>
                <w:color w:val="FFFFFF"/>
                <w:sz w:val="17"/>
              </w:rPr>
              <w:t>Uso na pesquisa</w:t>
            </w:r>
          </w:p>
        </w:tc>
      </w:tr>
      <w:tr>
        <w:tc>
          <w:tcPr>
            <w:tcW w:type="dxa" w:w="2880"/>
            <w:vAlign w:val="center"/>
          </w:tcPr>
          <w:p>
            <w:pPr>
              <w:spacing w:after="0"/>
            </w:pPr>
            <w:r/>
            <w:r>
              <w:rPr>
                <w:b w:val="0"/>
                <w:color w:val="000000"/>
                <w:sz w:val="17"/>
              </w:rPr>
              <w:t>openspec_code_refs.parquet</w:t>
            </w:r>
          </w:p>
        </w:tc>
        <w:tc>
          <w:tcPr>
            <w:tcW w:type="dxa" w:w="7344"/>
            <w:vAlign w:val="center"/>
          </w:tcPr>
          <w:p>
            <w:pPr>
              <w:spacing w:after="0"/>
            </w:pPr>
            <w:r/>
            <w:r>
              <w:rPr>
                <w:b w:val="0"/>
                <w:color w:val="000000"/>
                <w:sz w:val="17"/>
              </w:rPr>
              <w:t>Referências extraídas das tarefas, status, commit âncora, resolução e caminho resolvido.</w:t>
            </w:r>
          </w:p>
        </w:tc>
      </w:tr>
      <w:tr>
        <w:tc>
          <w:tcPr>
            <w:tcW w:type="dxa" w:w="2880"/>
            <w:vAlign w:val="center"/>
            <w:shd w:fill="F2F6FA"/>
          </w:tcPr>
          <w:p>
            <w:pPr>
              <w:spacing w:after="0"/>
            </w:pPr>
            <w:r/>
            <w:r>
              <w:rPr>
                <w:b w:val="0"/>
                <w:color w:val="000000"/>
                <w:sz w:val="17"/>
              </w:rPr>
              <w:t>openspec_artifact_files.parquet</w:t>
            </w:r>
          </w:p>
        </w:tc>
        <w:tc>
          <w:tcPr>
            <w:tcW w:type="dxa" w:w="7344"/>
            <w:vAlign w:val="center"/>
            <w:shd w:fill="F2F6FA"/>
          </w:tcPr>
          <w:p>
            <w:pPr>
              <w:spacing w:after="0"/>
            </w:pPr>
            <w:r/>
            <w:r>
              <w:rPr>
                <w:b w:val="0"/>
                <w:color w:val="000000"/>
                <w:sz w:val="17"/>
              </w:rPr>
              <w:t>Conteúdo e metadados dos artefatos tasks.md; permite recuperar tarefas e calcular estrutura.</w:t>
            </w:r>
          </w:p>
        </w:tc>
      </w:tr>
      <w:tr>
        <w:tc>
          <w:tcPr>
            <w:tcW w:type="dxa" w:w="2880"/>
            <w:vAlign w:val="center"/>
          </w:tcPr>
          <w:p>
            <w:pPr>
              <w:spacing w:after="0"/>
            </w:pPr>
            <w:r/>
            <w:r>
              <w:rPr>
                <w:b w:val="0"/>
                <w:color w:val="000000"/>
                <w:sz w:val="17"/>
              </w:rPr>
              <w:t>SpecMine, snapshot julho de 2026</w:t>
            </w:r>
          </w:p>
        </w:tc>
        <w:tc>
          <w:tcPr>
            <w:tcW w:type="dxa" w:w="7344"/>
            <w:vAlign w:val="center"/>
          </w:tcPr>
          <w:p>
            <w:pPr>
              <w:spacing w:after="0"/>
            </w:pPr>
            <w:r/>
            <w:r>
              <w:rPr>
                <w:b w:val="0"/>
                <w:color w:val="000000"/>
                <w:sz w:val="17"/>
              </w:rPr>
              <w:t>Fonte do corpus e da reconstrução de referências; versão a ser citada no paper.</w:t>
            </w:r>
          </w:p>
        </w:tc>
      </w:tr>
      <w:tr>
        <w:tc>
          <w:tcPr>
            <w:tcW w:type="dxa" w:w="2880"/>
            <w:vAlign w:val="center"/>
            <w:shd w:fill="F2F6FA"/>
          </w:tcPr>
          <w:p>
            <w:pPr>
              <w:spacing w:after="0"/>
            </w:pPr>
            <w:r/>
            <w:r>
              <w:rPr>
                <w:b w:val="0"/>
                <w:color w:val="000000"/>
                <w:sz w:val="17"/>
              </w:rPr>
              <w:t>Resultados intermediários</w:t>
            </w:r>
          </w:p>
        </w:tc>
        <w:tc>
          <w:tcPr>
            <w:tcW w:type="dxa" w:w="7344"/>
            <w:vAlign w:val="center"/>
            <w:shd w:fill="F2F6FA"/>
          </w:tcPr>
          <w:p>
            <w:pPr>
              <w:spacing w:after="0"/>
            </w:pPr>
            <w:r/>
            <w:r>
              <w:rPr>
                <w:b w:val="0"/>
                <w:color w:val="000000"/>
                <w:sz w:val="17"/>
              </w:rPr>
              <w:t>Parquets/CSVs com agregações, amostras, características lexicais e planilhas de validação.</w:t>
            </w:r>
          </w:p>
        </w:tc>
      </w:tr>
    </w:tbl>
    <w:p>
      <w:pPr>
        <w:spacing w:after="20"/>
      </w:pPr>
    </w:p>
    <w:p>
      <w:r>
        <w:t>Campos centrais usados na auditoria:</w:t>
      </w:r>
    </w:p>
    <w:p>
      <w:pPr>
        <w:pStyle w:val="ListBullet"/>
        <w:spacing w:after="60"/>
      </w:pPr>
      <w:r>
        <w:t>task_done: indica se a tarefa estava marcada como concluída.</w:t>
      </w:r>
    </w:p>
    <w:p>
      <w:pPr>
        <w:pStyle w:val="ListBullet"/>
        <w:spacing w:after="60"/>
      </w:pPr>
      <w:r>
        <w:t>exists_at_anchor: resolução automática do caminho no commit de referência; valores 0 e 1 são analisáveis, 2 e nulo foram tratados como indeterminados.</w:t>
      </w:r>
    </w:p>
    <w:p>
      <w:pPr>
        <w:pStyle w:val="ListBullet"/>
        <w:spacing w:after="60"/>
      </w:pPr>
      <w:r>
        <w:t>n_tasks e n_tasks_done: tamanho da lista e conclusão agregada do artefato.</w:t>
      </w:r>
    </w:p>
    <w:p>
      <w:pPr>
        <w:pStyle w:val="ListBullet"/>
        <w:spacing w:after="60"/>
      </w:pPr>
      <w:r>
        <w:t>n_code_refs e n_bytes: volume de referências e tamanho textual da tarefa.</w:t>
      </w:r>
    </w:p>
    <w:p>
      <w:pPr>
        <w:pStyle w:val="ListBullet"/>
        <w:spacing w:after="60"/>
      </w:pPr>
      <w:r>
        <w:t>repo_name, artifact_path, code_path, anchor_sha: chaves de rastreabilidade e auditoria.</w:t>
      </w:r>
    </w:p>
    <w:p>
      <w:pPr>
        <w:pStyle w:val="Heading1"/>
      </w:pPr>
      <w:r>
        <w:t>4. Auditoria descritiva do corpus</w:t>
      </w:r>
    </w:p>
    <w:p>
      <w:r>
        <w:t>A auditoria de consistência produziu os seguintes números principais: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F4E79"/>
          </w:tcPr>
          <w:p>
            <w:pPr>
              <w:spacing w:after="0"/>
            </w:pPr>
            <w:r/>
            <w:r>
              <w:rPr>
                <w:b/>
                <w:color w:val="FFFFFF"/>
                <w:sz w:val="17"/>
              </w:rPr>
              <w:t>Medida</w:t>
            </w:r>
          </w:p>
        </w:tc>
        <w:tc>
          <w:tcPr>
            <w:tcW w:type="dxa" w:w="2016"/>
            <w:vAlign w:val="center"/>
            <w:shd w:fill="1F4E79"/>
          </w:tcPr>
          <w:p>
            <w:pPr>
              <w:spacing w:after="0"/>
            </w:pPr>
            <w:r/>
            <w:r>
              <w:rPr>
                <w:b/>
                <w:color w:val="FFFFFF"/>
                <w:sz w:val="17"/>
              </w:rPr>
              <w:t>Resultado</w:t>
            </w:r>
          </w:p>
        </w:tc>
        <w:tc>
          <w:tcPr>
            <w:tcW w:type="dxa" w:w="5472"/>
            <w:vAlign w:val="center"/>
            <w:shd w:fill="1F4E79"/>
          </w:tcPr>
          <w:p>
            <w:pPr>
              <w:spacing w:after="0"/>
            </w:pPr>
            <w:r/>
            <w:r>
              <w:rPr>
                <w:b/>
                <w:color w:val="FFFFFF"/>
                <w:sz w:val="17"/>
              </w:rPr>
              <w:t>Interpretação</w:t>
            </w:r>
          </w:p>
        </w:tc>
      </w:tr>
      <w:tr>
        <w:tc>
          <w:tcPr>
            <w:tcW w:type="dxa" w:w="2592"/>
            <w:vAlign w:val="center"/>
          </w:tcPr>
          <w:p>
            <w:pPr>
              <w:spacing w:after="0"/>
            </w:pPr>
            <w:r/>
            <w:r>
              <w:rPr>
                <w:b w:val="0"/>
                <w:color w:val="000000"/>
                <w:sz w:val="17"/>
              </w:rPr>
              <w:t>Linhas de referência</w:t>
            </w:r>
          </w:p>
        </w:tc>
        <w:tc>
          <w:tcPr>
            <w:tcW w:type="dxa" w:w="2016"/>
            <w:vAlign w:val="center"/>
          </w:tcPr>
          <w:p>
            <w:pPr>
              <w:spacing w:after="0"/>
            </w:pPr>
            <w:r/>
            <w:r>
              <w:rPr>
                <w:b w:val="0"/>
                <w:color w:val="000000"/>
                <w:sz w:val="17"/>
              </w:rPr>
              <w:t>435.401</w:t>
            </w:r>
          </w:p>
        </w:tc>
        <w:tc>
          <w:tcPr>
            <w:tcW w:type="dxa" w:w="5472"/>
            <w:vAlign w:val="center"/>
          </w:tcPr>
          <w:p>
            <w:pPr>
              <w:spacing w:after="0"/>
            </w:pPr>
            <w:r/>
            <w:r>
              <w:rPr>
                <w:b w:val="0"/>
                <w:color w:val="000000"/>
                <w:sz w:val="17"/>
              </w:rPr>
              <w:t>Todas as referências do recorte OpenSpec analisado.</w:t>
            </w:r>
          </w:p>
        </w:tc>
      </w:tr>
      <w:tr>
        <w:tc>
          <w:tcPr>
            <w:tcW w:type="dxa" w:w="2592"/>
            <w:vAlign w:val="center"/>
            <w:shd w:fill="F2F6FA"/>
          </w:tcPr>
          <w:p>
            <w:pPr>
              <w:spacing w:after="0"/>
            </w:pPr>
            <w:r/>
            <w:r>
              <w:rPr>
                <w:b w:val="0"/>
                <w:color w:val="000000"/>
                <w:sz w:val="17"/>
              </w:rPr>
              <w:t>Repositórios</w:t>
            </w:r>
          </w:p>
        </w:tc>
        <w:tc>
          <w:tcPr>
            <w:tcW w:type="dxa" w:w="2016"/>
            <w:vAlign w:val="center"/>
            <w:shd w:fill="F2F6FA"/>
          </w:tcPr>
          <w:p>
            <w:pPr>
              <w:spacing w:after="0"/>
            </w:pPr>
            <w:r/>
            <w:r>
              <w:rPr>
                <w:b w:val="0"/>
                <w:color w:val="000000"/>
                <w:sz w:val="17"/>
              </w:rPr>
              <w:t>7.076</w:t>
            </w:r>
          </w:p>
        </w:tc>
        <w:tc>
          <w:tcPr>
            <w:tcW w:type="dxa" w:w="5472"/>
            <w:vAlign w:val="center"/>
            <w:shd w:fill="F2F6FA"/>
          </w:tcPr>
          <w:p>
            <w:pPr>
              <w:spacing w:after="0"/>
            </w:pPr>
            <w:r/>
            <w:r>
              <w:rPr>
                <w:b w:val="0"/>
                <w:color w:val="000000"/>
                <w:sz w:val="17"/>
              </w:rPr>
              <w:t>Cobertura ampla do ecossistema observado.</w:t>
            </w:r>
          </w:p>
        </w:tc>
      </w:tr>
      <w:tr>
        <w:tc>
          <w:tcPr>
            <w:tcW w:type="dxa" w:w="2592"/>
            <w:vAlign w:val="center"/>
          </w:tcPr>
          <w:p>
            <w:pPr>
              <w:spacing w:after="0"/>
            </w:pPr>
            <w:r/>
            <w:r>
              <w:rPr>
                <w:b w:val="0"/>
                <w:color w:val="000000"/>
                <w:sz w:val="17"/>
              </w:rPr>
              <w:t>Artefatos com tarefas válidas</w:t>
            </w:r>
          </w:p>
        </w:tc>
        <w:tc>
          <w:tcPr>
            <w:tcW w:type="dxa" w:w="2016"/>
            <w:vAlign w:val="center"/>
          </w:tcPr>
          <w:p>
            <w:pPr>
              <w:spacing w:after="0"/>
            </w:pPr>
            <w:r/>
            <w:r>
              <w:rPr>
                <w:b w:val="0"/>
                <w:color w:val="000000"/>
                <w:sz w:val="17"/>
              </w:rPr>
              <w:t>60.278</w:t>
            </w:r>
          </w:p>
        </w:tc>
        <w:tc>
          <w:tcPr>
            <w:tcW w:type="dxa" w:w="5472"/>
            <w:vAlign w:val="center"/>
          </w:tcPr>
          <w:p>
            <w:pPr>
              <w:spacing w:after="0"/>
            </w:pPr>
            <w:r/>
            <w:r>
              <w:rPr>
                <w:b w:val="0"/>
                <w:color w:val="000000"/>
                <w:sz w:val="17"/>
              </w:rPr>
              <w:t>Base usada no modelo estrutural.</w:t>
            </w:r>
          </w:p>
        </w:tc>
      </w:tr>
      <w:tr>
        <w:tc>
          <w:tcPr>
            <w:tcW w:type="dxa" w:w="2592"/>
            <w:vAlign w:val="center"/>
            <w:shd w:fill="F2F6FA"/>
          </w:tcPr>
          <w:p>
            <w:pPr>
              <w:spacing w:after="0"/>
            </w:pPr>
            <w:r/>
            <w:r>
              <w:rPr>
                <w:b w:val="0"/>
                <w:color w:val="000000"/>
                <w:sz w:val="17"/>
              </w:rPr>
              <w:t>Referências com resolução binária</w:t>
            </w:r>
          </w:p>
        </w:tc>
        <w:tc>
          <w:tcPr>
            <w:tcW w:type="dxa" w:w="2016"/>
            <w:vAlign w:val="center"/>
            <w:shd w:fill="F2F6FA"/>
          </w:tcPr>
          <w:p>
            <w:pPr>
              <w:spacing w:after="0"/>
            </w:pPr>
            <w:r/>
            <w:r>
              <w:rPr>
                <w:b w:val="0"/>
                <w:color w:val="000000"/>
                <w:sz w:val="17"/>
              </w:rPr>
              <w:t>413.062</w:t>
            </w:r>
          </w:p>
        </w:tc>
        <w:tc>
          <w:tcPr>
            <w:tcW w:type="dxa" w:w="5472"/>
            <w:vAlign w:val="center"/>
            <w:shd w:fill="F2F6FA"/>
          </w:tcPr>
          <w:p>
            <w:pPr>
              <w:spacing w:after="0"/>
            </w:pPr>
            <w:r/>
            <w:r>
              <w:rPr>
                <w:b w:val="0"/>
                <w:color w:val="000000"/>
                <w:sz w:val="17"/>
              </w:rPr>
              <w:t>361.083 resolvidas e 51.979 não resolvidas.</w:t>
            </w:r>
          </w:p>
        </w:tc>
      </w:tr>
      <w:tr>
        <w:tc>
          <w:tcPr>
            <w:tcW w:type="dxa" w:w="2592"/>
            <w:vAlign w:val="center"/>
          </w:tcPr>
          <w:p>
            <w:pPr>
              <w:spacing w:after="0"/>
            </w:pPr>
            <w:r/>
            <w:r>
              <w:rPr>
                <w:b w:val="0"/>
                <w:color w:val="000000"/>
                <w:sz w:val="17"/>
              </w:rPr>
              <w:t>exists_at_anchor = 1</w:t>
            </w:r>
          </w:p>
        </w:tc>
        <w:tc>
          <w:tcPr>
            <w:tcW w:type="dxa" w:w="2016"/>
            <w:vAlign w:val="center"/>
          </w:tcPr>
          <w:p>
            <w:pPr>
              <w:spacing w:after="0"/>
            </w:pPr>
            <w:r/>
            <w:r>
              <w:rPr>
                <w:b w:val="0"/>
                <w:color w:val="000000"/>
                <w:sz w:val="17"/>
              </w:rPr>
              <w:t>82,931%</w:t>
            </w:r>
          </w:p>
        </w:tc>
        <w:tc>
          <w:tcPr>
            <w:tcW w:type="dxa" w:w="5472"/>
            <w:vAlign w:val="center"/>
          </w:tcPr>
          <w:p>
            <w:pPr>
              <w:spacing w:after="0"/>
            </w:pPr>
            <w:r/>
            <w:r>
              <w:rPr>
                <w:b w:val="0"/>
                <w:color w:val="000000"/>
                <w:sz w:val="17"/>
              </w:rPr>
              <w:t>Caminho literal encontrado no snapshot.</w:t>
            </w:r>
          </w:p>
        </w:tc>
      </w:tr>
      <w:tr>
        <w:tc>
          <w:tcPr>
            <w:tcW w:type="dxa" w:w="2592"/>
            <w:vAlign w:val="center"/>
            <w:shd w:fill="F2F6FA"/>
          </w:tcPr>
          <w:p>
            <w:pPr>
              <w:spacing w:after="0"/>
            </w:pPr>
            <w:r/>
            <w:r>
              <w:rPr>
                <w:b w:val="0"/>
                <w:color w:val="000000"/>
                <w:sz w:val="17"/>
              </w:rPr>
              <w:t>exists_at_anchor = 0</w:t>
            </w:r>
          </w:p>
        </w:tc>
        <w:tc>
          <w:tcPr>
            <w:tcW w:type="dxa" w:w="2016"/>
            <w:vAlign w:val="center"/>
            <w:shd w:fill="F2F6FA"/>
          </w:tcPr>
          <w:p>
            <w:pPr>
              <w:spacing w:after="0"/>
            </w:pPr>
            <w:r/>
            <w:r>
              <w:rPr>
                <w:b w:val="0"/>
                <w:color w:val="000000"/>
                <w:sz w:val="17"/>
              </w:rPr>
              <w:t>11,938%</w:t>
            </w:r>
          </w:p>
        </w:tc>
        <w:tc>
          <w:tcPr>
            <w:tcW w:type="dxa" w:w="5472"/>
            <w:vAlign w:val="center"/>
            <w:shd w:fill="F2F6FA"/>
          </w:tcPr>
          <w:p>
            <w:pPr>
              <w:spacing w:after="0"/>
            </w:pPr>
            <w:r/>
            <w:r>
              <w:rPr>
                <w:b w:val="0"/>
                <w:color w:val="000000"/>
                <w:sz w:val="17"/>
              </w:rPr>
              <w:t>Caminho literal não encontrado; não é ainda uma categoria semântica.</w:t>
            </w:r>
          </w:p>
        </w:tc>
      </w:tr>
      <w:tr>
        <w:tc>
          <w:tcPr>
            <w:tcW w:type="dxa" w:w="2592"/>
            <w:vAlign w:val="center"/>
          </w:tcPr>
          <w:p>
            <w:pPr>
              <w:spacing w:after="0"/>
            </w:pPr>
            <w:r/>
            <w:r>
              <w:rPr>
                <w:b w:val="0"/>
                <w:color w:val="000000"/>
                <w:sz w:val="17"/>
              </w:rPr>
              <w:t>Indeterminados</w:t>
            </w:r>
          </w:p>
        </w:tc>
        <w:tc>
          <w:tcPr>
            <w:tcW w:type="dxa" w:w="2016"/>
            <w:vAlign w:val="center"/>
          </w:tcPr>
          <w:p>
            <w:pPr>
              <w:spacing w:after="0"/>
            </w:pPr>
            <w:r/>
            <w:r>
              <w:rPr>
                <w:b w:val="0"/>
                <w:color w:val="000000"/>
                <w:sz w:val="17"/>
              </w:rPr>
              <w:t>5,131%</w:t>
            </w:r>
          </w:p>
        </w:tc>
        <w:tc>
          <w:tcPr>
            <w:tcW w:type="dxa" w:w="5472"/>
            <w:vAlign w:val="center"/>
          </w:tcPr>
          <w:p>
            <w:pPr>
              <w:spacing w:after="0"/>
            </w:pPr>
            <w:r/>
            <w:r>
              <w:rPr>
                <w:b w:val="0"/>
                <w:color w:val="000000"/>
                <w:sz w:val="17"/>
              </w:rPr>
              <w:t>Valor 2 ou nulo; excluídos da análise binária principal.</w:t>
            </w:r>
          </w:p>
        </w:tc>
      </w:tr>
      <w:tr>
        <w:tc>
          <w:tcPr>
            <w:tcW w:type="dxa" w:w="2592"/>
            <w:vAlign w:val="center"/>
            <w:shd w:fill="F2F6FA"/>
          </w:tcPr>
          <w:p>
            <w:pPr>
              <w:spacing w:after="0"/>
            </w:pPr>
            <w:r/>
            <w:r>
              <w:rPr>
                <w:b w:val="0"/>
                <w:color w:val="000000"/>
                <w:sz w:val="17"/>
              </w:rPr>
              <w:t>Matching refs–artefatos</w:t>
            </w:r>
          </w:p>
        </w:tc>
        <w:tc>
          <w:tcPr>
            <w:tcW w:type="dxa" w:w="2016"/>
            <w:vAlign w:val="center"/>
            <w:shd w:fill="F2F6FA"/>
          </w:tcPr>
          <w:p>
            <w:pPr>
              <w:spacing w:after="0"/>
            </w:pPr>
            <w:r/>
            <w:r>
              <w:rPr>
                <w:b w:val="0"/>
                <w:color w:val="000000"/>
                <w:sz w:val="17"/>
              </w:rPr>
              <w:t>100%</w:t>
            </w:r>
          </w:p>
        </w:tc>
        <w:tc>
          <w:tcPr>
            <w:tcW w:type="dxa" w:w="5472"/>
            <w:vAlign w:val="center"/>
            <w:shd w:fill="F2F6FA"/>
          </w:tcPr>
          <w:p>
            <w:pPr>
              <w:spacing w:after="0"/>
            </w:pPr>
            <w:r/>
            <w:r>
              <w:rPr>
                <w:b w:val="0"/>
                <w:color w:val="000000"/>
                <w:sz w:val="17"/>
              </w:rPr>
              <w:t>As referências encontraram artefato correspondente no corpus liberado.</w:t>
            </w:r>
          </w:p>
        </w:tc>
      </w:tr>
    </w:tbl>
    <w:p>
      <w:pPr>
        <w:spacing w:after="20"/>
      </w:pPr>
    </w:p>
    <w:p>
      <w:r>
        <w:t>A exclusão de estados indeterminados é uma decisão de mensuração, não uma limpeza silenciosa. Ela será reportada no paper e, se possível, testada em análise de sensibilidade.</w:t>
      </w:r>
    </w:p>
    <w:p>
      <w:pPr>
        <w:pStyle w:val="Heading1"/>
      </w:pPr>
      <w:r>
        <w:t>5. Resultados preliminares</w:t>
      </w:r>
    </w:p>
    <w:p>
      <w:pPr>
        <w:pStyle w:val="Heading2"/>
      </w:pPr>
      <w:r>
        <w:t>5.1 Forma dos artefatos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600"/>
            <w:vAlign w:val="center"/>
            <w:shd w:fill="1F4E79"/>
          </w:tcPr>
          <w:p>
            <w:pPr>
              <w:spacing w:after="0"/>
            </w:pPr>
            <w:r/>
            <w:r>
              <w:rPr>
                <w:b/>
                <w:color w:val="FFFFFF"/>
                <w:sz w:val="17"/>
              </w:rPr>
              <w:t>Variável</w:t>
            </w:r>
          </w:p>
        </w:tc>
        <w:tc>
          <w:tcPr>
            <w:tcW w:type="dxa" w:w="1728"/>
            <w:vAlign w:val="center"/>
            <w:shd w:fill="1F4E79"/>
          </w:tcPr>
          <w:p>
            <w:pPr>
              <w:spacing w:after="0"/>
            </w:pPr>
            <w:r/>
            <w:r>
              <w:rPr>
                <w:b/>
                <w:color w:val="FFFFFF"/>
                <w:sz w:val="17"/>
              </w:rPr>
              <w:t>Mediana</w:t>
            </w:r>
          </w:p>
        </w:tc>
        <w:tc>
          <w:tcPr>
            <w:tcW w:type="dxa" w:w="1728"/>
            <w:vAlign w:val="center"/>
            <w:shd w:fill="1F4E79"/>
          </w:tcPr>
          <w:p>
            <w:pPr>
              <w:spacing w:after="0"/>
            </w:pPr>
            <w:r/>
            <w:r>
              <w:rPr>
                <w:b/>
                <w:color w:val="FFFFFF"/>
                <w:sz w:val="17"/>
              </w:rPr>
              <w:t>P95</w:t>
            </w:r>
          </w:p>
        </w:tc>
        <w:tc>
          <w:tcPr>
            <w:tcW w:type="dxa" w:w="1728"/>
            <w:vAlign w:val="center"/>
            <w:shd w:fill="1F4E79"/>
          </w:tcPr>
          <w:p>
            <w:pPr>
              <w:spacing w:after="0"/>
            </w:pPr>
            <w:r/>
            <w:r>
              <w:rPr>
                <w:b/>
                <w:color w:val="FFFFFF"/>
                <w:sz w:val="17"/>
              </w:rPr>
              <w:t>Máximo</w:t>
            </w:r>
          </w:p>
        </w:tc>
      </w:tr>
      <w:tr>
        <w:tc>
          <w:tcPr>
            <w:tcW w:type="dxa" w:w="3600"/>
            <w:vAlign w:val="center"/>
          </w:tcPr>
          <w:p>
            <w:pPr>
              <w:spacing w:after="0"/>
            </w:pPr>
            <w:r/>
            <w:r>
              <w:rPr>
                <w:b w:val="0"/>
                <w:color w:val="000000"/>
                <w:sz w:val="17"/>
              </w:rPr>
              <w:t>Número de tarefas</w:t>
            </w:r>
          </w:p>
        </w:tc>
        <w:tc>
          <w:tcPr>
            <w:tcW w:type="dxa" w:w="1728"/>
            <w:vAlign w:val="center"/>
          </w:tcPr>
          <w:p>
            <w:pPr>
              <w:spacing w:after="0"/>
            </w:pPr>
            <w:r/>
            <w:r>
              <w:rPr>
                <w:b w:val="0"/>
                <w:color w:val="000000"/>
                <w:sz w:val="17"/>
              </w:rPr>
              <w:t>20</w:t>
            </w:r>
          </w:p>
        </w:tc>
        <w:tc>
          <w:tcPr>
            <w:tcW w:type="dxa" w:w="1728"/>
            <w:vAlign w:val="center"/>
          </w:tcPr>
          <w:p>
            <w:pPr>
              <w:spacing w:after="0"/>
            </w:pPr>
            <w:r/>
            <w:r>
              <w:rPr>
                <w:b w:val="0"/>
                <w:color w:val="000000"/>
                <w:sz w:val="17"/>
              </w:rPr>
              <w:t>71</w:t>
            </w:r>
          </w:p>
        </w:tc>
        <w:tc>
          <w:tcPr>
            <w:tcW w:type="dxa" w:w="1728"/>
            <w:vAlign w:val="center"/>
          </w:tcPr>
          <w:p>
            <w:pPr>
              <w:spacing w:after="0"/>
            </w:pPr>
            <w:r/>
            <w:r>
              <w:rPr>
                <w:b w:val="0"/>
                <w:color w:val="000000"/>
                <w:sz w:val="17"/>
              </w:rPr>
              <w:t>964</w:t>
            </w:r>
          </w:p>
        </w:tc>
      </w:tr>
      <w:tr>
        <w:tc>
          <w:tcPr>
            <w:tcW w:type="dxa" w:w="3600"/>
            <w:vAlign w:val="center"/>
            <w:shd w:fill="F2F6FA"/>
          </w:tcPr>
          <w:p>
            <w:pPr>
              <w:spacing w:after="0"/>
            </w:pPr>
            <w:r/>
            <w:r>
              <w:rPr>
                <w:b w:val="0"/>
                <w:color w:val="000000"/>
                <w:sz w:val="17"/>
              </w:rPr>
              <w:t>Referências de código</w:t>
            </w:r>
          </w:p>
        </w:tc>
        <w:tc>
          <w:tcPr>
            <w:tcW w:type="dxa" w:w="1728"/>
            <w:vAlign w:val="center"/>
            <w:shd w:fill="F2F6FA"/>
          </w:tcPr>
          <w:p>
            <w:pPr>
              <w:spacing w:after="0"/>
            </w:pPr>
            <w:r/>
            <w:r>
              <w:rPr>
                <w:b w:val="0"/>
                <w:color w:val="000000"/>
                <w:sz w:val="17"/>
              </w:rPr>
              <w:t>4</w:t>
            </w:r>
          </w:p>
        </w:tc>
        <w:tc>
          <w:tcPr>
            <w:tcW w:type="dxa" w:w="1728"/>
            <w:vAlign w:val="center"/>
            <w:shd w:fill="F2F6FA"/>
          </w:tcPr>
          <w:p>
            <w:pPr>
              <w:spacing w:after="0"/>
            </w:pPr>
            <w:r/>
            <w:r>
              <w:rPr>
                <w:b w:val="0"/>
                <w:color w:val="000000"/>
                <w:sz w:val="17"/>
              </w:rPr>
              <w:t>22</w:t>
            </w:r>
          </w:p>
        </w:tc>
        <w:tc>
          <w:tcPr>
            <w:tcW w:type="dxa" w:w="1728"/>
            <w:vAlign w:val="center"/>
            <w:shd w:fill="F2F6FA"/>
          </w:tcPr>
          <w:p>
            <w:pPr>
              <w:spacing w:after="0"/>
            </w:pPr>
            <w:r/>
            <w:r>
              <w:rPr>
                <w:b w:val="0"/>
                <w:color w:val="000000"/>
                <w:sz w:val="17"/>
              </w:rPr>
              <w:t>60</w:t>
            </w:r>
          </w:p>
        </w:tc>
      </w:tr>
      <w:tr>
        <w:tc>
          <w:tcPr>
            <w:tcW w:type="dxa" w:w="3600"/>
            <w:vAlign w:val="center"/>
          </w:tcPr>
          <w:p>
            <w:pPr>
              <w:spacing w:after="0"/>
            </w:pPr>
            <w:r/>
            <w:r>
              <w:rPr>
                <w:b w:val="0"/>
                <w:color w:val="000000"/>
                <w:sz w:val="17"/>
              </w:rPr>
              <w:t>Taxa de conclusão</w:t>
            </w:r>
          </w:p>
        </w:tc>
        <w:tc>
          <w:tcPr>
            <w:tcW w:type="dxa" w:w="1728"/>
            <w:vAlign w:val="center"/>
          </w:tcPr>
          <w:p>
            <w:pPr>
              <w:spacing w:after="0"/>
            </w:pPr>
            <w:r/>
            <w:r>
              <w:rPr>
                <w:b w:val="0"/>
                <w:color w:val="000000"/>
                <w:sz w:val="17"/>
              </w:rPr>
              <w:t>1,00</w:t>
            </w:r>
          </w:p>
        </w:tc>
        <w:tc>
          <w:tcPr>
            <w:tcW w:type="dxa" w:w="1728"/>
            <w:vAlign w:val="center"/>
          </w:tcPr>
          <w:p>
            <w:pPr>
              <w:spacing w:after="0"/>
            </w:pPr>
            <w:r/>
            <w:r>
              <w:rPr>
                <w:b w:val="0"/>
                <w:color w:val="000000"/>
                <w:sz w:val="17"/>
              </w:rPr>
              <w:t>—</w:t>
            </w:r>
          </w:p>
        </w:tc>
        <w:tc>
          <w:tcPr>
            <w:tcW w:type="dxa" w:w="1728"/>
            <w:vAlign w:val="center"/>
          </w:tcPr>
          <w:p>
            <w:pPr>
              <w:spacing w:after="0"/>
            </w:pPr>
            <w:r/>
            <w:r>
              <w:rPr>
                <w:b w:val="0"/>
                <w:color w:val="000000"/>
                <w:sz w:val="17"/>
              </w:rPr>
              <w:t>—</w:t>
            </w:r>
          </w:p>
        </w:tc>
      </w:tr>
      <w:tr>
        <w:tc>
          <w:tcPr>
            <w:tcW w:type="dxa" w:w="3600"/>
            <w:vAlign w:val="center"/>
            <w:shd w:fill="F2F6FA"/>
          </w:tcPr>
          <w:p>
            <w:pPr>
              <w:spacing w:after="0"/>
            </w:pPr>
            <w:r/>
            <w:r>
              <w:rPr>
                <w:b w:val="0"/>
                <w:color w:val="000000"/>
                <w:sz w:val="17"/>
              </w:rPr>
              <w:t>Densidade de referências</w:t>
            </w:r>
          </w:p>
        </w:tc>
        <w:tc>
          <w:tcPr>
            <w:tcW w:type="dxa" w:w="1728"/>
            <w:vAlign w:val="center"/>
            <w:shd w:fill="F2F6FA"/>
          </w:tcPr>
          <w:p>
            <w:pPr>
              <w:spacing w:after="0"/>
            </w:pPr>
            <w:r/>
            <w:r>
              <w:rPr>
                <w:b w:val="0"/>
                <w:color w:val="000000"/>
                <w:sz w:val="17"/>
              </w:rPr>
              <w:t>0,225</w:t>
            </w:r>
          </w:p>
        </w:tc>
        <w:tc>
          <w:tcPr>
            <w:tcW w:type="dxa" w:w="1728"/>
            <w:vAlign w:val="center"/>
            <w:shd w:fill="F2F6FA"/>
          </w:tcPr>
          <w:p>
            <w:pPr>
              <w:spacing w:after="0"/>
            </w:pPr>
            <w:r/>
            <w:r>
              <w:rPr>
                <w:b w:val="0"/>
                <w:color w:val="000000"/>
                <w:sz w:val="17"/>
              </w:rPr>
              <w:t>0,800</w:t>
            </w:r>
          </w:p>
        </w:tc>
        <w:tc>
          <w:tcPr>
            <w:tcW w:type="dxa" w:w="1728"/>
            <w:vAlign w:val="center"/>
            <w:shd w:fill="F2F6FA"/>
          </w:tcPr>
          <w:p>
            <w:pPr>
              <w:spacing w:after="0"/>
            </w:pPr>
            <w:r/>
            <w:r>
              <w:rPr>
                <w:b w:val="0"/>
                <w:color w:val="000000"/>
                <w:sz w:val="17"/>
              </w:rPr>
              <w:t>12,000</w:t>
            </w:r>
          </w:p>
        </w:tc>
      </w:tr>
      <w:tr>
        <w:tc>
          <w:tcPr>
            <w:tcW w:type="dxa" w:w="3600"/>
            <w:vAlign w:val="center"/>
          </w:tcPr>
          <w:p>
            <w:pPr>
              <w:spacing w:after="0"/>
            </w:pPr>
            <w:r/>
            <w:r>
              <w:rPr>
                <w:b w:val="0"/>
                <w:color w:val="000000"/>
                <w:sz w:val="17"/>
              </w:rPr>
              <w:t>Tamanho em bytes</w:t>
            </w:r>
          </w:p>
        </w:tc>
        <w:tc>
          <w:tcPr>
            <w:tcW w:type="dxa" w:w="1728"/>
            <w:vAlign w:val="center"/>
          </w:tcPr>
          <w:p>
            <w:pPr>
              <w:spacing w:after="0"/>
            </w:pPr>
            <w:r/>
            <w:r>
              <w:rPr>
                <w:b w:val="0"/>
                <w:color w:val="000000"/>
                <w:sz w:val="17"/>
              </w:rPr>
              <w:t>2.957</w:t>
            </w:r>
          </w:p>
        </w:tc>
        <w:tc>
          <w:tcPr>
            <w:tcW w:type="dxa" w:w="1728"/>
            <w:vAlign w:val="center"/>
          </w:tcPr>
          <w:p>
            <w:pPr>
              <w:spacing w:after="0"/>
            </w:pPr>
            <w:r/>
            <w:r>
              <w:rPr>
                <w:b w:val="0"/>
                <w:color w:val="000000"/>
                <w:sz w:val="17"/>
              </w:rPr>
              <w:t>12.161</w:t>
            </w:r>
          </w:p>
        </w:tc>
        <w:tc>
          <w:tcPr>
            <w:tcW w:type="dxa" w:w="1728"/>
            <w:vAlign w:val="center"/>
          </w:tcPr>
          <w:p>
            <w:pPr>
              <w:spacing w:after="0"/>
            </w:pPr>
            <w:r/>
            <w:r>
              <w:rPr>
                <w:b w:val="0"/>
                <w:color w:val="000000"/>
                <w:sz w:val="17"/>
              </w:rPr>
              <w:t>849.322</w:t>
            </w:r>
          </w:p>
        </w:tc>
      </w:tr>
    </w:tbl>
    <w:p>
      <w:pPr>
        <w:spacing w:after="20"/>
      </w:pPr>
    </w:p>
    <w:p>
      <w:r>
        <w:t>A mediana de conclusão igual a 1,00 mostra que muitas specs estão arquivadas ou marcadas como completas. Por isso, a análise não deve resumir o fenômeno como simples “tarefas abertas versus fechadas”: mesmo entre tarefas concluídas há referências literais não resolvidas.</w:t>
      </w:r>
    </w:p>
    <w:p>
      <w:pPr>
        <w:pStyle w:val="Heading2"/>
      </w:pPr>
      <w:r>
        <w:t>5.2 Frequência de referências literais não resolvidas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456"/>
            <w:vAlign w:val="center"/>
            <w:shd w:fill="1F4E79"/>
          </w:tcPr>
          <w:p>
            <w:pPr>
              <w:spacing w:after="0"/>
            </w:pPr>
            <w:r/>
            <w:r>
              <w:rPr>
                <w:b/>
                <w:color w:val="FFFFFF"/>
                <w:sz w:val="17"/>
              </w:rPr>
              <w:t>Grupo de conclusão</w:t>
            </w:r>
          </w:p>
        </w:tc>
        <w:tc>
          <w:tcPr>
            <w:tcW w:type="dxa" w:w="1872"/>
            <w:vAlign w:val="center"/>
            <w:shd w:fill="1F4E79"/>
          </w:tcPr>
          <w:p>
            <w:pPr>
              <w:spacing w:after="0"/>
            </w:pPr>
            <w:r/>
            <w:r>
              <w:rPr>
                <w:b/>
                <w:color w:val="FFFFFF"/>
                <w:sz w:val="17"/>
              </w:rPr>
              <w:t>Referências</w:t>
            </w:r>
          </w:p>
        </w:tc>
        <w:tc>
          <w:tcPr>
            <w:tcW w:type="dxa" w:w="1872"/>
            <w:vAlign w:val="center"/>
            <w:shd w:fill="1F4E79"/>
          </w:tcPr>
          <w:p>
            <w:pPr>
              <w:spacing w:after="0"/>
            </w:pPr>
            <w:r/>
            <w:r>
              <w:rPr>
                <w:b/>
                <w:color w:val="FFFFFF"/>
                <w:sz w:val="17"/>
              </w:rPr>
              <w:t>Ausentes</w:t>
            </w:r>
          </w:p>
        </w:tc>
        <w:tc>
          <w:tcPr>
            <w:tcW w:type="dxa" w:w="1728"/>
            <w:vAlign w:val="center"/>
            <w:shd w:fill="1F4E79"/>
          </w:tcPr>
          <w:p>
            <w:pPr>
              <w:spacing w:after="0"/>
            </w:pPr>
            <w:r/>
            <w:r>
              <w:rPr>
                <w:b/>
                <w:color w:val="FFFFFF"/>
                <w:sz w:val="17"/>
              </w:rPr>
              <w:t>% ausentes</w:t>
            </w:r>
          </w:p>
        </w:tc>
      </w:tr>
      <w:tr>
        <w:tc>
          <w:tcPr>
            <w:tcW w:type="dxa" w:w="3456"/>
            <w:vAlign w:val="center"/>
          </w:tcPr>
          <w:p>
            <w:pPr>
              <w:spacing w:after="0"/>
            </w:pPr>
            <w:r/>
            <w:r>
              <w:rPr>
                <w:b w:val="0"/>
                <w:color w:val="000000"/>
                <w:sz w:val="17"/>
              </w:rPr>
              <w:t>Nenhuma tarefa concluída</w:t>
            </w:r>
          </w:p>
        </w:tc>
        <w:tc>
          <w:tcPr>
            <w:tcW w:type="dxa" w:w="1872"/>
            <w:vAlign w:val="center"/>
          </w:tcPr>
          <w:p>
            <w:pPr>
              <w:spacing w:after="0"/>
            </w:pPr>
            <w:r/>
            <w:r>
              <w:rPr>
                <w:b w:val="0"/>
                <w:color w:val="000000"/>
                <w:sz w:val="17"/>
              </w:rPr>
              <w:t>32.804</w:t>
            </w:r>
          </w:p>
        </w:tc>
        <w:tc>
          <w:tcPr>
            <w:tcW w:type="dxa" w:w="1872"/>
            <w:vAlign w:val="center"/>
          </w:tcPr>
          <w:p>
            <w:pPr>
              <w:spacing w:after="0"/>
            </w:pPr>
            <w:r/>
            <w:r>
              <w:rPr>
                <w:b w:val="0"/>
                <w:color w:val="000000"/>
                <w:sz w:val="17"/>
              </w:rPr>
              <w:t>9.096</w:t>
            </w:r>
          </w:p>
        </w:tc>
        <w:tc>
          <w:tcPr>
            <w:tcW w:type="dxa" w:w="1728"/>
            <w:vAlign w:val="center"/>
          </w:tcPr>
          <w:p>
            <w:pPr>
              <w:spacing w:after="0"/>
            </w:pPr>
            <w:r/>
            <w:r>
              <w:rPr>
                <w:b w:val="0"/>
                <w:color w:val="000000"/>
                <w:sz w:val="17"/>
              </w:rPr>
              <w:t>27,73%</w:t>
            </w:r>
          </w:p>
        </w:tc>
      </w:tr>
      <w:tr>
        <w:tc>
          <w:tcPr>
            <w:tcW w:type="dxa" w:w="3456"/>
            <w:vAlign w:val="center"/>
            <w:shd w:fill="F2F6FA"/>
          </w:tcPr>
          <w:p>
            <w:pPr>
              <w:spacing w:after="0"/>
            </w:pPr>
            <w:r/>
            <w:r>
              <w:rPr>
                <w:b w:val="0"/>
                <w:color w:val="000000"/>
                <w:sz w:val="17"/>
              </w:rPr>
              <w:t>Conclusão parcial</w:t>
            </w:r>
          </w:p>
        </w:tc>
        <w:tc>
          <w:tcPr>
            <w:tcW w:type="dxa" w:w="1872"/>
            <w:vAlign w:val="center"/>
            <w:shd w:fill="F2F6FA"/>
          </w:tcPr>
          <w:p>
            <w:pPr>
              <w:spacing w:after="0"/>
            </w:pPr>
            <w:r/>
            <w:r>
              <w:rPr>
                <w:b w:val="0"/>
                <w:color w:val="000000"/>
                <w:sz w:val="17"/>
              </w:rPr>
              <w:t>98.398</w:t>
            </w:r>
          </w:p>
        </w:tc>
        <w:tc>
          <w:tcPr>
            <w:tcW w:type="dxa" w:w="1872"/>
            <w:vAlign w:val="center"/>
            <w:shd w:fill="F2F6FA"/>
          </w:tcPr>
          <w:p>
            <w:pPr>
              <w:spacing w:after="0"/>
            </w:pPr>
            <w:r/>
            <w:r>
              <w:rPr>
                <w:b w:val="0"/>
                <w:color w:val="000000"/>
                <w:sz w:val="17"/>
              </w:rPr>
              <w:t>15.684</w:t>
            </w:r>
          </w:p>
        </w:tc>
        <w:tc>
          <w:tcPr>
            <w:tcW w:type="dxa" w:w="1728"/>
            <w:vAlign w:val="center"/>
            <w:shd w:fill="F2F6FA"/>
          </w:tcPr>
          <w:p>
            <w:pPr>
              <w:spacing w:after="0"/>
            </w:pPr>
            <w:r/>
            <w:r>
              <w:rPr>
                <w:b w:val="0"/>
                <w:color w:val="000000"/>
                <w:sz w:val="17"/>
              </w:rPr>
              <w:t>15,94%</w:t>
            </w:r>
          </w:p>
        </w:tc>
      </w:tr>
      <w:tr>
        <w:tc>
          <w:tcPr>
            <w:tcW w:type="dxa" w:w="3456"/>
            <w:vAlign w:val="center"/>
          </w:tcPr>
          <w:p>
            <w:pPr>
              <w:spacing w:after="0"/>
            </w:pPr>
            <w:r/>
            <w:r>
              <w:rPr>
                <w:b w:val="0"/>
                <w:color w:val="000000"/>
                <w:sz w:val="17"/>
              </w:rPr>
              <w:t>Todas concluídas</w:t>
            </w:r>
          </w:p>
        </w:tc>
        <w:tc>
          <w:tcPr>
            <w:tcW w:type="dxa" w:w="1872"/>
            <w:vAlign w:val="center"/>
          </w:tcPr>
          <w:p>
            <w:pPr>
              <w:spacing w:after="0"/>
            </w:pPr>
            <w:r/>
            <w:r>
              <w:rPr>
                <w:b w:val="0"/>
                <w:color w:val="000000"/>
                <w:sz w:val="17"/>
              </w:rPr>
              <w:t>276.988</w:t>
            </w:r>
          </w:p>
        </w:tc>
        <w:tc>
          <w:tcPr>
            <w:tcW w:type="dxa" w:w="1872"/>
            <w:vAlign w:val="center"/>
          </w:tcPr>
          <w:p>
            <w:pPr>
              <w:spacing w:after="0"/>
            </w:pPr>
            <w:r/>
            <w:r>
              <w:rPr>
                <w:b w:val="0"/>
                <w:color w:val="000000"/>
                <w:sz w:val="17"/>
              </w:rPr>
              <w:t>26.434</w:t>
            </w:r>
          </w:p>
        </w:tc>
        <w:tc>
          <w:tcPr>
            <w:tcW w:type="dxa" w:w="1728"/>
            <w:vAlign w:val="center"/>
          </w:tcPr>
          <w:p>
            <w:pPr>
              <w:spacing w:after="0"/>
            </w:pPr>
            <w:r/>
            <w:r>
              <w:rPr>
                <w:b w:val="0"/>
                <w:color w:val="000000"/>
                <w:sz w:val="17"/>
              </w:rPr>
              <w:t>9,54%</w:t>
            </w:r>
          </w:p>
        </w:tc>
      </w:tr>
    </w:tbl>
    <w:p>
      <w:pPr>
        <w:spacing w:after="20"/>
      </w:pPr>
    </w:p>
    <w:p>
      <w:r>
        <w:t>Descritivamente, maior conclusão está associada a menor proporção de ausência literal. Essa relação é compatível com a hipótese de que tarefas abertas carregam mais intenção futura, mas não determina o significado de cada caso.</w:t>
      </w:r>
    </w:p>
    <w:p>
      <w:pPr>
        <w:pStyle w:val="Heading2"/>
      </w:pPr>
      <w:r>
        <w:t>5.3 Modelos exploratórios</w:t>
      </w:r>
    </w:p>
    <w:p>
      <w:r>
        <w:t>Um modelo logístico agrupado por repositório foi ajustado para o desfecho binário exists_at_anchor=0. Os números abaixo são exploratórios e não devem ser apresentados como resultados finais antes da validação semântica.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4176"/>
            <w:vAlign w:val="center"/>
            <w:shd w:fill="1F4E79"/>
          </w:tcPr>
          <w:p>
            <w:pPr>
              <w:spacing w:after="0"/>
            </w:pPr>
            <w:r/>
            <w:r>
              <w:rPr>
                <w:b/>
                <w:color w:val="FFFFFF"/>
                <w:sz w:val="17"/>
              </w:rPr>
              <w:t>Preditor</w:t>
            </w:r>
          </w:p>
        </w:tc>
        <w:tc>
          <w:tcPr>
            <w:tcW w:type="dxa" w:w="1152"/>
            <w:vAlign w:val="center"/>
            <w:shd w:fill="1F4E79"/>
          </w:tcPr>
          <w:p>
            <w:pPr>
              <w:spacing w:after="0"/>
            </w:pPr>
            <w:r/>
            <w:r>
              <w:rPr>
                <w:b/>
                <w:color w:val="FFFFFF"/>
                <w:sz w:val="17"/>
              </w:rPr>
              <w:t>OR</w:t>
            </w:r>
          </w:p>
        </w:tc>
        <w:tc>
          <w:tcPr>
            <w:tcW w:type="dxa" w:w="2160"/>
            <w:vAlign w:val="center"/>
            <w:shd w:fill="1F4E79"/>
          </w:tcPr>
          <w:p>
            <w:pPr>
              <w:spacing w:after="0"/>
            </w:pPr>
            <w:r/>
            <w:r>
              <w:rPr>
                <w:b/>
                <w:color w:val="FFFFFF"/>
                <w:sz w:val="17"/>
              </w:rPr>
              <w:t>IC 95%</w:t>
            </w:r>
          </w:p>
        </w:tc>
        <w:tc>
          <w:tcPr>
            <w:tcW w:type="dxa" w:w="1152"/>
            <w:vAlign w:val="center"/>
            <w:shd w:fill="1F4E79"/>
          </w:tcPr>
          <w:p>
            <w:pPr>
              <w:spacing w:after="0"/>
            </w:pPr>
            <w:r/>
            <w:r>
              <w:rPr>
                <w:b/>
                <w:color w:val="FFFFFF"/>
                <w:sz w:val="17"/>
              </w:rPr>
              <w:t>p</w:t>
            </w:r>
          </w:p>
        </w:tc>
      </w:tr>
      <w:tr>
        <w:tc>
          <w:tcPr>
            <w:tcW w:type="dxa" w:w="4176"/>
            <w:vAlign w:val="center"/>
          </w:tcPr>
          <w:p>
            <w:pPr>
              <w:spacing w:after="0"/>
            </w:pPr>
            <w:r/>
            <w:r>
              <w:rPr>
                <w:b w:val="0"/>
                <w:color w:val="000000"/>
                <w:sz w:val="17"/>
              </w:rPr>
              <w:t>log(número de tarefas)</w:t>
            </w:r>
          </w:p>
        </w:tc>
        <w:tc>
          <w:tcPr>
            <w:tcW w:type="dxa" w:w="1152"/>
            <w:vAlign w:val="center"/>
          </w:tcPr>
          <w:p>
            <w:pPr>
              <w:spacing w:after="0"/>
            </w:pPr>
            <w:r/>
            <w:r>
              <w:rPr>
                <w:b w:val="0"/>
                <w:color w:val="000000"/>
                <w:sz w:val="17"/>
              </w:rPr>
              <w:t>1,538</w:t>
            </w:r>
          </w:p>
        </w:tc>
        <w:tc>
          <w:tcPr>
            <w:tcW w:type="dxa" w:w="2160"/>
            <w:vAlign w:val="center"/>
          </w:tcPr>
          <w:p>
            <w:pPr>
              <w:spacing w:after="0"/>
            </w:pPr>
            <w:r/>
            <w:r>
              <w:rPr>
                <w:b w:val="0"/>
                <w:color w:val="000000"/>
                <w:sz w:val="17"/>
              </w:rPr>
              <w:t>1,369–1,727</w:t>
            </w:r>
          </w:p>
        </w:tc>
        <w:tc>
          <w:tcPr>
            <w:tcW w:type="dxa" w:w="1152"/>
            <w:vAlign w:val="center"/>
          </w:tcPr>
          <w:p>
            <w:pPr>
              <w:spacing w:after="0"/>
            </w:pPr>
            <w:r/>
            <w:r>
              <w:rPr>
                <w:b w:val="0"/>
                <w:color w:val="000000"/>
                <w:sz w:val="17"/>
              </w:rPr>
              <w:t>&lt; 0,001</w:t>
            </w:r>
          </w:p>
        </w:tc>
      </w:tr>
      <w:tr>
        <w:tc>
          <w:tcPr>
            <w:tcW w:type="dxa" w:w="4176"/>
            <w:vAlign w:val="center"/>
            <w:shd w:fill="F2F6FA"/>
          </w:tcPr>
          <w:p>
            <w:pPr>
              <w:spacing w:after="0"/>
            </w:pPr>
            <w:r/>
            <w:r>
              <w:rPr>
                <w:b w:val="0"/>
                <w:color w:val="000000"/>
                <w:sz w:val="17"/>
              </w:rPr>
              <w:t>Densidade de referências (z)</w:t>
            </w:r>
          </w:p>
        </w:tc>
        <w:tc>
          <w:tcPr>
            <w:tcW w:type="dxa" w:w="1152"/>
            <w:vAlign w:val="center"/>
            <w:shd w:fill="F2F6FA"/>
          </w:tcPr>
          <w:p>
            <w:pPr>
              <w:spacing w:after="0"/>
            </w:pPr>
            <w:r/>
            <w:r>
              <w:rPr>
                <w:b w:val="0"/>
                <w:color w:val="000000"/>
                <w:sz w:val="17"/>
              </w:rPr>
              <w:t>1,035</w:t>
            </w:r>
          </w:p>
        </w:tc>
        <w:tc>
          <w:tcPr>
            <w:tcW w:type="dxa" w:w="2160"/>
            <w:vAlign w:val="center"/>
            <w:shd w:fill="F2F6FA"/>
          </w:tcPr>
          <w:p>
            <w:pPr>
              <w:spacing w:after="0"/>
            </w:pPr>
            <w:r/>
            <w:r>
              <w:rPr>
                <w:b w:val="0"/>
                <w:color w:val="000000"/>
                <w:sz w:val="17"/>
              </w:rPr>
              <w:t>1,001–1,070</w:t>
            </w:r>
          </w:p>
        </w:tc>
        <w:tc>
          <w:tcPr>
            <w:tcW w:type="dxa" w:w="1152"/>
            <w:vAlign w:val="center"/>
            <w:shd w:fill="F2F6FA"/>
          </w:tcPr>
          <w:p>
            <w:pPr>
              <w:spacing w:after="0"/>
            </w:pPr>
            <w:r/>
            <w:r>
              <w:rPr>
                <w:b w:val="0"/>
                <w:color w:val="000000"/>
                <w:sz w:val="17"/>
              </w:rPr>
              <w:t>0,047</w:t>
            </w:r>
          </w:p>
        </w:tc>
      </w:tr>
      <w:tr>
        <w:tc>
          <w:tcPr>
            <w:tcW w:type="dxa" w:w="4176"/>
            <w:vAlign w:val="center"/>
          </w:tcPr>
          <w:p>
            <w:pPr>
              <w:spacing w:after="0"/>
            </w:pPr>
            <w:r/>
            <w:r>
              <w:rPr>
                <w:b w:val="0"/>
                <w:color w:val="000000"/>
                <w:sz w:val="17"/>
              </w:rPr>
              <w:t>Tamanho em bytes (log)</w:t>
            </w:r>
          </w:p>
        </w:tc>
        <w:tc>
          <w:tcPr>
            <w:tcW w:type="dxa" w:w="1152"/>
            <w:vAlign w:val="center"/>
          </w:tcPr>
          <w:p>
            <w:pPr>
              <w:spacing w:after="0"/>
            </w:pPr>
            <w:r/>
            <w:r>
              <w:rPr>
                <w:b w:val="0"/>
                <w:color w:val="000000"/>
                <w:sz w:val="17"/>
              </w:rPr>
              <w:t>1,028</w:t>
            </w:r>
          </w:p>
        </w:tc>
        <w:tc>
          <w:tcPr>
            <w:tcW w:type="dxa" w:w="2160"/>
            <w:vAlign w:val="center"/>
          </w:tcPr>
          <w:p>
            <w:pPr>
              <w:spacing w:after="0"/>
            </w:pPr>
            <w:r/>
            <w:r>
              <w:rPr>
                <w:b w:val="0"/>
                <w:color w:val="000000"/>
                <w:sz w:val="17"/>
              </w:rPr>
              <w:t>0,911–1,159</w:t>
            </w:r>
          </w:p>
        </w:tc>
        <w:tc>
          <w:tcPr>
            <w:tcW w:type="dxa" w:w="1152"/>
            <w:vAlign w:val="center"/>
          </w:tcPr>
          <w:p>
            <w:pPr>
              <w:spacing w:after="0"/>
            </w:pPr>
            <w:r/>
            <w:r>
              <w:rPr>
                <w:b w:val="0"/>
                <w:color w:val="000000"/>
                <w:sz w:val="17"/>
              </w:rPr>
              <w:t>0,657</w:t>
            </w:r>
          </w:p>
        </w:tc>
      </w:tr>
      <w:tr>
        <w:tc>
          <w:tcPr>
            <w:tcW w:type="dxa" w:w="4176"/>
            <w:vAlign w:val="center"/>
            <w:shd w:fill="F2F6FA"/>
          </w:tcPr>
          <w:p>
            <w:pPr>
              <w:spacing w:after="0"/>
            </w:pPr>
            <w:r/>
            <w:r>
              <w:rPr>
                <w:b w:val="0"/>
                <w:color w:val="000000"/>
                <w:sz w:val="17"/>
              </w:rPr>
              <w:t>Conclusão parcial vs. completa</w:t>
            </w:r>
          </w:p>
        </w:tc>
        <w:tc>
          <w:tcPr>
            <w:tcW w:type="dxa" w:w="1152"/>
            <w:vAlign w:val="center"/>
            <w:shd w:fill="F2F6FA"/>
          </w:tcPr>
          <w:p>
            <w:pPr>
              <w:spacing w:after="0"/>
            </w:pPr>
            <w:r/>
            <w:r>
              <w:rPr>
                <w:b w:val="0"/>
                <w:color w:val="000000"/>
                <w:sz w:val="17"/>
              </w:rPr>
              <w:t>1,463</w:t>
            </w:r>
          </w:p>
        </w:tc>
        <w:tc>
          <w:tcPr>
            <w:tcW w:type="dxa" w:w="2160"/>
            <w:vAlign w:val="center"/>
            <w:shd w:fill="F2F6FA"/>
          </w:tcPr>
          <w:p>
            <w:pPr>
              <w:spacing w:after="0"/>
            </w:pPr>
            <w:r/>
            <w:r>
              <w:rPr>
                <w:b w:val="0"/>
                <w:color w:val="000000"/>
                <w:sz w:val="17"/>
              </w:rPr>
              <w:t>1,314–1,629</w:t>
            </w:r>
          </w:p>
        </w:tc>
        <w:tc>
          <w:tcPr>
            <w:tcW w:type="dxa" w:w="1152"/>
            <w:vAlign w:val="center"/>
            <w:shd w:fill="F2F6FA"/>
          </w:tcPr>
          <w:p>
            <w:pPr>
              <w:spacing w:after="0"/>
            </w:pPr>
            <w:r/>
            <w:r>
              <w:rPr>
                <w:b w:val="0"/>
                <w:color w:val="000000"/>
                <w:sz w:val="17"/>
              </w:rPr>
              <w:t>&lt; 0,001</w:t>
            </w:r>
          </w:p>
        </w:tc>
      </w:tr>
      <w:tr>
        <w:tc>
          <w:tcPr>
            <w:tcW w:type="dxa" w:w="4176"/>
            <w:vAlign w:val="center"/>
          </w:tcPr>
          <w:p>
            <w:pPr>
              <w:spacing w:after="0"/>
            </w:pPr>
            <w:r/>
            <w:r>
              <w:rPr>
                <w:b w:val="0"/>
                <w:color w:val="000000"/>
                <w:sz w:val="17"/>
              </w:rPr>
              <w:t>Nenhuma concluída vs. completa</w:t>
            </w:r>
          </w:p>
        </w:tc>
        <w:tc>
          <w:tcPr>
            <w:tcW w:type="dxa" w:w="1152"/>
            <w:vAlign w:val="center"/>
          </w:tcPr>
          <w:p>
            <w:pPr>
              <w:spacing w:after="0"/>
            </w:pPr>
            <w:r/>
            <w:r>
              <w:rPr>
                <w:b w:val="0"/>
                <w:color w:val="000000"/>
                <w:sz w:val="17"/>
              </w:rPr>
              <w:t>3,191</w:t>
            </w:r>
          </w:p>
        </w:tc>
        <w:tc>
          <w:tcPr>
            <w:tcW w:type="dxa" w:w="2160"/>
            <w:vAlign w:val="center"/>
          </w:tcPr>
          <w:p>
            <w:pPr>
              <w:spacing w:after="0"/>
            </w:pPr>
            <w:r/>
            <w:r>
              <w:rPr>
                <w:b w:val="0"/>
                <w:color w:val="000000"/>
                <w:sz w:val="17"/>
              </w:rPr>
              <w:t>2,701–3,770</w:t>
            </w:r>
          </w:p>
        </w:tc>
        <w:tc>
          <w:tcPr>
            <w:tcW w:type="dxa" w:w="1152"/>
            <w:vAlign w:val="center"/>
          </w:tcPr>
          <w:p>
            <w:pPr>
              <w:spacing w:after="0"/>
            </w:pPr>
            <w:r/>
            <w:r>
              <w:rPr>
                <w:b w:val="0"/>
                <w:color w:val="000000"/>
                <w:sz w:val="17"/>
              </w:rPr>
              <w:t>&lt; 0,001</w:t>
            </w:r>
          </w:p>
        </w:tc>
      </w:tr>
    </w:tbl>
    <w:p>
      <w:pPr>
        <w:spacing w:after="20"/>
      </w:pPr>
    </w:p>
    <w:p>
      <w:r>
        <w:t>O sinal mais estável foi o tamanho da lista: specs com mais tarefas tiveram maior chance de conter uma referência literal não resolvida. O efeito da densidade foi pequeno e perdeu significância no recorte apenas de tarefas concluídas e na análise sem os 50 repositórios mais concentrados. Isso reforça que a modelagem é evidência de triagem, não uma conclusão causal.</w:t>
      </w:r>
    </w:p>
    <w:p>
      <w:pPr>
        <w:pStyle w:val="Heading2"/>
      </w:pPr>
      <w:r>
        <w:t>5.4 Forma lexical das referências</w:t>
      </w:r>
    </w:p>
    <w:p>
      <w:r>
        <w:t>Foi criada uma classificação simples da forma do caminho. Ela ajuda a separar ruído de referências que parecem realmente apontar para arquivos: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9"/>
          </w:tcPr>
          <w:p>
            <w:pPr>
              <w:spacing w:after="0"/>
            </w:pPr>
            <w:r/>
            <w:r>
              <w:rPr>
                <w:b/>
                <w:color w:val="FFFFFF"/>
                <w:sz w:val="17"/>
              </w:rPr>
              <w:t>Forma</w:t>
            </w:r>
          </w:p>
        </w:tc>
        <w:tc>
          <w:tcPr>
            <w:tcW w:type="dxa" w:w="3168"/>
            <w:vAlign w:val="center"/>
            <w:shd w:fill="1F4E79"/>
          </w:tcPr>
          <w:p>
            <w:pPr>
              <w:spacing w:after="0"/>
            </w:pPr>
            <w:r/>
            <w:r>
              <w:rPr>
                <w:b/>
                <w:color w:val="FFFFFF"/>
                <w:sz w:val="17"/>
              </w:rPr>
              <w:t>Participação entre ausentes concluídas</w:t>
            </w:r>
          </w:p>
        </w:tc>
        <w:tc>
          <w:tcPr>
            <w:tcW w:type="dxa" w:w="4176"/>
            <w:vAlign w:val="center"/>
            <w:shd w:fill="1F4E79"/>
          </w:tcPr>
          <w:p>
            <w:pPr>
              <w:spacing w:after="0"/>
            </w:pPr>
            <w:r/>
            <w:r>
              <w:rPr>
                <w:b/>
                <w:color w:val="FFFFFF"/>
                <w:sz w:val="17"/>
              </w:rPr>
              <w:t>Resolução observada</w:t>
            </w:r>
          </w:p>
        </w:tc>
      </w:tr>
      <w:tr>
        <w:tc>
          <w:tcPr>
            <w:tcW w:type="dxa" w:w="2880"/>
            <w:vAlign w:val="center"/>
          </w:tcPr>
          <w:p>
            <w:pPr>
              <w:spacing w:after="0"/>
            </w:pPr>
            <w:r/>
            <w:r>
              <w:rPr>
                <w:b w:val="0"/>
                <w:color w:val="000000"/>
                <w:sz w:val="17"/>
              </w:rPr>
              <w:t>Caminho relativo ao projeto</w:t>
            </w:r>
          </w:p>
        </w:tc>
        <w:tc>
          <w:tcPr>
            <w:tcW w:type="dxa" w:w="3168"/>
            <w:vAlign w:val="center"/>
          </w:tcPr>
          <w:p>
            <w:pPr>
              <w:spacing w:after="0"/>
            </w:pPr>
            <w:r/>
            <w:r>
              <w:rPr>
                <w:b w:val="0"/>
                <w:color w:val="000000"/>
                <w:sz w:val="17"/>
              </w:rPr>
              <w:t>53,55%</w:t>
            </w:r>
          </w:p>
        </w:tc>
        <w:tc>
          <w:tcPr>
            <w:tcW w:type="dxa" w:w="4176"/>
            <w:vAlign w:val="center"/>
          </w:tcPr>
          <w:p>
            <w:pPr>
              <w:spacing w:after="0"/>
            </w:pPr>
            <w:r/>
            <w:r>
              <w:rPr>
                <w:b w:val="0"/>
                <w:color w:val="000000"/>
                <w:sz w:val="17"/>
              </w:rPr>
              <w:t>92,01% resolvem; os demais requerem interpretação.</w:t>
            </w:r>
          </w:p>
        </w:tc>
      </w:tr>
      <w:tr>
        <w:tc>
          <w:tcPr>
            <w:tcW w:type="dxa" w:w="2880"/>
            <w:vAlign w:val="center"/>
            <w:shd w:fill="F2F6FA"/>
          </w:tcPr>
          <w:p>
            <w:pPr>
              <w:spacing w:after="0"/>
            </w:pPr>
            <w:r/>
            <w:r>
              <w:rPr>
                <w:b w:val="0"/>
                <w:color w:val="000000"/>
                <w:sz w:val="17"/>
              </w:rPr>
              <w:t>Nome de arquivo isolado</w:t>
            </w:r>
          </w:p>
        </w:tc>
        <w:tc>
          <w:tcPr>
            <w:tcW w:type="dxa" w:w="3168"/>
            <w:vAlign w:val="center"/>
            <w:shd w:fill="F2F6FA"/>
          </w:tcPr>
          <w:p>
            <w:pPr>
              <w:spacing w:after="0"/>
            </w:pPr>
            <w:r/>
            <w:r>
              <w:rPr>
                <w:b w:val="0"/>
                <w:color w:val="000000"/>
                <w:sz w:val="17"/>
              </w:rPr>
              <w:t>38,82%</w:t>
            </w:r>
          </w:p>
        </w:tc>
        <w:tc>
          <w:tcPr>
            <w:tcW w:type="dxa" w:w="4176"/>
            <w:vAlign w:val="center"/>
            <w:shd w:fill="F2F6FA"/>
          </w:tcPr>
          <w:p>
            <w:pPr>
              <w:spacing w:after="0"/>
            </w:pPr>
            <w:r/>
            <w:r>
              <w:rPr>
                <w:b w:val="0"/>
                <w:color w:val="000000"/>
                <w:sz w:val="17"/>
              </w:rPr>
              <w:t>86,65% resolvem; pode haver ambiguidade de diretório.</w:t>
            </w:r>
          </w:p>
        </w:tc>
      </w:tr>
      <w:tr>
        <w:tc>
          <w:tcPr>
            <w:tcW w:type="dxa" w:w="2880"/>
            <w:vAlign w:val="center"/>
          </w:tcPr>
          <w:p>
            <w:pPr>
              <w:spacing w:after="0"/>
            </w:pPr>
            <w:r/>
            <w:r>
              <w:rPr>
                <w:b w:val="0"/>
                <w:color w:val="000000"/>
                <w:sz w:val="17"/>
              </w:rPr>
              <w:t>Glob/padrão</w:t>
            </w:r>
          </w:p>
        </w:tc>
        <w:tc>
          <w:tcPr>
            <w:tcW w:type="dxa" w:w="3168"/>
            <w:vAlign w:val="center"/>
          </w:tcPr>
          <w:p>
            <w:pPr>
              <w:spacing w:after="0"/>
            </w:pPr>
            <w:r/>
            <w:r>
              <w:rPr>
                <w:b w:val="0"/>
                <w:color w:val="000000"/>
                <w:sz w:val="17"/>
              </w:rPr>
              <w:t>4,66%</w:t>
            </w:r>
          </w:p>
        </w:tc>
        <w:tc>
          <w:tcPr>
            <w:tcW w:type="dxa" w:w="4176"/>
            <w:vAlign w:val="center"/>
          </w:tcPr>
          <w:p>
            <w:pPr>
              <w:spacing w:after="0"/>
            </w:pPr>
            <w:r/>
            <w:r>
              <w:rPr>
                <w:b w:val="0"/>
                <w:color w:val="000000"/>
                <w:sz w:val="17"/>
              </w:rPr>
              <w:t>4,49% resolvem; frequentemente não é um arquivo literal.</w:t>
            </w:r>
          </w:p>
        </w:tc>
      </w:tr>
      <w:tr>
        <w:tc>
          <w:tcPr>
            <w:tcW w:type="dxa" w:w="2880"/>
            <w:vAlign w:val="center"/>
            <w:shd w:fill="F2F6FA"/>
          </w:tcPr>
          <w:p>
            <w:pPr>
              <w:spacing w:after="0"/>
            </w:pPr>
            <w:r/>
            <w:r>
              <w:rPr>
                <w:b w:val="0"/>
                <w:color w:val="000000"/>
                <w:sz w:val="17"/>
              </w:rPr>
              <w:t>Fragmento/extensão</w:t>
            </w:r>
          </w:p>
        </w:tc>
        <w:tc>
          <w:tcPr>
            <w:tcW w:type="dxa" w:w="3168"/>
            <w:vAlign w:val="center"/>
            <w:shd w:fill="F2F6FA"/>
          </w:tcPr>
          <w:p>
            <w:pPr>
              <w:spacing w:after="0"/>
            </w:pPr>
            <w:r/>
            <w:r>
              <w:rPr>
                <w:b w:val="0"/>
                <w:color w:val="000000"/>
                <w:sz w:val="17"/>
              </w:rPr>
              <w:t>2,36%</w:t>
            </w:r>
          </w:p>
        </w:tc>
        <w:tc>
          <w:tcPr>
            <w:tcW w:type="dxa" w:w="4176"/>
            <w:vAlign w:val="center"/>
            <w:shd w:fill="F2F6FA"/>
          </w:tcPr>
          <w:p>
            <w:pPr>
              <w:spacing w:after="0"/>
            </w:pPr>
            <w:r/>
            <w:r>
              <w:rPr>
                <w:b w:val="0"/>
                <w:color w:val="000000"/>
                <w:sz w:val="17"/>
              </w:rPr>
              <w:t>0% resolvem; forte candidato a não-arquivo ou placeholder.</w:t>
            </w:r>
          </w:p>
        </w:tc>
      </w:tr>
    </w:tbl>
    <w:p>
      <w:pPr>
        <w:spacing w:after="20"/>
      </w:pPr>
    </w:p>
    <w:p>
      <w:r>
        <w:t>Essa análise motivou a taxonomia semântica: a forma textual é um sinal auxiliar, não um rótulo automático suficiente.</w:t>
      </w:r>
    </w:p>
    <w:p>
      <w:pPr>
        <w:pStyle w:val="Heading1"/>
      </w:pPr>
      <w:r>
        <w:t>6. Problema de validade de constructo identificado</w:t>
      </w:r>
    </w:p>
    <w:p>
      <w:r>
        <w:t>A investigação mudou de direção após a inspeção de exemplos. Uma referência ausente pode estar correta no processo de desenvolvimento. Por exemplo, um item aberto que pede criar um novo arquivo deve apontar para algo que ainda não existe; um item que pede remover uma implementação pode apontar para um caminho que corretamente desapareceu. Também há referências que não são arquivos locais.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vAlign w:val="center"/>
            <w:shd w:fill="1F4E79"/>
          </w:tcPr>
          <w:p>
            <w:pPr>
              <w:spacing w:after="0"/>
            </w:pPr>
            <w:r/>
            <w:r>
              <w:rPr>
                <w:b/>
                <w:color w:val="FFFFFF"/>
                <w:sz w:val="17"/>
              </w:rPr>
              <w:t>Categoria proposta</w:t>
            </w:r>
          </w:p>
        </w:tc>
        <w:tc>
          <w:tcPr>
            <w:tcW w:type="dxa" w:w="4464"/>
            <w:vAlign w:val="center"/>
            <w:shd w:fill="1F4E79"/>
          </w:tcPr>
          <w:p>
            <w:pPr>
              <w:spacing w:after="0"/>
            </w:pPr>
            <w:r/>
            <w:r>
              <w:rPr>
                <w:b/>
                <w:color w:val="FFFFFF"/>
                <w:sz w:val="17"/>
              </w:rPr>
              <w:t>Critério operacional</w:t>
            </w:r>
          </w:p>
        </w:tc>
        <w:tc>
          <w:tcPr>
            <w:tcW w:type="dxa" w:w="3384"/>
            <w:vAlign w:val="center"/>
            <w:shd w:fill="1F4E79"/>
          </w:tcPr>
          <w:p>
            <w:pPr>
              <w:spacing w:after="0"/>
            </w:pPr>
            <w:r/>
            <w:r>
              <w:rPr>
                <w:b/>
                <w:color w:val="FFFFFF"/>
                <w:sz w:val="17"/>
              </w:rPr>
              <w:t>Exemplo de situação</w:t>
            </w:r>
          </w:p>
        </w:tc>
      </w:tr>
      <w:tr>
        <w:tc>
          <w:tcPr>
            <w:tcW w:type="dxa" w:w="2376"/>
            <w:vAlign w:val="center"/>
          </w:tcPr>
          <w:p>
            <w:pPr>
              <w:spacing w:after="0"/>
            </w:pPr>
            <w:r/>
            <w:r>
              <w:rPr>
                <w:b w:val="0"/>
                <w:color w:val="000000"/>
                <w:sz w:val="17"/>
              </w:rPr>
              <w:t>confirmed_exists</w:t>
            </w:r>
          </w:p>
        </w:tc>
        <w:tc>
          <w:tcPr>
            <w:tcW w:type="dxa" w:w="4464"/>
            <w:vAlign w:val="center"/>
          </w:tcPr>
          <w:p>
            <w:pPr>
              <w:spacing w:after="0"/>
            </w:pPr>
            <w:r/>
            <w:r>
              <w:rPr>
                <w:b w:val="0"/>
                <w:color w:val="000000"/>
                <w:sz w:val="17"/>
              </w:rPr>
              <w:t>O caminho local existe no commit verificável.</w:t>
            </w:r>
          </w:p>
        </w:tc>
        <w:tc>
          <w:tcPr>
            <w:tcW w:type="dxa" w:w="3384"/>
            <w:vAlign w:val="center"/>
          </w:tcPr>
          <w:p>
            <w:pPr>
              <w:spacing w:after="0"/>
            </w:pPr>
            <w:r/>
            <w:r>
              <w:rPr>
                <w:b w:val="0"/>
                <w:color w:val="000000"/>
                <w:sz w:val="17"/>
              </w:rPr>
              <w:t>TripDetailUiState.kt está presente e contém o campo esperado.</w:t>
            </w:r>
          </w:p>
        </w:tc>
      </w:tr>
      <w:tr>
        <w:tc>
          <w:tcPr>
            <w:tcW w:type="dxa" w:w="2376"/>
            <w:vAlign w:val="center"/>
            <w:shd w:fill="F2F6FA"/>
          </w:tcPr>
          <w:p>
            <w:pPr>
              <w:spacing w:after="0"/>
            </w:pPr>
            <w:r/>
            <w:r>
              <w:rPr>
                <w:b w:val="0"/>
                <w:color w:val="000000"/>
                <w:sz w:val="17"/>
              </w:rPr>
              <w:t>confirmed_missing_problematic</w:t>
            </w:r>
          </w:p>
        </w:tc>
        <w:tc>
          <w:tcPr>
            <w:tcW w:type="dxa" w:w="4464"/>
            <w:vAlign w:val="center"/>
            <w:shd w:fill="F2F6FA"/>
          </w:tcPr>
          <w:p>
            <w:pPr>
              <w:spacing w:after="0"/>
            </w:pPr>
            <w:r/>
            <w:r>
              <w:rPr>
                <w:b w:val="0"/>
                <w:color w:val="000000"/>
                <w:sz w:val="17"/>
              </w:rPr>
              <w:t>É um caminho local, deveria existir no contexto e não há explicação de criação/movimento/remoção.</w:t>
            </w:r>
          </w:p>
        </w:tc>
        <w:tc>
          <w:tcPr>
            <w:tcW w:type="dxa" w:w="3384"/>
            <w:vAlign w:val="center"/>
            <w:shd w:fill="F2F6FA"/>
          </w:tcPr>
          <w:p>
            <w:pPr>
              <w:spacing w:after="0"/>
            </w:pPr>
            <w:r/>
            <w:r>
              <w:rPr>
                <w:b w:val="0"/>
                <w:color w:val="000000"/>
                <w:sz w:val="17"/>
              </w:rPr>
              <w:t>Teste concluído com caminho específico, mas a página do commit não o encontra.</w:t>
            </w:r>
          </w:p>
        </w:tc>
      </w:tr>
      <w:tr>
        <w:tc>
          <w:tcPr>
            <w:tcW w:type="dxa" w:w="2376"/>
            <w:vAlign w:val="center"/>
          </w:tcPr>
          <w:p>
            <w:pPr>
              <w:spacing w:after="0"/>
            </w:pPr>
            <w:r/>
            <w:r>
              <w:rPr>
                <w:b w:val="0"/>
                <w:color w:val="000000"/>
                <w:sz w:val="17"/>
              </w:rPr>
              <w:t>expected_absence_create</w:t>
            </w:r>
          </w:p>
        </w:tc>
        <w:tc>
          <w:tcPr>
            <w:tcW w:type="dxa" w:w="4464"/>
            <w:vAlign w:val="center"/>
          </w:tcPr>
          <w:p>
            <w:pPr>
              <w:spacing w:after="0"/>
            </w:pPr>
            <w:r/>
            <w:r>
              <w:rPr>
                <w:b w:val="0"/>
                <w:color w:val="000000"/>
                <w:sz w:val="17"/>
              </w:rPr>
              <w:t>A tarefa aberta pede explicitamente criar/adicionar o arquivo.</w:t>
            </w:r>
          </w:p>
        </w:tc>
        <w:tc>
          <w:tcPr>
            <w:tcW w:type="dxa" w:w="3384"/>
            <w:vAlign w:val="center"/>
          </w:tcPr>
          <w:p>
            <w:pPr>
              <w:spacing w:after="0"/>
            </w:pPr>
            <w:r/>
            <w:r>
              <w:rPr>
                <w:b w:val="0"/>
                <w:color w:val="000000"/>
                <w:sz w:val="17"/>
              </w:rPr>
              <w:t>goap-planner-service.ts em tarefa de criação ainda não concluída.</w:t>
            </w:r>
          </w:p>
        </w:tc>
      </w:tr>
      <w:tr>
        <w:tc>
          <w:tcPr>
            <w:tcW w:type="dxa" w:w="2376"/>
            <w:vAlign w:val="center"/>
            <w:shd w:fill="F2F6FA"/>
          </w:tcPr>
          <w:p>
            <w:pPr>
              <w:spacing w:after="0"/>
            </w:pPr>
            <w:r/>
            <w:r>
              <w:rPr>
                <w:b w:val="0"/>
                <w:color w:val="000000"/>
                <w:sz w:val="17"/>
              </w:rPr>
              <w:t>expected_absence_move_or_delete</w:t>
            </w:r>
          </w:p>
        </w:tc>
        <w:tc>
          <w:tcPr>
            <w:tcW w:type="dxa" w:w="4464"/>
            <w:vAlign w:val="center"/>
            <w:shd w:fill="F2F6FA"/>
          </w:tcPr>
          <w:p>
            <w:pPr>
              <w:spacing w:after="0"/>
            </w:pPr>
            <w:r/>
            <w:r>
              <w:rPr>
                <w:b w:val="0"/>
                <w:color w:val="000000"/>
                <w:sz w:val="17"/>
              </w:rPr>
              <w:t>A tarefa pede remover, mover, renomear ou substituir.</w:t>
            </w:r>
          </w:p>
        </w:tc>
        <w:tc>
          <w:tcPr>
            <w:tcW w:type="dxa" w:w="3384"/>
            <w:vAlign w:val="center"/>
            <w:shd w:fill="F2F6FA"/>
          </w:tcPr>
          <w:p>
            <w:pPr>
              <w:spacing w:after="0"/>
            </w:pPr>
            <w:r/>
            <w:r>
              <w:rPr>
                <w:b w:val="0"/>
                <w:color w:val="000000"/>
                <w:sz w:val="17"/>
              </w:rPr>
              <w:t>puzzles/fifteen.c em item concluído que registra sua remoção.</w:t>
            </w:r>
          </w:p>
        </w:tc>
      </w:tr>
      <w:tr>
        <w:tc>
          <w:tcPr>
            <w:tcW w:type="dxa" w:w="2376"/>
            <w:vAlign w:val="center"/>
          </w:tcPr>
          <w:p>
            <w:pPr>
              <w:spacing w:after="0"/>
            </w:pPr>
            <w:r/>
            <w:r>
              <w:rPr>
                <w:b w:val="0"/>
                <w:color w:val="000000"/>
                <w:sz w:val="17"/>
              </w:rPr>
              <w:t>non_file_reference</w:t>
            </w:r>
          </w:p>
        </w:tc>
        <w:tc>
          <w:tcPr>
            <w:tcW w:type="dxa" w:w="4464"/>
            <w:vAlign w:val="center"/>
          </w:tcPr>
          <w:p>
            <w:pPr>
              <w:spacing w:after="0"/>
            </w:pPr>
            <w:r/>
            <w:r>
              <w:rPr>
                <w:b w:val="0"/>
                <w:color w:val="000000"/>
                <w:sz w:val="17"/>
              </w:rPr>
              <w:t>Biblioteca, recurso externo, glob, extensão, placeholder ou exemplo documental.</w:t>
            </w:r>
          </w:p>
        </w:tc>
        <w:tc>
          <w:tcPr>
            <w:tcW w:type="dxa" w:w="3384"/>
            <w:vAlign w:val="center"/>
          </w:tcPr>
          <w:p>
            <w:pPr>
              <w:spacing w:after="0"/>
            </w:pPr>
            <w:r/>
            <w:r>
              <w:rPr>
                <w:b w:val="0"/>
                <w:color w:val="000000"/>
                <w:sz w:val="17"/>
              </w:rPr>
              <w:t>chart.js via CDN ou analytics/*.test.tsx.</w:t>
            </w:r>
          </w:p>
        </w:tc>
      </w:tr>
      <w:tr>
        <w:tc>
          <w:tcPr>
            <w:tcW w:type="dxa" w:w="2376"/>
            <w:vAlign w:val="center"/>
            <w:shd w:fill="F2F6FA"/>
          </w:tcPr>
          <w:p>
            <w:pPr>
              <w:spacing w:after="0"/>
            </w:pPr>
            <w:r/>
            <w:r>
              <w:rPr>
                <w:b w:val="0"/>
                <w:color w:val="000000"/>
                <w:sz w:val="17"/>
              </w:rPr>
              <w:t>ambiguous_reference</w:t>
            </w:r>
          </w:p>
        </w:tc>
        <w:tc>
          <w:tcPr>
            <w:tcW w:type="dxa" w:w="4464"/>
            <w:vAlign w:val="center"/>
            <w:shd w:fill="F2F6FA"/>
          </w:tcPr>
          <w:p>
            <w:pPr>
              <w:spacing w:after="0"/>
            </w:pPr>
            <w:r/>
            <w:r>
              <w:rPr>
                <w:b w:val="0"/>
                <w:color w:val="000000"/>
                <w:sz w:val="17"/>
              </w:rPr>
              <w:t>Não há contexto suficiente para decidir com segurança.</w:t>
            </w:r>
          </w:p>
        </w:tc>
        <w:tc>
          <w:tcPr>
            <w:tcW w:type="dxa" w:w="3384"/>
            <w:vAlign w:val="center"/>
            <w:shd w:fill="F2F6FA"/>
          </w:tcPr>
          <w:p>
            <w:pPr>
              <w:spacing w:after="0"/>
            </w:pPr>
            <w:r/>
            <w:r>
              <w:rPr>
                <w:b w:val="0"/>
                <w:color w:val="000000"/>
                <w:sz w:val="17"/>
              </w:rPr>
              <w:t>Nome curto sem diretório e sem informação sobre a intenção.</w:t>
            </w:r>
          </w:p>
        </w:tc>
      </w:tr>
      <w:tr>
        <w:tc>
          <w:tcPr>
            <w:tcW w:type="dxa" w:w="2376"/>
            <w:vAlign w:val="center"/>
          </w:tcPr>
          <w:p>
            <w:pPr>
              <w:spacing w:after="0"/>
            </w:pPr>
            <w:r/>
            <w:r>
              <w:rPr>
                <w:b w:val="0"/>
                <w:color w:val="000000"/>
                <w:sz w:val="17"/>
              </w:rPr>
              <w:t>inaccessible_or_invalid</w:t>
            </w:r>
          </w:p>
        </w:tc>
        <w:tc>
          <w:tcPr>
            <w:tcW w:type="dxa" w:w="4464"/>
            <w:vAlign w:val="center"/>
          </w:tcPr>
          <w:p>
            <w:pPr>
              <w:spacing w:after="0"/>
            </w:pPr>
            <w:r/>
            <w:r>
              <w:rPr>
                <w:b w:val="0"/>
                <w:color w:val="000000"/>
                <w:sz w:val="17"/>
              </w:rPr>
              <w:t>Commit, repositório ou caminho não pode ser verificado.</w:t>
            </w:r>
          </w:p>
        </w:tc>
        <w:tc>
          <w:tcPr>
            <w:tcW w:type="dxa" w:w="3384"/>
            <w:vAlign w:val="center"/>
          </w:tcPr>
          <w:p>
            <w:pPr>
              <w:spacing w:after="0"/>
            </w:pPr>
            <w:r/>
            <w:r>
              <w:rPr>
                <w:b w:val="0"/>
                <w:color w:val="000000"/>
                <w:sz w:val="17"/>
              </w:rPr>
              <w:t>URL 404 sem evidência alternativa suficiente.</w:t>
            </w:r>
          </w:p>
        </w:tc>
      </w:tr>
    </w:tbl>
    <w:p>
      <w:pPr>
        <w:spacing w:after="20"/>
      </w:pPr>
    </w:p>
    <w:p>
      <w:pPr>
        <w:spacing w:after="100"/>
      </w:pPr>
      <w:r>
        <w:rPr>
          <w:b/>
          <w:color w:val="1F4E79"/>
        </w:rPr>
        <w:t xml:space="preserve">Ponto metodológico: </w:t>
      </w:r>
      <w:r>
        <w:t>a taxonomia precisa ser congelada antes da análise confirmatória; as decisões feitas em exemplos discutidos não devem ser reutilizadas como amostra cega.</w:t>
      </w:r>
    </w:p>
    <w:p>
      <w:pPr>
        <w:pStyle w:val="Heading1"/>
      </w:pPr>
      <w:r>
        <w:t>7. Validação humana assistida por LLM</w:t>
      </w:r>
    </w:p>
    <w:p>
      <w:r>
        <w:t>A proposta atual não é pedir que uma LLM substitua a avaliação humana. A LLM produz uma classificação proposta e uma justificativa estruturada; o humano confirma ou corrige. O objetivo é tornar viável a leitura de muitos casos sem transformar a saída do modelo em ground truth automático.</w:t>
      </w:r>
    </w:p>
    <w:p>
      <w:pPr>
        <w:pStyle w:val="ListNumber"/>
        <w:spacing w:after="60"/>
      </w:pPr>
      <w:r>
        <w:t>Congelar a taxonomia, o prompt, a versão do modelo e as regras de decisão.</w:t>
      </w:r>
    </w:p>
    <w:p>
      <w:pPr>
        <w:pStyle w:val="ListNumber"/>
        <w:spacing w:after="60"/>
      </w:pPr>
      <w:r>
        <w:t>Executar o LLM sobre uma amostra confirmatória nova, composta por 90 casos em inglês: 30 aberta + ausente, 30 concluída + ausente e 30 concluída + existe.</w:t>
      </w:r>
    </w:p>
    <w:p>
      <w:pPr>
        <w:pStyle w:val="ListNumber"/>
        <w:spacing w:after="60"/>
      </w:pPr>
      <w:r>
        <w:t>Manter cerca de 30 casos como subconjunto cego: o avaliador humano recebe o contexto e as URLs, mas não vê a proposta da LLM.</w:t>
      </w:r>
    </w:p>
    <w:p>
      <w:pPr>
        <w:pStyle w:val="ListNumber"/>
        <w:spacing w:after="60"/>
      </w:pPr>
      <w:r>
        <w:t>Usar os 60 casos restantes como validação assistida: o humano vê a proposta, a nota de evidência e registra confirmação ou correção.</w:t>
      </w:r>
    </w:p>
    <w:p>
      <w:pPr>
        <w:pStyle w:val="ListNumber"/>
        <w:spacing w:after="60"/>
      </w:pPr>
      <w:r>
        <w:t>Comparar a amostra cega por matriz de confusão, concordância por categoria e erros críticos; reportar separadamente a taxa de correção na parte assistida.</w:t>
      </w:r>
    </w:p>
    <w:p>
      <w:pPr>
        <w:pStyle w:val="ListNumber"/>
        <w:spacing w:after="60"/>
      </w:pPr>
      <w:r>
        <w:t>Somente após calibração aceitável, classificar a população maior de referências não resolvidas e reportar o resultado como estimativa assistida por LLM calibrada por revisão humana.</w:t>
      </w:r>
    </w:p>
    <w:p>
      <w:r>
        <w:t>A amostra foi restringida ao inglês porque a avaliação sem compreensão do texto original introduziria erro de medição. Essa decisão melhora a validade da calibração, mas limita a generalização: uma aplicação posterior a todo o corpus multilíngue exigirá um tratamento linguístico explícito ou uma ressalva de escopo.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9"/>
          </w:tcPr>
          <w:p>
            <w:pPr>
              <w:spacing w:after="0"/>
            </w:pPr>
            <w:r/>
            <w:r>
              <w:rPr>
                <w:b/>
                <w:color w:val="FFFFFF"/>
                <w:sz w:val="17"/>
              </w:rPr>
              <w:t>Instrumento</w:t>
            </w:r>
          </w:p>
        </w:tc>
        <w:tc>
          <w:tcPr>
            <w:tcW w:type="dxa" w:w="7056"/>
            <w:vAlign w:val="center"/>
            <w:shd w:fill="1F4E79"/>
          </w:tcPr>
          <w:p>
            <w:pPr>
              <w:spacing w:after="0"/>
            </w:pPr>
            <w:r/>
            <w:r>
              <w:rPr>
                <w:b/>
                <w:color w:val="FFFFFF"/>
                <w:sz w:val="17"/>
              </w:rPr>
              <w:t>Situação atual</w:t>
            </w:r>
          </w:p>
        </w:tc>
      </w:tr>
      <w:tr>
        <w:tc>
          <w:tcPr>
            <w:tcW w:type="dxa" w:w="3168"/>
            <w:vAlign w:val="center"/>
          </w:tcPr>
          <w:p>
            <w:pPr>
              <w:spacing w:after="0"/>
            </w:pPr>
            <w:r/>
            <w:r>
              <w:rPr>
                <w:b w:val="0"/>
                <w:color w:val="000000"/>
                <w:sz w:val="17"/>
              </w:rPr>
              <w:t>Prompt estruturado</w:t>
            </w:r>
          </w:p>
        </w:tc>
        <w:tc>
          <w:tcPr>
            <w:tcW w:type="dxa" w:w="7056"/>
            <w:vAlign w:val="center"/>
          </w:tcPr>
          <w:p>
            <w:pPr>
              <w:spacing w:after="0"/>
            </w:pPr>
            <w:r/>
            <w:r>
              <w:rPr>
                <w:b w:val="0"/>
                <w:color w:val="000000"/>
                <w:sz w:val="17"/>
              </w:rPr>
              <w:t>Preparado e congelável; prevê sete categorias e regra de dúvida como ambiguidade.</w:t>
            </w:r>
          </w:p>
        </w:tc>
      </w:tr>
      <w:tr>
        <w:tc>
          <w:tcPr>
            <w:tcW w:type="dxa" w:w="3168"/>
            <w:vAlign w:val="center"/>
            <w:shd w:fill="F2F6FA"/>
          </w:tcPr>
          <w:p>
            <w:pPr>
              <w:spacing w:after="0"/>
            </w:pPr>
            <w:r/>
            <w:r>
              <w:rPr>
                <w:b w:val="0"/>
                <w:color w:val="000000"/>
                <w:sz w:val="17"/>
              </w:rPr>
              <w:t>Planilha confirmatória</w:t>
            </w:r>
          </w:p>
        </w:tc>
        <w:tc>
          <w:tcPr>
            <w:tcW w:type="dxa" w:w="7056"/>
            <w:vAlign w:val="center"/>
            <w:shd w:fill="F2F6FA"/>
          </w:tcPr>
          <w:p>
            <w:pPr>
              <w:spacing w:after="0"/>
            </w:pPr>
            <w:r/>
            <w:r>
              <w:rPr>
                <w:b w:val="0"/>
                <w:color w:val="000000"/>
                <w:sz w:val="17"/>
              </w:rPr>
              <w:t>Gerada em XLSX com abas Review e Guide, URLs, dropdown de classificação e campos editáveis.</w:t>
            </w:r>
          </w:p>
        </w:tc>
      </w:tr>
      <w:tr>
        <w:tc>
          <w:tcPr>
            <w:tcW w:type="dxa" w:w="3168"/>
            <w:vAlign w:val="center"/>
          </w:tcPr>
          <w:p>
            <w:pPr>
              <w:spacing w:after="0"/>
            </w:pPr>
            <w:r/>
            <w:r>
              <w:rPr>
                <w:b w:val="0"/>
                <w:color w:val="000000"/>
                <w:sz w:val="17"/>
              </w:rPr>
              <w:t>Amostra inglesa</w:t>
            </w:r>
          </w:p>
        </w:tc>
        <w:tc>
          <w:tcPr>
            <w:tcW w:type="dxa" w:w="7056"/>
            <w:vAlign w:val="center"/>
          </w:tcPr>
          <w:p>
            <w:pPr>
              <w:spacing w:after="0"/>
            </w:pPr>
            <w:r/>
            <w:r>
              <w:rPr>
                <w:b w:val="0"/>
                <w:color w:val="000000"/>
                <w:sz w:val="17"/>
              </w:rPr>
              <w:t>90 casos; 30 por estrato; sem sobreposição com o piloto.</w:t>
            </w:r>
          </w:p>
        </w:tc>
      </w:tr>
      <w:tr>
        <w:tc>
          <w:tcPr>
            <w:tcW w:type="dxa" w:w="3168"/>
            <w:vAlign w:val="center"/>
            <w:shd w:fill="F2F6FA"/>
          </w:tcPr>
          <w:p>
            <w:pPr>
              <w:spacing w:after="0"/>
            </w:pPr>
            <w:r/>
            <w:r>
              <w:rPr>
                <w:b w:val="0"/>
                <w:color w:val="000000"/>
                <w:sz w:val="17"/>
              </w:rPr>
              <w:t>Rótulos humanos</w:t>
            </w:r>
          </w:p>
        </w:tc>
        <w:tc>
          <w:tcPr>
            <w:tcW w:type="dxa" w:w="7056"/>
            <w:vAlign w:val="center"/>
            <w:shd w:fill="F2F6FA"/>
          </w:tcPr>
          <w:p>
            <w:pPr>
              <w:spacing w:after="0"/>
            </w:pPr>
            <w:r/>
            <w:r>
              <w:rPr>
                <w:b w:val="0"/>
                <w:color w:val="000000"/>
                <w:sz w:val="17"/>
              </w:rPr>
              <w:t>Ainda não preenchidos; esta é a principal atividade pendente.</w:t>
            </w:r>
          </w:p>
        </w:tc>
      </w:tr>
      <w:tr>
        <w:tc>
          <w:tcPr>
            <w:tcW w:type="dxa" w:w="3168"/>
            <w:vAlign w:val="center"/>
          </w:tcPr>
          <w:p>
            <w:pPr>
              <w:spacing w:after="0"/>
            </w:pPr>
            <w:r/>
            <w:r>
              <w:rPr>
                <w:b w:val="0"/>
                <w:color w:val="000000"/>
                <w:sz w:val="17"/>
              </w:rPr>
              <w:t>Rótulos finais LLM</w:t>
            </w:r>
          </w:p>
        </w:tc>
        <w:tc>
          <w:tcPr>
            <w:tcW w:type="dxa" w:w="7056"/>
            <w:vAlign w:val="center"/>
          </w:tcPr>
          <w:p>
            <w:pPr>
              <w:spacing w:after="0"/>
            </w:pPr>
            <w:r/>
            <w:r>
              <w:rPr>
                <w:b w:val="0"/>
                <w:color w:val="000000"/>
                <w:sz w:val="17"/>
              </w:rPr>
              <w:t>Ainda não executados na amostra confirmatória.</w:t>
            </w:r>
          </w:p>
        </w:tc>
      </w:tr>
    </w:tbl>
    <w:p>
      <w:pPr>
        <w:spacing w:after="20"/>
      </w:pPr>
    </w:p>
    <w:p>
      <w:pPr>
        <w:pStyle w:val="Heading1"/>
      </w:pPr>
      <w:r>
        <w:t>8. Riscos, limitações e decisões para orientação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F4E79"/>
          </w:tcPr>
          <w:p>
            <w:pPr>
              <w:spacing w:after="0"/>
            </w:pPr>
            <w:r/>
            <w:r>
              <w:rPr>
                <w:b/>
                <w:color w:val="FFFFFF"/>
                <w:sz w:val="17"/>
              </w:rPr>
              <w:t>Risco</w:t>
            </w:r>
          </w:p>
        </w:tc>
        <w:tc>
          <w:tcPr>
            <w:tcW w:type="dxa" w:w="4320"/>
            <w:vAlign w:val="center"/>
            <w:shd w:fill="1F4E79"/>
          </w:tcPr>
          <w:p>
            <w:pPr>
              <w:spacing w:after="0"/>
            </w:pPr>
            <w:r/>
            <w:r>
              <w:rPr>
                <w:b/>
                <w:color w:val="FFFFFF"/>
                <w:sz w:val="17"/>
              </w:rPr>
              <w:t>Como está sendo tratado</w:t>
            </w:r>
          </w:p>
        </w:tc>
        <w:tc>
          <w:tcPr>
            <w:tcW w:type="dxa" w:w="3672"/>
            <w:vAlign w:val="center"/>
            <w:shd w:fill="1F4E79"/>
          </w:tcPr>
          <w:p>
            <w:pPr>
              <w:spacing w:after="0"/>
            </w:pPr>
            <w:r/>
            <w:r>
              <w:rPr>
                <w:b/>
                <w:color w:val="FFFFFF"/>
                <w:sz w:val="17"/>
              </w:rPr>
              <w:t>Decisão a discutir</w:t>
            </w:r>
          </w:p>
        </w:tc>
      </w:tr>
      <w:tr>
        <w:tc>
          <w:tcPr>
            <w:tcW w:type="dxa" w:w="2232"/>
            <w:vAlign w:val="center"/>
          </w:tcPr>
          <w:p>
            <w:pPr>
              <w:spacing w:after="0"/>
            </w:pPr>
            <w:r/>
            <w:r>
              <w:rPr>
                <w:b w:val="0"/>
                <w:color w:val="000000"/>
                <w:sz w:val="17"/>
              </w:rPr>
              <w:t>Ausência literal não equivale a defeito</w:t>
            </w:r>
          </w:p>
        </w:tc>
        <w:tc>
          <w:tcPr>
            <w:tcW w:type="dxa" w:w="4320"/>
            <w:vAlign w:val="center"/>
          </w:tcPr>
          <w:p>
            <w:pPr>
              <w:spacing w:after="0"/>
            </w:pPr>
            <w:r/>
            <w:r>
              <w:rPr>
                <w:b w:val="0"/>
                <w:color w:val="000000"/>
                <w:sz w:val="17"/>
              </w:rPr>
              <w:t>Taxonomia semântica e amostra de validação.</w:t>
            </w:r>
          </w:p>
        </w:tc>
        <w:tc>
          <w:tcPr>
            <w:tcW w:type="dxa" w:w="3672"/>
            <w:vAlign w:val="center"/>
          </w:tcPr>
          <w:p>
            <w:pPr>
              <w:spacing w:after="0"/>
            </w:pPr>
            <w:r/>
            <w:r>
              <w:rPr>
                <w:b w:val="0"/>
                <w:color w:val="000000"/>
                <w:sz w:val="17"/>
              </w:rPr>
              <w:t>Aprovar o constructo como fricção/triagem, sem claim causal.</w:t>
            </w:r>
          </w:p>
        </w:tc>
      </w:tr>
      <w:tr>
        <w:tc>
          <w:tcPr>
            <w:tcW w:type="dxa" w:w="2232"/>
            <w:vAlign w:val="center"/>
            <w:shd w:fill="F2F6FA"/>
          </w:tcPr>
          <w:p>
            <w:pPr>
              <w:spacing w:after="0"/>
            </w:pPr>
            <w:r/>
            <w:r>
              <w:rPr>
                <w:b w:val="0"/>
                <w:color w:val="000000"/>
                <w:sz w:val="17"/>
              </w:rPr>
              <w:t>Automação pode induzir o humano</w:t>
            </w:r>
          </w:p>
        </w:tc>
        <w:tc>
          <w:tcPr>
            <w:tcW w:type="dxa" w:w="4320"/>
            <w:vAlign w:val="center"/>
            <w:shd w:fill="F2F6FA"/>
          </w:tcPr>
          <w:p>
            <w:pPr>
              <w:spacing w:after="0"/>
            </w:pPr>
            <w:r/>
            <w:r>
              <w:rPr>
                <w:b w:val="0"/>
                <w:color w:val="000000"/>
                <w:sz w:val="17"/>
              </w:rPr>
              <w:t>Subamostra cega e separação entre concordância e correção assistida.</w:t>
            </w:r>
          </w:p>
        </w:tc>
        <w:tc>
          <w:tcPr>
            <w:tcW w:type="dxa" w:w="3672"/>
            <w:vAlign w:val="center"/>
            <w:shd w:fill="F2F6FA"/>
          </w:tcPr>
          <w:p>
            <w:pPr>
              <w:spacing w:after="0"/>
            </w:pPr>
            <w:r/>
            <w:r>
              <w:rPr>
                <w:b w:val="0"/>
                <w:color w:val="000000"/>
                <w:sz w:val="17"/>
              </w:rPr>
              <w:t>Definir tamanho do blind e, se possível, segundo avaliador para uma fração.</w:t>
            </w:r>
          </w:p>
        </w:tc>
      </w:tr>
      <w:tr>
        <w:tc>
          <w:tcPr>
            <w:tcW w:type="dxa" w:w="2232"/>
            <w:vAlign w:val="center"/>
          </w:tcPr>
          <w:p>
            <w:pPr>
              <w:spacing w:after="0"/>
            </w:pPr>
            <w:r/>
            <w:r>
              <w:rPr>
                <w:b w:val="0"/>
                <w:color w:val="000000"/>
                <w:sz w:val="17"/>
              </w:rPr>
              <w:t>Multilinguismo</w:t>
            </w:r>
          </w:p>
        </w:tc>
        <w:tc>
          <w:tcPr>
            <w:tcW w:type="dxa" w:w="4320"/>
            <w:vAlign w:val="center"/>
          </w:tcPr>
          <w:p>
            <w:pPr>
              <w:spacing w:after="0"/>
            </w:pPr>
            <w:r/>
            <w:r>
              <w:rPr>
                <w:b w:val="0"/>
                <w:color w:val="000000"/>
                <w:sz w:val="17"/>
              </w:rPr>
              <w:t>Amostra confirmatória em inglês.</w:t>
            </w:r>
          </w:p>
        </w:tc>
        <w:tc>
          <w:tcPr>
            <w:tcW w:type="dxa" w:w="3672"/>
            <w:vAlign w:val="center"/>
          </w:tcPr>
          <w:p>
            <w:pPr>
              <w:spacing w:after="0"/>
            </w:pPr>
            <w:r/>
            <w:r>
              <w:rPr>
                <w:b w:val="0"/>
                <w:color w:val="000000"/>
                <w:sz w:val="17"/>
              </w:rPr>
              <w:t>Decidir se o paper limita a calibração ao inglês ou inclui tradução/modelo multilíngue.</w:t>
            </w:r>
          </w:p>
        </w:tc>
      </w:tr>
      <w:tr>
        <w:tc>
          <w:tcPr>
            <w:tcW w:type="dxa" w:w="2232"/>
            <w:vAlign w:val="center"/>
            <w:shd w:fill="F2F6FA"/>
          </w:tcPr>
          <w:p>
            <w:pPr>
              <w:spacing w:after="0"/>
            </w:pPr>
            <w:r/>
            <w:r>
              <w:rPr>
                <w:b w:val="0"/>
                <w:color w:val="000000"/>
                <w:sz w:val="17"/>
              </w:rPr>
              <w:t>404 e histórico incompleto</w:t>
            </w:r>
          </w:p>
        </w:tc>
        <w:tc>
          <w:tcPr>
            <w:tcW w:type="dxa" w:w="4320"/>
            <w:vAlign w:val="center"/>
            <w:shd w:fill="F2F6FA"/>
          </w:tcPr>
          <w:p>
            <w:pPr>
              <w:spacing w:after="0"/>
            </w:pPr>
            <w:r/>
            <w:r>
              <w:rPr>
                <w:b w:val="0"/>
                <w:color w:val="000000"/>
                <w:sz w:val="17"/>
              </w:rPr>
              <w:t>Categoria inaccessible_or_invalid e registro de problemas de acesso.</w:t>
            </w:r>
          </w:p>
        </w:tc>
        <w:tc>
          <w:tcPr>
            <w:tcW w:type="dxa" w:w="3672"/>
            <w:vAlign w:val="center"/>
            <w:shd w:fill="F2F6FA"/>
          </w:tcPr>
          <w:p>
            <w:pPr>
              <w:spacing w:after="0"/>
            </w:pPr>
            <w:r/>
            <w:r>
              <w:rPr>
                <w:b w:val="0"/>
                <w:color w:val="000000"/>
                <w:sz w:val="17"/>
              </w:rPr>
              <w:t>Definir regra de exclusão e análise de sensibilidade.</w:t>
            </w:r>
          </w:p>
        </w:tc>
      </w:tr>
      <w:tr>
        <w:tc>
          <w:tcPr>
            <w:tcW w:type="dxa" w:w="2232"/>
            <w:vAlign w:val="center"/>
          </w:tcPr>
          <w:p>
            <w:pPr>
              <w:spacing w:after="0"/>
            </w:pPr>
            <w:r/>
            <w:r>
              <w:rPr>
                <w:b w:val="0"/>
                <w:color w:val="000000"/>
                <w:sz w:val="17"/>
              </w:rPr>
              <w:t>Concentração em repositórios</w:t>
            </w:r>
          </w:p>
        </w:tc>
        <w:tc>
          <w:tcPr>
            <w:tcW w:type="dxa" w:w="4320"/>
            <w:vAlign w:val="center"/>
          </w:tcPr>
          <w:p>
            <w:pPr>
              <w:spacing w:after="0"/>
            </w:pPr>
            <w:r/>
            <w:r>
              <w:rPr>
                <w:b w:val="0"/>
                <w:color w:val="000000"/>
                <w:sz w:val="17"/>
              </w:rPr>
              <w:t>Agrupamento por repo e remoção dos 50 maiores como robustez.</w:t>
            </w:r>
          </w:p>
        </w:tc>
        <w:tc>
          <w:tcPr>
            <w:tcW w:type="dxa" w:w="3672"/>
            <w:vAlign w:val="center"/>
          </w:tcPr>
          <w:p>
            <w:pPr>
              <w:spacing w:after="0"/>
            </w:pPr>
            <w:r/>
            <w:r>
              <w:rPr>
                <w:b w:val="0"/>
                <w:color w:val="000000"/>
                <w:sz w:val="17"/>
              </w:rPr>
              <w:t>Manter ambos os resultados no paper.</w:t>
            </w:r>
          </w:p>
        </w:tc>
      </w:tr>
      <w:tr>
        <w:tc>
          <w:tcPr>
            <w:tcW w:type="dxa" w:w="2232"/>
            <w:vAlign w:val="center"/>
            <w:shd w:fill="F2F6FA"/>
          </w:tcPr>
          <w:p>
            <w:pPr>
              <w:spacing w:after="0"/>
            </w:pPr>
            <w:r/>
            <w:r>
              <w:rPr>
                <w:b w:val="0"/>
                <w:color w:val="000000"/>
                <w:sz w:val="17"/>
              </w:rPr>
              <w:t>Prazo do challenge</w:t>
            </w:r>
          </w:p>
        </w:tc>
        <w:tc>
          <w:tcPr>
            <w:tcW w:type="dxa" w:w="4320"/>
            <w:vAlign w:val="center"/>
            <w:shd w:fill="F2F6FA"/>
          </w:tcPr>
          <w:p>
            <w:pPr>
              <w:spacing w:after="0"/>
            </w:pPr>
            <w:r/>
            <w:r>
              <w:rPr>
                <w:b w:val="0"/>
                <w:color w:val="000000"/>
                <w:sz w:val="17"/>
              </w:rPr>
              <w:t>Paper curto, 4 páginas + referências.</w:t>
            </w:r>
          </w:p>
        </w:tc>
        <w:tc>
          <w:tcPr>
            <w:tcW w:type="dxa" w:w="3672"/>
            <w:vAlign w:val="center"/>
            <w:shd w:fill="F2F6FA"/>
          </w:tcPr>
          <w:p>
            <w:pPr>
              <w:spacing w:after="0"/>
            </w:pPr>
            <w:r/>
            <w:r>
              <w:rPr>
                <w:b w:val="0"/>
                <w:color w:val="000000"/>
                <w:sz w:val="17"/>
              </w:rPr>
              <w:t>Priorizar uma mensagem central e não prometer avaliação causal.</w:t>
            </w:r>
          </w:p>
        </w:tc>
      </w:tr>
    </w:tbl>
    <w:p>
      <w:pPr>
        <w:spacing w:after="20"/>
      </w:pPr>
    </w:p>
    <w:p>
      <w:r>
        <w:t>Perguntas concretas para a reunião:</w:t>
      </w:r>
    </w:p>
    <w:p>
      <w:pPr>
        <w:pStyle w:val="ListBullet"/>
        <w:spacing w:after="60"/>
      </w:pPr>
      <w:r>
        <w:t>A distinção entre resolução literal e fricção semântica está suficientemente clara para o objetivo da dissertação?</w:t>
      </w:r>
    </w:p>
    <w:p>
      <w:pPr>
        <w:pStyle w:val="ListBullet"/>
        <w:spacing w:after="60"/>
      </w:pPr>
      <w:r>
        <w:t>A combinação de 30 casos cegos + 60 casos assistidos é aceitável como calibração para o paper do Mining Challenge?</w:t>
      </w:r>
    </w:p>
    <w:p>
      <w:pPr>
        <w:pStyle w:val="ListBullet"/>
        <w:spacing w:after="60"/>
      </w:pPr>
      <w:r>
        <w:t>Devemos incluir um segundo avaliador em uma fração dos casos, mesmo que pequeno, para estimar uma concordância independente?</w:t>
      </w:r>
    </w:p>
    <w:p>
      <w:pPr>
        <w:pStyle w:val="ListBullet"/>
        <w:spacing w:after="60"/>
      </w:pPr>
      <w:r>
        <w:t>O escopo deve permanecer em evidência em inglês, ou vale investir em uma extensão multilíngue?</w:t>
      </w:r>
    </w:p>
    <w:p>
      <w:pPr>
        <w:pStyle w:val="ListBullet"/>
        <w:spacing w:after="60"/>
      </w:pPr>
      <w:r>
        <w:t>A contribuição deve enfatizar a taxonomia/construct validity ou a associação estatística dos sinais estruturais?</w:t>
      </w:r>
    </w:p>
    <w:p>
      <w:pPr>
        <w:pStyle w:val="Heading1"/>
      </w:pPr>
      <w:r>
        <w:t>9. Próximas etapas e cronograma imediato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F4E79"/>
          </w:tcPr>
          <w:p>
            <w:pPr>
              <w:spacing w:after="0"/>
            </w:pPr>
            <w:r/>
            <w:r>
              <w:rPr>
                <w:b/>
                <w:color w:val="FFFFFF"/>
                <w:sz w:val="17"/>
              </w:rPr>
              <w:t>Etapa</w:t>
            </w:r>
          </w:p>
        </w:tc>
        <w:tc>
          <w:tcPr>
            <w:tcW w:type="dxa" w:w="4464"/>
            <w:vAlign w:val="center"/>
            <w:shd w:fill="1F4E79"/>
          </w:tcPr>
          <w:p>
            <w:pPr>
              <w:spacing w:after="0"/>
            </w:pPr>
            <w:r/>
            <w:r>
              <w:rPr>
                <w:b/>
                <w:color w:val="FFFFFF"/>
                <w:sz w:val="17"/>
              </w:rPr>
              <w:t>Entregável</w:t>
            </w:r>
          </w:p>
        </w:tc>
        <w:tc>
          <w:tcPr>
            <w:tcW w:type="dxa" w:w="3528"/>
            <w:vAlign w:val="center"/>
            <w:shd w:fill="1F4E79"/>
          </w:tcPr>
          <w:p>
            <w:pPr>
              <w:spacing w:after="0"/>
            </w:pPr>
            <w:r/>
            <w:r>
              <w:rPr>
                <w:b/>
                <w:color w:val="FFFFFF"/>
                <w:sz w:val="17"/>
              </w:rPr>
              <w:t>Critério de conclusão</w:t>
            </w:r>
          </w:p>
        </w:tc>
      </w:tr>
      <w:tr>
        <w:tc>
          <w:tcPr>
            <w:tcW w:type="dxa" w:w="2232"/>
            <w:vAlign w:val="center"/>
          </w:tcPr>
          <w:p>
            <w:pPr>
              <w:spacing w:after="0"/>
            </w:pPr>
            <w:r/>
            <w:r>
              <w:rPr>
                <w:b w:val="0"/>
                <w:color w:val="000000"/>
                <w:sz w:val="17"/>
              </w:rPr>
              <w:t>1. Fechar protocolo</w:t>
            </w:r>
          </w:p>
        </w:tc>
        <w:tc>
          <w:tcPr>
            <w:tcW w:type="dxa" w:w="4464"/>
            <w:vAlign w:val="center"/>
          </w:tcPr>
          <w:p>
            <w:pPr>
              <w:spacing w:after="0"/>
            </w:pPr>
            <w:r/>
            <w:r>
              <w:rPr>
                <w:b w:val="0"/>
                <w:color w:val="000000"/>
                <w:sz w:val="17"/>
              </w:rPr>
              <w:t>PROTOCOL.md revisado com precedência entre não-arquivo, criação e remoção.</w:t>
            </w:r>
          </w:p>
        </w:tc>
        <w:tc>
          <w:tcPr>
            <w:tcW w:type="dxa" w:w="3528"/>
            <w:vAlign w:val="center"/>
          </w:tcPr>
          <w:p>
            <w:pPr>
              <w:spacing w:after="0"/>
            </w:pPr>
            <w:r/>
            <w:r>
              <w:rPr>
                <w:b w:val="0"/>
                <w:color w:val="000000"/>
                <w:sz w:val="17"/>
              </w:rPr>
              <w:t>Categorias e exemplos sem conflito.</w:t>
            </w:r>
          </w:p>
        </w:tc>
      </w:tr>
      <w:tr>
        <w:tc>
          <w:tcPr>
            <w:tcW w:type="dxa" w:w="2232"/>
            <w:vAlign w:val="center"/>
            <w:shd w:fill="F2F6FA"/>
          </w:tcPr>
          <w:p>
            <w:pPr>
              <w:spacing w:after="0"/>
            </w:pPr>
            <w:r/>
            <w:r>
              <w:rPr>
                <w:b w:val="0"/>
                <w:color w:val="000000"/>
                <w:sz w:val="17"/>
              </w:rPr>
              <w:t>2. Rodar LLM confirmatório</w:t>
            </w:r>
          </w:p>
        </w:tc>
        <w:tc>
          <w:tcPr>
            <w:tcW w:type="dxa" w:w="4464"/>
            <w:vAlign w:val="center"/>
            <w:shd w:fill="F2F6FA"/>
          </w:tcPr>
          <w:p>
            <w:pPr>
              <w:spacing w:after="0"/>
            </w:pPr>
            <w:r/>
            <w:r>
              <w:rPr>
                <w:b w:val="0"/>
                <w:color w:val="000000"/>
                <w:sz w:val="17"/>
              </w:rPr>
              <w:t>JSONL versionado com proposta, evidência e versão do prompt/modelo.</w:t>
            </w:r>
          </w:p>
        </w:tc>
        <w:tc>
          <w:tcPr>
            <w:tcW w:type="dxa" w:w="3528"/>
            <w:vAlign w:val="center"/>
            <w:shd w:fill="F2F6FA"/>
          </w:tcPr>
          <w:p>
            <w:pPr>
              <w:spacing w:after="0"/>
            </w:pPr>
            <w:r/>
            <w:r>
              <w:rPr>
                <w:b w:val="0"/>
                <w:color w:val="000000"/>
                <w:sz w:val="17"/>
              </w:rPr>
              <w:t>90 casos processados sem perda de IDs.</w:t>
            </w:r>
          </w:p>
        </w:tc>
      </w:tr>
      <w:tr>
        <w:tc>
          <w:tcPr>
            <w:tcW w:type="dxa" w:w="2232"/>
            <w:vAlign w:val="center"/>
          </w:tcPr>
          <w:p>
            <w:pPr>
              <w:spacing w:after="0"/>
            </w:pPr>
            <w:r/>
            <w:r>
              <w:rPr>
                <w:b w:val="0"/>
                <w:color w:val="000000"/>
                <w:sz w:val="17"/>
              </w:rPr>
              <w:t>3. Avaliação humana</w:t>
            </w:r>
          </w:p>
        </w:tc>
        <w:tc>
          <w:tcPr>
            <w:tcW w:type="dxa" w:w="4464"/>
            <w:vAlign w:val="center"/>
          </w:tcPr>
          <w:p>
            <w:pPr>
              <w:spacing w:after="0"/>
            </w:pPr>
            <w:r/>
            <w:r>
              <w:rPr>
                <w:b w:val="0"/>
                <w:color w:val="000000"/>
                <w:sz w:val="17"/>
              </w:rPr>
              <w:t>Planilha preenchida: blind 30 + assistida 60.</w:t>
            </w:r>
          </w:p>
        </w:tc>
        <w:tc>
          <w:tcPr>
            <w:tcW w:type="dxa" w:w="3528"/>
            <w:vAlign w:val="center"/>
          </w:tcPr>
          <w:p>
            <w:pPr>
              <w:spacing w:after="0"/>
            </w:pPr>
            <w:r/>
            <w:r>
              <w:rPr>
                <w:b w:val="0"/>
                <w:color w:val="000000"/>
                <w:sz w:val="17"/>
              </w:rPr>
              <w:t>Cada linha tem classificação e nota de evidência.</w:t>
            </w:r>
          </w:p>
        </w:tc>
      </w:tr>
      <w:tr>
        <w:tc>
          <w:tcPr>
            <w:tcW w:type="dxa" w:w="2232"/>
            <w:vAlign w:val="center"/>
            <w:shd w:fill="F2F6FA"/>
          </w:tcPr>
          <w:p>
            <w:pPr>
              <w:spacing w:after="0"/>
            </w:pPr>
            <w:r/>
            <w:r>
              <w:rPr>
                <w:b w:val="0"/>
                <w:color w:val="000000"/>
                <w:sz w:val="17"/>
              </w:rPr>
              <w:t>4. Calibração</w:t>
            </w:r>
          </w:p>
        </w:tc>
        <w:tc>
          <w:tcPr>
            <w:tcW w:type="dxa" w:w="4464"/>
            <w:vAlign w:val="center"/>
            <w:shd w:fill="F2F6FA"/>
          </w:tcPr>
          <w:p>
            <w:pPr>
              <w:spacing w:after="0"/>
            </w:pPr>
            <w:r/>
            <w:r>
              <w:rPr>
                <w:b w:val="0"/>
                <w:color w:val="000000"/>
                <w:sz w:val="17"/>
              </w:rPr>
              <w:t>Matriz de confusão, concordância, taxa de correção e análise de erros.</w:t>
            </w:r>
          </w:p>
        </w:tc>
        <w:tc>
          <w:tcPr>
            <w:tcW w:type="dxa" w:w="3528"/>
            <w:vAlign w:val="center"/>
            <w:shd w:fill="F2F6FA"/>
          </w:tcPr>
          <w:p>
            <w:pPr>
              <w:spacing w:after="0"/>
            </w:pPr>
            <w:r/>
            <w:r>
              <w:rPr>
                <w:b w:val="0"/>
                <w:color w:val="000000"/>
                <w:sz w:val="17"/>
              </w:rPr>
              <w:t>Decisão documentada sobre expansão ao corpus.</w:t>
            </w:r>
          </w:p>
        </w:tc>
      </w:tr>
      <w:tr>
        <w:tc>
          <w:tcPr>
            <w:tcW w:type="dxa" w:w="2232"/>
            <w:vAlign w:val="center"/>
          </w:tcPr>
          <w:p>
            <w:pPr>
              <w:spacing w:after="0"/>
            </w:pPr>
            <w:r/>
            <w:r>
              <w:rPr>
                <w:b w:val="0"/>
                <w:color w:val="000000"/>
                <w:sz w:val="17"/>
              </w:rPr>
              <w:t>5. Análise final</w:t>
            </w:r>
          </w:p>
        </w:tc>
        <w:tc>
          <w:tcPr>
            <w:tcW w:type="dxa" w:w="4464"/>
            <w:vAlign w:val="center"/>
          </w:tcPr>
          <w:p>
            <w:pPr>
              <w:spacing w:after="0"/>
            </w:pPr>
            <w:r/>
            <w:r>
              <w:rPr>
                <w:b w:val="0"/>
                <w:color w:val="000000"/>
                <w:sz w:val="17"/>
              </w:rPr>
              <w:t>Modelos para ausência literal e, quando possível, ausência problemática.</w:t>
            </w:r>
          </w:p>
        </w:tc>
        <w:tc>
          <w:tcPr>
            <w:tcW w:type="dxa" w:w="3528"/>
            <w:vAlign w:val="center"/>
          </w:tcPr>
          <w:p>
            <w:pPr>
              <w:spacing w:after="0"/>
            </w:pPr>
            <w:r/>
            <w:r>
              <w:rPr>
                <w:b w:val="0"/>
                <w:color w:val="000000"/>
                <w:sz w:val="17"/>
              </w:rPr>
              <w:t>Resultados com IC, agrupamento e robustez.</w:t>
            </w:r>
          </w:p>
        </w:tc>
      </w:tr>
      <w:tr>
        <w:tc>
          <w:tcPr>
            <w:tcW w:type="dxa" w:w="2232"/>
            <w:vAlign w:val="center"/>
            <w:shd w:fill="F2F6FA"/>
          </w:tcPr>
          <w:p>
            <w:pPr>
              <w:spacing w:after="0"/>
            </w:pPr>
            <w:r/>
            <w:r>
              <w:rPr>
                <w:b w:val="0"/>
                <w:color w:val="000000"/>
                <w:sz w:val="17"/>
              </w:rPr>
              <w:t>6. Paper</w:t>
            </w:r>
          </w:p>
        </w:tc>
        <w:tc>
          <w:tcPr>
            <w:tcW w:type="dxa" w:w="4464"/>
            <w:vAlign w:val="center"/>
            <w:shd w:fill="F2F6FA"/>
          </w:tcPr>
          <w:p>
            <w:pPr>
              <w:spacing w:after="0"/>
            </w:pPr>
            <w:r/>
            <w:r>
              <w:rPr>
                <w:b w:val="0"/>
                <w:color w:val="000000"/>
                <w:sz w:val="17"/>
              </w:rPr>
              <w:t>IEEEtran, 4 páginas + referências, seção de ética e artefatos abertos.</w:t>
            </w:r>
          </w:p>
        </w:tc>
        <w:tc>
          <w:tcPr>
            <w:tcW w:type="dxa" w:w="3528"/>
            <w:vAlign w:val="center"/>
            <w:shd w:fill="F2F6FA"/>
          </w:tcPr>
          <w:p>
            <w:pPr>
              <w:spacing w:after="0"/>
            </w:pPr>
            <w:r/>
            <w:r>
              <w:rPr>
                <w:b w:val="0"/>
                <w:color w:val="000000"/>
                <w:sz w:val="17"/>
              </w:rPr>
              <w:t>Rascunho completo e reprodutível.</w:t>
            </w:r>
          </w:p>
        </w:tc>
      </w:tr>
    </w:tbl>
    <w:p>
      <w:pPr>
        <w:spacing w:after="20"/>
      </w:pPr>
    </w:p>
    <w:p>
      <w:r>
        <w:t>A ordem é deliberada: a validação semântica vem antes de reinterpretar o desfecho e antes de expandir a classificação automática.</w:t>
      </w:r>
    </w:p>
    <w:p>
      <w:pPr>
        <w:pStyle w:val="Heading1"/>
      </w:pPr>
      <w:r>
        <w:t>10. Referências e artefatos do projeto</w:t>
      </w:r>
    </w:p>
    <w:p>
      <w:pPr>
        <w:pStyle w:val="ListBullet"/>
        <w:spacing w:after="60"/>
      </w:pPr>
      <w:r>
        <w:t>Agarwal, S.; Singhal, A.; Breaux, T.; Vasilescu, B. SpecMine: A Large-Scale Corpus of Spec-Driven Development Artifacts. MSR 2027, preprint arXiv:2608.25202.</w:t>
      </w:r>
    </w:p>
    <w:p>
      <w:pPr>
        <w:pStyle w:val="ListBullet"/>
        <w:spacing w:after="60"/>
      </w:pPr>
      <w:r>
        <w:t>SpecMine dataset, snapshot de julho de 2026. Zenodo DOI: 10.5281/zenodo.22102779.</w:t>
      </w:r>
    </w:p>
    <w:p>
      <w:pPr>
        <w:pStyle w:val="ListBullet"/>
        <w:spacing w:after="60"/>
      </w:pPr>
      <w:r>
        <w:t>SpecMine official mirror: https://github.com/shyamagarwal13/specmine-official.</w:t>
      </w:r>
    </w:p>
    <w:p>
      <w:pPr>
        <w:pStyle w:val="ListBullet"/>
        <w:spacing w:after="60"/>
      </w:pPr>
      <w:r>
        <w:t>Projeto local msr2027-specmine: scripts de auditoria, análise, protocolo e planilhas de validação mantidos no repositório da pesquisa.</w:t>
      </w:r>
    </w:p>
    <w:p/>
    <w:p>
      <w:pPr>
        <w:jc w:val="center"/>
      </w:pPr>
      <w:r>
        <w:rPr>
          <w:b/>
          <w:color w:val="1F4E79"/>
        </w:rPr>
        <w:t>Mensagem para a reunião: a pesquisa já produziu um resultado empírico consistente, mas a principal contribuição metodológica agora é não confundir ausência de caminho com fricção sem validar o significado do caso.</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Documento de discussão · </w:t>
    </w:r>
    <w:r>
      <w:rPr>
        <w:color w:val="666666"/>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MSR 2027 Mining Challenge · Relatório de acompanhamento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