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A7085" w14:textId="77777777" w:rsidR="00A8066C" w:rsidRPr="00380242" w:rsidRDefault="00A8066C" w:rsidP="00A8066C">
      <w:pPr>
        <w:ind w:firstLine="426"/>
        <w:jc w:val="center"/>
        <w:rPr>
          <w:rFonts w:cs="Times New Roman"/>
          <w:color w:val="000000" w:themeColor="text1"/>
          <w:sz w:val="24"/>
          <w:szCs w:val="24"/>
          <w:lang w:eastAsia="ru-RU"/>
        </w:rPr>
      </w:pPr>
      <w:r w:rsidRPr="00380242">
        <w:rPr>
          <w:rFonts w:cs="Times New Roman"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6FE32559" wp14:editId="781CC848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628650" cy="6858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FB723C" w14:textId="77777777" w:rsidR="00A8066C" w:rsidRPr="00380242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eastAsia="ru-RU"/>
        </w:rPr>
      </w:pPr>
    </w:p>
    <w:p w14:paraId="795A526B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1918BEFF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563F44E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proofErr w:type="gramStart"/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ВЫСШЕГО  ОБРАЗОВАНИЯ</w:t>
      </w:r>
      <w:proofErr w:type="gramEnd"/>
    </w:p>
    <w:p w14:paraId="46A052F7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«ДОНСКОЙ   ГОСУДАРСТВЕННЫЙ   ТЕХНИЧЕСКИЙ   УНИВЕРСИТЕТ»</w:t>
      </w:r>
    </w:p>
    <w:p w14:paraId="0F9BA686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61501F85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59D61E09" w14:textId="2404E20B" w:rsidR="00A8066C" w:rsidRPr="008743D7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 xml:space="preserve">ЛАБОРАТОРНАЯ РАБОТА № </w:t>
      </w:r>
      <w:r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>2</w:t>
      </w:r>
    </w:p>
    <w:p w14:paraId="064B2E9E" w14:textId="77777777" w:rsidR="00A8066C" w:rsidRPr="008743D7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0D4813BB" w14:textId="65E2BB27" w:rsidR="00A8066C" w:rsidRPr="008743D7" w:rsidRDefault="00A8066C" w:rsidP="00A8066C">
      <w:pPr>
        <w:jc w:val="center"/>
        <w:rPr>
          <w:rFonts w:cs="Times New Roman"/>
          <w:color w:val="000000" w:themeColor="text1"/>
          <w:sz w:val="22"/>
          <w:lang w:val="ru-RU" w:eastAsia="ru-RU"/>
        </w:rPr>
      </w:pPr>
      <w:r w:rsidRPr="008743D7">
        <w:rPr>
          <w:sz w:val="24"/>
          <w:szCs w:val="20"/>
          <w:lang w:val="ru-RU"/>
        </w:rPr>
        <w:t>на тему «</w:t>
      </w:r>
      <w:r w:rsidRPr="00A8066C">
        <w:rPr>
          <w:sz w:val="24"/>
          <w:szCs w:val="20"/>
          <w:lang w:val="ru-RU"/>
        </w:rPr>
        <w:t>Обучение без учителя. Понижение размерности. Обнаружение аномалий. Кластеризация.</w:t>
      </w:r>
      <w:r w:rsidRPr="008743D7">
        <w:rPr>
          <w:sz w:val="24"/>
          <w:szCs w:val="20"/>
          <w:lang w:val="ru-RU"/>
        </w:rPr>
        <w:t>»</w:t>
      </w:r>
    </w:p>
    <w:p w14:paraId="2129A67B" w14:textId="77777777" w:rsidR="00A8066C" w:rsidRPr="008743D7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55E48357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3A8F8576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Выполнил:</w:t>
      </w:r>
    </w:p>
    <w:p w14:paraId="2EFFC614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255EA850" w14:textId="77777777" w:rsidR="00A8066C" w:rsidRPr="008743D7" w:rsidRDefault="00A8066C" w:rsidP="00A8066C">
      <w:pPr>
        <w:ind w:left="6205" w:firstLine="84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 xml:space="preserve">Студент </w:t>
      </w:r>
      <w:proofErr w:type="spellStart"/>
      <w:r w:rsidRPr="008743D7"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>Подшивалин</w:t>
      </w:r>
      <w:proofErr w:type="spellEnd"/>
      <w:r w:rsidRPr="008743D7"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 xml:space="preserve"> Р.В.</w:t>
      </w:r>
    </w:p>
    <w:p w14:paraId="3B6BBDA2" w14:textId="77777777" w:rsidR="00A8066C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Группа ___</w:t>
      </w:r>
      <w:r w:rsidRPr="008743D7"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>ИПБП41</w:t>
      </w: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_______</w:t>
      </w:r>
    </w:p>
    <w:p w14:paraId="2F56CF03" w14:textId="61B19081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proofErr w:type="gramStart"/>
      <w:r>
        <w:rPr>
          <w:rFonts w:cs="Times New Roman"/>
          <w:color w:val="000000" w:themeColor="text1"/>
          <w:sz w:val="24"/>
          <w:szCs w:val="24"/>
          <w:lang w:val="ru-RU" w:eastAsia="ru-RU"/>
        </w:rPr>
        <w:t>Вариант:  №</w:t>
      </w:r>
      <w:proofErr w:type="gramEnd"/>
      <w:r>
        <w:rPr>
          <w:rFonts w:cs="Times New Roman"/>
          <w:color w:val="000000" w:themeColor="text1"/>
          <w:sz w:val="24"/>
          <w:szCs w:val="24"/>
          <w:lang w:val="ru-RU" w:eastAsia="ru-RU"/>
        </w:rPr>
        <w:t>18.</w:t>
      </w:r>
    </w:p>
    <w:p w14:paraId="305073CB" w14:textId="77777777" w:rsidR="00A8066C" w:rsidRPr="008743D7" w:rsidRDefault="00A8066C" w:rsidP="00A8066C">
      <w:pPr>
        <w:ind w:firstLine="0"/>
        <w:jc w:val="right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1976F416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037EB275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 xml:space="preserve">Проверил: </w:t>
      </w:r>
    </w:p>
    <w:p w14:paraId="2E90EA67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>
        <w:rPr>
          <w:rFonts w:cs="Times New Roman"/>
          <w:color w:val="000000" w:themeColor="text1"/>
          <w:sz w:val="24"/>
          <w:szCs w:val="24"/>
          <w:lang w:val="ru-RU" w:eastAsia="ru-RU"/>
        </w:rPr>
        <w:t>Дольников М.Г</w:t>
      </w: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.</w:t>
      </w:r>
    </w:p>
    <w:p w14:paraId="087D383B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46E2D57F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07254D78" w14:textId="77777777" w:rsidR="00A8066C" w:rsidRPr="008743D7" w:rsidRDefault="00A8066C" w:rsidP="00A8066C">
      <w:pPr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3D19B063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1D909DDC" w14:textId="77777777" w:rsidR="00A8066C" w:rsidRPr="008743D7" w:rsidRDefault="00A8066C" w:rsidP="00A8066C">
      <w:pPr>
        <w:ind w:firstLine="0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14D2B219" w14:textId="77777777" w:rsidR="00A8066C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Ростов-на-Дону</w:t>
      </w:r>
    </w:p>
    <w:p w14:paraId="2696128B" w14:textId="52A8124B" w:rsidR="00A8066C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2026 г.</w:t>
      </w:r>
    </w:p>
    <w:p w14:paraId="3AAFDFD6" w14:textId="41EFC645" w:rsidR="006C54D4" w:rsidRPr="00A8066C" w:rsidRDefault="00125AE2" w:rsidP="00A8066C">
      <w:pPr>
        <w:pStyle w:val="1"/>
        <w:ind w:firstLine="0"/>
        <w:jc w:val="center"/>
        <w:rPr>
          <w:lang w:val="ru-RU"/>
        </w:rPr>
      </w:pPr>
      <w:bookmarkStart w:id="0" w:name="_Toc243154703"/>
      <w:r w:rsidRPr="00A8066C">
        <w:rPr>
          <w:rFonts w:ascii="Times New Roman" w:hAnsi="Times New Roman"/>
          <w:lang w:val="ru-RU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theme="minorBidi"/>
          <w:b w:val="0"/>
          <w:bCs w:val="0"/>
          <w:szCs w:val="22"/>
          <w:lang w:val="ru-RU"/>
        </w:rPr>
        <w:id w:val="-18652735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58649B9" w14:textId="2E58E0D5" w:rsidR="00A8066C" w:rsidRDefault="00A8066C" w:rsidP="00A8066C">
          <w:pPr>
            <w:pStyle w:val="aff"/>
            <w:ind w:left="-1276" w:firstLine="0"/>
            <w:jc w:val="center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BC71978" w14:textId="0D5EC2E5" w:rsidR="00A8066C" w:rsidRDefault="00DD00A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4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ЦЕЛИ И ЗАДАЧИ РАБОТЫ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_Toc243154704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3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3028F393" w14:textId="5A00B022" w:rsidR="00A8066C" w:rsidRDefault="00DD00A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5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1 ИССЛЕДОВАНИЕ МЕТОДОВ СНИЖЕНИЯ РАЗМЕРНОСТИ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_Toc243154705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3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2E152638" w14:textId="16194DD2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6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1.1 Корреляционный анализ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_Toc243154706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3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7C6807AF" w14:textId="06A6DE57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7" w:history="1">
            <w:r w:rsidR="00A8066C" w:rsidRPr="00862EBC">
              <w:rPr>
                <w:rStyle w:val="aff8"/>
                <w:rFonts w:eastAsiaTheme="majorEastAsia"/>
                <w:noProof/>
              </w:rPr>
              <w:t>1.2 Анализ попарных распределений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_Toc243154707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5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3DFBC082" w14:textId="523F6FDA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8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1.3 Метод главных компонент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_Toc243154708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6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7E14FF7C" w14:textId="77AED093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9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1.4 Сингулярное разложение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_Toc243154709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6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069A2419" w14:textId="6031F8A4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0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1.5 Анализ независимых компонент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_Toc243154710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7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626783DC" w14:textId="7DB217F0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1" w:history="1">
            <w:r w:rsidR="00A8066C" w:rsidRPr="00862EBC">
              <w:rPr>
                <w:rStyle w:val="aff8"/>
                <w:rFonts w:eastAsiaTheme="majorEastAsia"/>
                <w:noProof/>
              </w:rPr>
              <w:t>1.6 Сопоставление методов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_Toc243154711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8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383A7247" w14:textId="161C4F8B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2" w:history="1">
            <w:r w:rsidR="00A8066C" w:rsidRPr="00862EBC">
              <w:rPr>
                <w:rStyle w:val="aff8"/>
                <w:rFonts w:eastAsiaTheme="majorEastAsia"/>
                <w:noProof/>
              </w:rPr>
              <w:t>1.7 Двумерные проекции и направления признаков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_Toc243154712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9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353EE217" w14:textId="246D0ED4" w:rsidR="00A8066C" w:rsidRDefault="00DD00A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3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2 ИССЛЕДОВАНИЕ АЛГОРИТМОВ КЛАСТЕРИЗАЦИИ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_Toc243154713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9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48744D18" w14:textId="2668C2C7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4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2.1 Исходные данные и эталонная структура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_Toc243154714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9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30BE6929" w14:textId="0BD420B1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5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2.2 Сравнение двенадцати алгоритмов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_Toc243154715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10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13D522C3" w14:textId="111E8CAF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6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 xml:space="preserve">2.3 Выбор числа кластеров для </w:t>
            </w:r>
            <w:r w:rsidR="00A8066C" w:rsidRPr="00862EBC">
              <w:rPr>
                <w:rStyle w:val="aff8"/>
                <w:rFonts w:eastAsiaTheme="majorEastAsia"/>
                <w:noProof/>
              </w:rPr>
              <w:t>K</w:t>
            </w:r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A8066C" w:rsidRPr="00862EBC">
              <w:rPr>
                <w:rStyle w:val="aff8"/>
                <w:rFonts w:eastAsiaTheme="majorEastAsia"/>
                <w:noProof/>
              </w:rPr>
              <w:t>Means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_Toc243154716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12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72A356A6" w14:textId="3079B7C0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7" w:history="1">
            <w:r w:rsidR="00A8066C" w:rsidRPr="00862EBC">
              <w:rPr>
                <w:rStyle w:val="aff8"/>
                <w:rFonts w:eastAsiaTheme="majorEastAsia"/>
                <w:noProof/>
              </w:rPr>
              <w:t>2.4 Иерархическая кластеризация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_Toc243154717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13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7F4006E7" w14:textId="1B068A59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8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2.5 Выявление шума и выбросов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_Toc243154718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14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5655BBA3" w14:textId="57B59F6C" w:rsidR="00A8066C" w:rsidRDefault="00DD00A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9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2.6 Количественная оценка качества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_Toc243154719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14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320C2F76" w14:textId="5D52B402" w:rsidR="00A8066C" w:rsidRDefault="00DD00A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20" w:history="1">
            <w:r w:rsidR="00A8066C" w:rsidRPr="00862EBC">
              <w:rPr>
                <w:rStyle w:val="aff8"/>
                <w:rFonts w:eastAsiaTheme="majorEastAsia"/>
                <w:noProof/>
                <w:lang w:val="ru-RU"/>
              </w:rPr>
              <w:t>ВЫВОД</w:t>
            </w:r>
            <w:r w:rsidR="00A8066C">
              <w:rPr>
                <w:noProof/>
                <w:webHidden/>
              </w:rPr>
              <w:tab/>
            </w:r>
            <w:r w:rsidR="00A8066C">
              <w:rPr>
                <w:noProof/>
                <w:webHidden/>
              </w:rPr>
              <w:fldChar w:fldCharType="begin"/>
            </w:r>
            <w:r w:rsidR="00A8066C">
              <w:rPr>
                <w:noProof/>
                <w:webHidden/>
              </w:rPr>
              <w:instrText xml:space="preserve"> PAGEREF _Toc243154720 \h </w:instrText>
            </w:r>
            <w:r w:rsidR="00A8066C">
              <w:rPr>
                <w:noProof/>
                <w:webHidden/>
              </w:rPr>
            </w:r>
            <w:r w:rsidR="00A8066C">
              <w:rPr>
                <w:noProof/>
                <w:webHidden/>
              </w:rPr>
              <w:fldChar w:fldCharType="separate"/>
            </w:r>
            <w:r w:rsidR="00334406">
              <w:rPr>
                <w:noProof/>
                <w:webHidden/>
              </w:rPr>
              <w:t>16</w:t>
            </w:r>
            <w:r w:rsidR="00A8066C">
              <w:rPr>
                <w:noProof/>
                <w:webHidden/>
              </w:rPr>
              <w:fldChar w:fldCharType="end"/>
            </w:r>
          </w:hyperlink>
        </w:p>
        <w:p w14:paraId="18859424" w14:textId="38B3934C" w:rsidR="00A8066C" w:rsidRDefault="00A8066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</w:p>
        <w:p w14:paraId="07B656EB" w14:textId="394FA8E2" w:rsidR="00A8066C" w:rsidRDefault="00A8066C" w:rsidP="00A8066C">
          <w:pPr>
            <w:ind w:left="-1276"/>
          </w:pPr>
          <w:r>
            <w:rPr>
              <w:b/>
              <w:bCs/>
            </w:rPr>
            <w:fldChar w:fldCharType="end"/>
          </w:r>
        </w:p>
      </w:sdtContent>
    </w:sdt>
    <w:p w14:paraId="725A586F" w14:textId="77777777" w:rsidR="006C54D4" w:rsidRPr="00A8066C" w:rsidRDefault="00125AE2">
      <w:pPr>
        <w:rPr>
          <w:lang w:val="ru-RU"/>
        </w:rPr>
      </w:pPr>
      <w:r w:rsidRPr="00A8066C">
        <w:rPr>
          <w:lang w:val="ru-RU"/>
        </w:rPr>
        <w:br w:type="page"/>
      </w:r>
    </w:p>
    <w:p w14:paraId="0EFFA206" w14:textId="77777777" w:rsidR="006C54D4" w:rsidRPr="00A8066C" w:rsidRDefault="00125AE2" w:rsidP="00A8066C">
      <w:pPr>
        <w:pStyle w:val="1"/>
        <w:ind w:firstLine="0"/>
        <w:rPr>
          <w:lang w:val="ru-RU"/>
        </w:rPr>
      </w:pPr>
      <w:bookmarkStart w:id="1" w:name="_Toc243154704"/>
      <w:r w:rsidRPr="00A8066C">
        <w:rPr>
          <w:rFonts w:ascii="Times New Roman" w:hAnsi="Times New Roman"/>
          <w:lang w:val="ru-RU"/>
        </w:rPr>
        <w:lastRenderedPageBreak/>
        <w:t>ЦЕЛИ И ЗАДАЧИ РАБОТЫ</w:t>
      </w:r>
      <w:bookmarkEnd w:id="1"/>
    </w:p>
    <w:p w14:paraId="7FF771DB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Цель работы — исследовать методы снижения размерности многомерных данных и сравнить алгоритмы кластеризации на данных варианта 18, определив наиболее подходящие методы по результатам визуального анализа и количественной оценки.</w:t>
      </w:r>
    </w:p>
    <w:p w14:paraId="52D7C8CE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Для достижения цели были поставлены следующие задачи: изучить исходные данные и оценить корреляционные зависимости; построить матрицу разброса; применить метод главных компонент (PCA — Principal Component Analysis), сингулярное разложение (SVD — Singular Value Decomposition) и анализ независимых компонент (ICA — Independent Component Analysis); оценить вклад компонент и построить двумерные проекции; исследовать 12 алгоритмов кластеризации; подобрать параметры и выявить шумовые наблюдения; сравнить полученные кластеры с эталонными метками и обосновать выбор лучшего метода.</w:t>
      </w:r>
    </w:p>
    <w:p w14:paraId="3B3F768E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В первой части были проанализированы 222 наблюдения с пятью числовыми признаками a, b, c, d, e. Во второй части были исследованы 226 наблюдений по признакам a и b. Эталонные метки y использовались только для визуализации и проверки результатов, не включая их в обучение моделей.</w:t>
      </w:r>
    </w:p>
    <w:p w14:paraId="0CB3F8C3" w14:textId="77777777" w:rsidR="006C54D4" w:rsidRPr="00A8066C" w:rsidRDefault="00125AE2">
      <w:pPr>
        <w:pStyle w:val="1"/>
        <w:ind w:firstLine="0"/>
        <w:jc w:val="center"/>
        <w:rPr>
          <w:lang w:val="ru-RU"/>
        </w:rPr>
      </w:pPr>
      <w:bookmarkStart w:id="2" w:name="_Toc243154705"/>
      <w:r w:rsidRPr="00A8066C">
        <w:rPr>
          <w:rFonts w:ascii="Times New Roman" w:hAnsi="Times New Roman"/>
          <w:lang w:val="ru-RU"/>
        </w:rPr>
        <w:t>1 ИССЛЕДОВАНИЕ МЕТОДОВ СНИЖЕНИЯ РАЗМЕРНОСТИ</w:t>
      </w:r>
      <w:bookmarkEnd w:id="2"/>
    </w:p>
    <w:p w14:paraId="6F5AF5C7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3" w:name="_Toc243154706"/>
      <w:r w:rsidRPr="00A8066C">
        <w:rPr>
          <w:rFonts w:ascii="Times New Roman" w:hAnsi="Times New Roman"/>
          <w:lang w:val="ru-RU"/>
        </w:rPr>
        <w:t>1.1 Корреляционный анализ</w:t>
      </w:r>
      <w:bookmarkEnd w:id="3"/>
    </w:p>
    <w:p w14:paraId="0F93C231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Сначала была вычислена матрица коэффициентов линейной корреляции Пирсона для пяти признаков. Коэффициенты принимают значения от −1 до +1 и характеризуют направление и тесноту линейной связи между парами переменных.</w:t>
      </w:r>
    </w:p>
    <w:p w14:paraId="328D7EAF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C44E3A" wp14:editId="27F9AC29">
            <wp:extent cx="5832000" cy="5020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02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D1D8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1 — Матрица корреляций признаков варианта 18</w:t>
      </w:r>
    </w:p>
    <w:p w14:paraId="6D1C363D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Матрица была получена с помощью функции corr() библиотеки pandas и визуализирована цветовой картой Matplotlib. Рисунок необходим для оценки линейной избыточности признаков. Наибольшая внедиагональная корреляция наблюдается между c и e (0,237); остальные связи слабые. Поэтому не было выявлено оснований исключать признаки только по линейной корреляции.</w:t>
      </w:r>
    </w:p>
    <w:p w14:paraId="6E59BC37" w14:textId="77777777" w:rsidR="006C54D4" w:rsidRDefault="00125AE2">
      <w:pPr>
        <w:pStyle w:val="21"/>
        <w:ind w:firstLine="0"/>
      </w:pPr>
      <w:bookmarkStart w:id="4" w:name="_Toc243154707"/>
      <w:r>
        <w:rPr>
          <w:rFonts w:ascii="Times New Roman" w:hAnsi="Times New Roman"/>
        </w:rPr>
        <w:lastRenderedPageBreak/>
        <w:t xml:space="preserve">1.2 </w:t>
      </w:r>
      <w:proofErr w:type="spellStart"/>
      <w:r>
        <w:rPr>
          <w:rFonts w:ascii="Times New Roman" w:hAnsi="Times New Roman"/>
        </w:rPr>
        <w:t>Анализ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попарных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распределений</w:t>
      </w:r>
      <w:bookmarkEnd w:id="4"/>
      <w:proofErr w:type="spellEnd"/>
    </w:p>
    <w:p w14:paraId="03968624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304E775D" wp14:editId="4D45F5CA">
            <wp:extent cx="5832000" cy="57921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_scatter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79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C5CE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2 — Матрица разброса пяти признаков</w:t>
      </w:r>
    </w:p>
    <w:p w14:paraId="0C45488E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были построены матрицу функцией scatter_matrix(): вне диагонали представлены диаграммы рассеяния пар признаков, на диагонали — гистограммы. Она позволяет обнаружить нелинейные зависимости, которые не отражает корреляция Пирсона. Для пары c и e были замечены выраженные линии и ветвления, несмотря на умеренную линейную корреляцию.</w:t>
      </w:r>
    </w:p>
    <w:p w14:paraId="58FD2575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5" w:name="_Toc243154708"/>
      <w:r w:rsidRPr="00A8066C">
        <w:rPr>
          <w:rFonts w:ascii="Times New Roman" w:hAnsi="Times New Roman"/>
          <w:lang w:val="ru-RU"/>
        </w:rPr>
        <w:lastRenderedPageBreak/>
        <w:t>1.3 Метод главных компонент</w:t>
      </w:r>
      <w:bookmarkEnd w:id="5"/>
    </w:p>
    <w:p w14:paraId="0292EA5A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Для анализа главных компонент данные были предварительно стандартизированы и применён PCA. Метод формирует взаимно ортогональные направления, упорядоченные по убыванию объяснённой дисперсии.</w:t>
      </w:r>
    </w:p>
    <w:p w14:paraId="593520F0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0FF31968" wp14:editId="7C226825">
            <wp:extent cx="5832000" cy="3212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7167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3 — Объяснённая и накопленная дисперсия </w:t>
      </w:r>
      <w:r>
        <w:t>PCA</w:t>
      </w:r>
    </w:p>
    <w:p w14:paraId="5E346192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Диаграмма была построена по атрибуту explained_variance_ratio_ модели PCA. Столбцы отражают долю объяснённой дисперсии каждой компоненты, красная линия — накопленную долю. Первые две компоненты объясняют 47,08 %, три — 67,91 %, четыре — 85,21 %. Следовательно, для сохранения не менее 80 % дисперсии потребовались четыре компоненты.</w:t>
      </w:r>
    </w:p>
    <w:p w14:paraId="1A90001F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6" w:name="_Toc243154709"/>
      <w:r w:rsidRPr="00A8066C">
        <w:rPr>
          <w:rFonts w:ascii="Times New Roman" w:hAnsi="Times New Roman"/>
          <w:lang w:val="ru-RU"/>
        </w:rPr>
        <w:t>1.4 Сингулярное разложение</w:t>
      </w:r>
      <w:bookmarkEnd w:id="6"/>
    </w:p>
    <w:p w14:paraId="21617630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SVD было выполнено над той же стандартизированной матрицей. Доли дисперсии были рассчитаны по квадратам сингулярных чисел, нормированным на их сумму.</w:t>
      </w:r>
    </w:p>
    <w:p w14:paraId="32FFC982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024A94" wp14:editId="25F3E26A">
            <wp:extent cx="5832000" cy="32121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_SV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514D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4 — Объяснённая и накопленная дисперсия </w:t>
      </w:r>
      <w:r>
        <w:t>SVD</w:t>
      </w:r>
    </w:p>
    <w:p w14:paraId="1A55BEFB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Диаграмма была построена по сингулярным числам, полученным функцией numpy.linalg.svd(). Она позволяет оценить вклад направлений разложения и сопоставить его с PCA. Значения совпали, поскольку разложение выполнено для одной и той же центрированной матрицы признаков.</w:t>
      </w:r>
    </w:p>
    <w:p w14:paraId="668C6C03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7" w:name="_Toc243154710"/>
      <w:r w:rsidRPr="00A8066C">
        <w:rPr>
          <w:rFonts w:ascii="Times New Roman" w:hAnsi="Times New Roman"/>
          <w:lang w:val="ru-RU"/>
        </w:rPr>
        <w:t>1.5 Анализ независимых компонент</w:t>
      </w:r>
      <w:bookmarkEnd w:id="7"/>
    </w:p>
    <w:p w14:paraId="34189E36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Для поиска статистически независимых скрытых источников был применён ICA с реализацией FastICA. Количество компонент последовательно изменялось от одной до пяти, после чего оценивалась точность восстановления исходных данных.</w:t>
      </w:r>
    </w:p>
    <w:p w14:paraId="2F7A3F68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1BD66" wp14:editId="2D0BB112">
            <wp:extent cx="5832000" cy="3209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_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3EB0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5 — Ошибка восстановления данных методом </w:t>
      </w:r>
      <w:r>
        <w:t>ICA</w:t>
      </w:r>
    </w:p>
    <w:p w14:paraId="3274D1D6" w14:textId="77777777" w:rsidR="006C54D4" w:rsidRDefault="00125AE2">
      <w:pPr>
        <w:jc w:val="both"/>
      </w:pPr>
      <w:r w:rsidRPr="00A8066C">
        <w:rPr>
          <w:lang w:val="ru-RU"/>
        </w:rPr>
        <w:t>Для каждого количества компонент данные были преобразованы, восстановлены обратным преобразованием и рассчитана среднеквадратичная ошибка (MSE — Mean Squared Error). График показывает уменьшение ошибки с 0,742 до 0 по мере увеличения числа компонент. При двух компонентах алгоритм не достиг сходимости, поэтому соответствующая оценка рассматривается как предварительная. Компоненты ICA не упорядочены по объяснённой дисперсии.</w:t>
      </w:r>
    </w:p>
    <w:p w14:paraId="46A2C7CC" w14:textId="77777777" w:rsidR="006C54D4" w:rsidRDefault="00125AE2">
      <w:pPr>
        <w:pStyle w:val="21"/>
        <w:ind w:firstLine="0"/>
      </w:pPr>
      <w:bookmarkStart w:id="8" w:name="_Toc243154711"/>
      <w:r>
        <w:rPr>
          <w:rFonts w:ascii="Times New Roman" w:hAnsi="Times New Roman"/>
        </w:rPr>
        <w:t>1.6 Сопоставление методов</w:t>
      </w:r>
      <w:bookmarkEnd w:id="8"/>
    </w:p>
    <w:p w14:paraId="6DD7BAC4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3494D02A" wp14:editId="4C029FD1">
            <wp:extent cx="5832000" cy="18139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F35B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6 — Сравнение показателей </w:t>
      </w:r>
      <w:r>
        <w:t>PCA</w:t>
      </w:r>
      <w:r w:rsidRPr="00A8066C">
        <w:rPr>
          <w:lang w:val="ru-RU"/>
        </w:rPr>
        <w:t xml:space="preserve">, </w:t>
      </w:r>
      <w:r>
        <w:t>SVD</w:t>
      </w:r>
      <w:r w:rsidRPr="00A8066C">
        <w:rPr>
          <w:lang w:val="ru-RU"/>
        </w:rPr>
        <w:t xml:space="preserve"> и </w:t>
      </w:r>
      <w:r>
        <w:t>ICA</w:t>
      </w:r>
    </w:p>
    <w:p w14:paraId="0C98B12B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 xml:space="preserve">На одном рисунке были объединены показатели PCA, SVD и ICA для сопоставления методов. PCA и SVD демонстрируют одинаковые доли </w:t>
      </w:r>
      <w:r w:rsidRPr="00A8066C">
        <w:rPr>
          <w:lang w:val="ru-RU"/>
        </w:rPr>
        <w:lastRenderedPageBreak/>
        <w:t>дисперсии, а ICA — снижение ошибки восстановления. Эти показатели имеют разный смысл, поэтому их численное сравнение в качестве одной метрики не проводилось.</w:t>
      </w:r>
    </w:p>
    <w:p w14:paraId="58D1808F" w14:textId="77777777" w:rsidR="006C54D4" w:rsidRDefault="00125AE2">
      <w:pPr>
        <w:pStyle w:val="21"/>
        <w:ind w:firstLine="0"/>
      </w:pPr>
      <w:bookmarkStart w:id="9" w:name="_Toc243154712"/>
      <w:r>
        <w:rPr>
          <w:rFonts w:ascii="Times New Roman" w:hAnsi="Times New Roman"/>
        </w:rPr>
        <w:t xml:space="preserve">1.7 </w:t>
      </w:r>
      <w:proofErr w:type="spellStart"/>
      <w:r>
        <w:rPr>
          <w:rFonts w:ascii="Times New Roman" w:hAnsi="Times New Roman"/>
        </w:rPr>
        <w:t>Двумерные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проекции</w:t>
      </w:r>
      <w:proofErr w:type="spellEnd"/>
      <w:r>
        <w:rPr>
          <w:rFonts w:ascii="Times New Roman" w:hAnsi="Times New Roman"/>
        </w:rPr>
        <w:t xml:space="preserve"> и </w:t>
      </w:r>
      <w:proofErr w:type="spellStart"/>
      <w:r>
        <w:rPr>
          <w:rFonts w:ascii="Times New Roman" w:hAnsi="Times New Roman"/>
        </w:rPr>
        <w:t>направления</w:t>
      </w:r>
      <w:proofErr w:type="spellEnd"/>
      <w:r>
        <w:rPr>
          <w:rFonts w:ascii="Times New Roman" w:hAnsi="Times New Roman"/>
        </w:rPr>
        <w:t xml:space="preserve"> признаков</w:t>
      </w:r>
      <w:bookmarkEnd w:id="9"/>
    </w:p>
    <w:p w14:paraId="783DC1CA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1BB9F67C" wp14:editId="4831B98E">
            <wp:extent cx="5832000" cy="2041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_bi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C66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7 — Двумерные проекции и векторы признаков для </w:t>
      </w:r>
      <w:r>
        <w:t>PCA</w:t>
      </w:r>
      <w:r w:rsidRPr="00A8066C">
        <w:rPr>
          <w:lang w:val="ru-RU"/>
        </w:rPr>
        <w:t xml:space="preserve">, </w:t>
      </w:r>
      <w:r>
        <w:t>SVD</w:t>
      </w:r>
      <w:r w:rsidRPr="00A8066C">
        <w:rPr>
          <w:lang w:val="ru-RU"/>
        </w:rPr>
        <w:t xml:space="preserve"> и </w:t>
      </w:r>
      <w:r>
        <w:t>ICA</w:t>
      </w:r>
    </w:p>
    <w:p w14:paraId="668B755F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Были построены проекции наблюдений на первые две рассчитанные компоненты и добавил нормированные направления исходных признаков в виде красных стрелок. Эталонные метки использовались исключительно для окрашивания точек. Проекции PCA и SVD почти совпали; в ICA распределение изменилось. Значительное перекрытие цветов показывает, что две компоненты не обеспечивают полного разделения эталонных классов. Для ICA первые две компоненты выбраны по порядку выдачи алгоритма, а не по рангу значимости.</w:t>
      </w:r>
    </w:p>
    <w:p w14:paraId="0F22A225" w14:textId="77777777" w:rsidR="006C54D4" w:rsidRPr="00A8066C" w:rsidRDefault="00125AE2">
      <w:pPr>
        <w:pStyle w:val="1"/>
        <w:ind w:firstLine="0"/>
        <w:jc w:val="center"/>
        <w:rPr>
          <w:lang w:val="ru-RU"/>
        </w:rPr>
      </w:pPr>
      <w:bookmarkStart w:id="10" w:name="_Toc243154713"/>
      <w:r w:rsidRPr="00A8066C">
        <w:rPr>
          <w:rFonts w:ascii="Times New Roman" w:hAnsi="Times New Roman"/>
          <w:lang w:val="ru-RU"/>
        </w:rPr>
        <w:t>2 ИССЛЕДОВАНИЕ АЛГОРИТМОВ КЛАСТЕРИЗАЦИИ</w:t>
      </w:r>
      <w:bookmarkEnd w:id="10"/>
    </w:p>
    <w:p w14:paraId="3EB316BF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11" w:name="_Toc243154714"/>
      <w:r w:rsidRPr="00A8066C">
        <w:rPr>
          <w:rFonts w:ascii="Times New Roman" w:hAnsi="Times New Roman"/>
          <w:lang w:val="ru-RU"/>
        </w:rPr>
        <w:t>2.1 Исходные данные и эталонная структура</w:t>
      </w:r>
      <w:bookmarkEnd w:id="11"/>
    </w:p>
    <w:p w14:paraId="777C64CA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Во второй части были исследованы 226 наблюдений по двум признакам. Эталонные метки образуют три класса численностью 77, 75 и 74 объекта. Перед обучением моделей признаки были стандартизированы, чтобы различие масштабов не искажало расстояния.</w:t>
      </w:r>
    </w:p>
    <w:p w14:paraId="7A339D8E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A85381" wp14:editId="72984A4F">
            <wp:extent cx="5832000" cy="2423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1_original_and_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3A50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8 — Исходное распределение и эталонные классы</w:t>
      </w:r>
    </w:p>
    <w:p w14:paraId="3A39CDEE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Слева изображены наблюдения без меток, справа — те же точки с цветами эталонных классов. График получен функцией scatter() и нужен для оценки пространственной формы групп и последующего сравнения с результатами кластеризации. Наблюдались вытянутые и частично пересекающиеся группы, что осложняет работу алгоритмов, ориентированных на компактные сферические кластеры.</w:t>
      </w:r>
    </w:p>
    <w:p w14:paraId="569DE625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12" w:name="_Toc243154715"/>
      <w:r w:rsidRPr="00A8066C">
        <w:rPr>
          <w:rFonts w:ascii="Times New Roman" w:hAnsi="Times New Roman"/>
          <w:lang w:val="ru-RU"/>
        </w:rPr>
        <w:t>2.2 Сравнение двенадцати алгоритмов</w:t>
      </w:r>
      <w:bookmarkEnd w:id="12"/>
    </w:p>
    <w:p w14:paraId="02930C9C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 xml:space="preserve">Были исследованы 12 алгоритмов: K-Means (метод k-средних), Affinity Propagation (распространение сходства), Mean Shift (сдвиг среднего), Spectral Clustering (спектральная кластеризация), Ward (иерархическая кластеризация по критерию Уорда), Agglomerative Clustering (агломеративная кластеризация), DBSCAN (Density-Based Spatial Clustering of Applications with Noise — плотностная пространственная кластеризация приложений с шумом), HDBSCAN (Hierarchical Density-Based Spatial Clustering of Applications with Noise — иерархическая плотностная кластеризация приложений с шумом), OPTICS (Ordering Points To Identify the Clustering Structure — упорядочение точек для выявления структуры кластеров), Gaussian Mixture (смесь гауссовских распределений), Birch (Balanced Iterative Reducing and Clustering using Hierarchies — сбалансированное итеративное сокращение и </w:t>
      </w:r>
      <w:r w:rsidRPr="00A8066C">
        <w:rPr>
          <w:lang w:val="ru-RU"/>
        </w:rPr>
        <w:lastRenderedPageBreak/>
        <w:t>кластеризация с использованием иерархий) и Bisecting K-</w:t>
      </w:r>
      <w:proofErr w:type="spellStart"/>
      <w:r w:rsidRPr="00A8066C">
        <w:rPr>
          <w:lang w:val="ru-RU"/>
        </w:rPr>
        <w:t>Means</w:t>
      </w:r>
      <w:proofErr w:type="spellEnd"/>
      <w:r w:rsidRPr="00A8066C">
        <w:rPr>
          <w:lang w:val="ru-RU"/>
        </w:rPr>
        <w:t xml:space="preserve"> (делящий метод k-средних).</w:t>
      </w:r>
    </w:p>
    <w:p w14:paraId="5E57771D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5767BFB8" wp14:editId="4232DBF9">
            <wp:extent cx="5832000" cy="41661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2_all_12_algorithms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8773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9 — Сравнение результатов двенадцати алгоритмов кластеризации</w:t>
      </w:r>
    </w:p>
    <w:p w14:paraId="7036378B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Для каждого алгоритма модель была обучена на одних и тех же стандартизированных признаках. Цветом показаны найденные кластеры, чёрными крестами — шумовые точки. Сравнение 12 панелей позволяет увидеть различия в форме и числе групп. В частности, Gaussian Mixture выделил три группы, близкие к эталону, а Mean Shift объединил все наблюдения в один кластер.</w:t>
      </w:r>
    </w:p>
    <w:p w14:paraId="6AFDB77F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13" w:name="_Toc243154716"/>
      <w:r w:rsidRPr="00A8066C">
        <w:rPr>
          <w:rFonts w:ascii="Times New Roman" w:hAnsi="Times New Roman"/>
          <w:lang w:val="ru-RU"/>
        </w:rPr>
        <w:lastRenderedPageBreak/>
        <w:t xml:space="preserve">2.3 Выбор числа кластеров для </w:t>
      </w:r>
      <w:r>
        <w:rPr>
          <w:rFonts w:ascii="Times New Roman" w:hAnsi="Times New Roman"/>
        </w:rPr>
        <w:t>K</w:t>
      </w:r>
      <w:r w:rsidRPr="00A8066C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Means</w:t>
      </w:r>
      <w:bookmarkEnd w:id="13"/>
    </w:p>
    <w:p w14:paraId="22756179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342DA90A" wp14:editId="56BAA658">
            <wp:extent cx="5832000" cy="3294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2_elb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9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2CD0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10 — Метод локтя для </w:t>
      </w:r>
      <w:r>
        <w:t>K</w:t>
      </w:r>
      <w:r w:rsidRPr="00A8066C">
        <w:rPr>
          <w:lang w:val="ru-RU"/>
        </w:rPr>
        <w:t>-</w:t>
      </w:r>
      <w:r>
        <w:t>Means</w:t>
      </w:r>
    </w:p>
    <w:p w14:paraId="22A8D07A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Последовательно задавалось число кластеров от 1 до 10 и рассчитывалась инерция — сумму квадратов расстояний до центров кластеров. На графике снижение инерции становится более плавным примерно после трёх кластеров. Это служит аргументом в пользу выбора трёх групп, хотя метод локтя не даёт строгого доказательства оптимальности.</w:t>
      </w:r>
    </w:p>
    <w:p w14:paraId="4152928A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8C6345" wp14:editId="11C93E16">
            <wp:extent cx="5832000" cy="3607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3_kmeans_silhouet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0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9725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11 — Силуэтный анализ </w:t>
      </w:r>
      <w:r>
        <w:t>K</w:t>
      </w:r>
      <w:r w:rsidRPr="00A8066C">
        <w:rPr>
          <w:lang w:val="ru-RU"/>
        </w:rPr>
        <w:t>-</w:t>
      </w:r>
      <w:r>
        <w:t>Means</w:t>
      </w:r>
      <w:r w:rsidRPr="00A8066C">
        <w:rPr>
          <w:lang w:val="ru-RU"/>
        </w:rPr>
        <w:t xml:space="preserve"> при трёх кластерах</w:t>
      </w:r>
    </w:p>
    <w:p w14:paraId="1ECF2635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 xml:space="preserve">Для каждого объекта был вычислен коэффициент силуэта, отражающий сходство с собственным кластером по сравнению с ближайшим соседним кластером. Полосы показывают распределение оценок по трём группам; пунктир обозначает среднее значение 0,384. По этому рисунку можно оценить умеренную </w:t>
      </w:r>
      <w:proofErr w:type="spellStart"/>
      <w:r w:rsidRPr="00A8066C">
        <w:rPr>
          <w:lang w:val="ru-RU"/>
        </w:rPr>
        <w:t>разделённость</w:t>
      </w:r>
      <w:proofErr w:type="spellEnd"/>
      <w:r w:rsidRPr="00A8066C">
        <w:rPr>
          <w:lang w:val="ru-RU"/>
        </w:rPr>
        <w:t xml:space="preserve"> кластеров K-</w:t>
      </w:r>
      <w:proofErr w:type="spellStart"/>
      <w:r w:rsidRPr="00A8066C">
        <w:rPr>
          <w:lang w:val="ru-RU"/>
        </w:rPr>
        <w:t>Means</w:t>
      </w:r>
      <w:proofErr w:type="spellEnd"/>
      <w:r w:rsidRPr="00A8066C">
        <w:rPr>
          <w:lang w:val="ru-RU"/>
        </w:rPr>
        <w:t>.</w:t>
      </w:r>
    </w:p>
    <w:p w14:paraId="0BF988D6" w14:textId="77777777" w:rsidR="006C54D4" w:rsidRDefault="00125AE2">
      <w:pPr>
        <w:pStyle w:val="21"/>
        <w:ind w:firstLine="0"/>
      </w:pPr>
      <w:bookmarkStart w:id="14" w:name="_Toc243154717"/>
      <w:r>
        <w:rPr>
          <w:rFonts w:ascii="Times New Roman" w:hAnsi="Times New Roman"/>
        </w:rPr>
        <w:t>2.4 Иерархическая кластеризация</w:t>
      </w:r>
      <w:bookmarkEnd w:id="14"/>
    </w:p>
    <w:p w14:paraId="7F033B73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705F9AAC" wp14:editId="1EBD99AB">
            <wp:extent cx="5832000" cy="2389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3_ward_dendro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B672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12 — </w:t>
      </w:r>
      <w:proofErr w:type="spellStart"/>
      <w:r w:rsidRPr="00A8066C">
        <w:rPr>
          <w:lang w:val="ru-RU"/>
        </w:rPr>
        <w:t>Дендрограмма</w:t>
      </w:r>
      <w:proofErr w:type="spellEnd"/>
      <w:r w:rsidRPr="00A8066C">
        <w:rPr>
          <w:lang w:val="ru-RU"/>
        </w:rPr>
        <w:t xml:space="preserve"> метода </w:t>
      </w:r>
      <w:r>
        <w:t>Ward</w:t>
      </w:r>
    </w:p>
    <w:p w14:paraId="14BFFD12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lastRenderedPageBreak/>
        <w:t>Дендрограмма была построена по критерию Ward и для читаемости показал последние 20 объединений. Высота ветвей отражает расстояние слияния групп. Рисунок помогает определить крупные ветви и возможное число кластеров. Она использовалась для дополнительной проверки иерархической структуры данных.</w:t>
      </w:r>
    </w:p>
    <w:p w14:paraId="245C6439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15" w:name="_Toc243154718"/>
      <w:r w:rsidRPr="00A8066C">
        <w:rPr>
          <w:rFonts w:ascii="Times New Roman" w:hAnsi="Times New Roman"/>
          <w:lang w:val="ru-RU"/>
        </w:rPr>
        <w:t>2.5 Выявление шума и выбросов</w:t>
      </w:r>
      <w:bookmarkEnd w:id="15"/>
    </w:p>
    <w:p w14:paraId="077D9988" w14:textId="77777777" w:rsidR="006C54D4" w:rsidRDefault="00125AE2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6ABCFF39" wp14:editId="6F982032">
            <wp:extent cx="5832000" cy="17997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4_density_outli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9A12" w14:textId="77777777" w:rsidR="006C54D4" w:rsidRPr="00A8066C" w:rsidRDefault="00125AE2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13 — Кластеры и шум по результатам </w:t>
      </w:r>
      <w:r>
        <w:t>DBSCAN</w:t>
      </w:r>
      <w:r w:rsidRPr="00A8066C">
        <w:rPr>
          <w:lang w:val="ru-RU"/>
        </w:rPr>
        <w:t xml:space="preserve">, </w:t>
      </w:r>
      <w:r>
        <w:t>HDBSCAN</w:t>
      </w:r>
      <w:r w:rsidRPr="00A8066C">
        <w:rPr>
          <w:lang w:val="ru-RU"/>
        </w:rPr>
        <w:t xml:space="preserve"> и </w:t>
      </w:r>
      <w:r>
        <w:t>OPTICS</w:t>
      </w:r>
    </w:p>
    <w:p w14:paraId="1F5E9010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Были сопоставлены результаты трёх плотностных алгоритмов. Метка −1 изображена чёрными крестами как кандидатов в выбросы, а не как доказанные ошибки измерений. При выбранных параметрах DBSCAN отметил 6 шумовых точек, HDBSCAN — 86, OPTICS — 149. Таким образом, была выявлена высокая чувствительность результатов к параметрам и локальной плотности данных.</w:t>
      </w:r>
    </w:p>
    <w:p w14:paraId="09C98278" w14:textId="77777777" w:rsidR="006C54D4" w:rsidRPr="00A8066C" w:rsidRDefault="00125AE2">
      <w:pPr>
        <w:pStyle w:val="21"/>
        <w:ind w:firstLine="0"/>
        <w:rPr>
          <w:lang w:val="ru-RU"/>
        </w:rPr>
      </w:pPr>
      <w:bookmarkStart w:id="16" w:name="_Toc243154719"/>
      <w:r w:rsidRPr="00A8066C">
        <w:rPr>
          <w:rFonts w:ascii="Times New Roman" w:hAnsi="Times New Roman"/>
          <w:lang w:val="ru-RU"/>
        </w:rPr>
        <w:t>2.6 Количественная оценка качества</w:t>
      </w:r>
      <w:bookmarkEnd w:id="16"/>
    </w:p>
    <w:p w14:paraId="129EE21B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Для проверки соответствия эталонным классам были рассчитаны скорректированный индекс Рэнда (ARI — Adjusted Rand Index) и нормализованную взаимную информацию (NMI — Normalized Mutual Information). Для внутренней оценки разделения кластеров использовал коэффициент силуэта (Silhouette Score). В таблице также указал количество кластеров и шумовых наблюдений.</w:t>
      </w:r>
    </w:p>
    <w:p w14:paraId="7454D53C" w14:textId="77777777" w:rsidR="006C54D4" w:rsidRPr="00A8066C" w:rsidRDefault="00125AE2">
      <w:pPr>
        <w:ind w:firstLine="0"/>
        <w:jc w:val="both"/>
        <w:rPr>
          <w:lang w:val="ru-RU"/>
        </w:rPr>
      </w:pPr>
      <w:r w:rsidRPr="00A8066C">
        <w:rPr>
          <w:lang w:val="ru-RU"/>
        </w:rPr>
        <w:t>Таблица 1 — Результаты кластеризации варианта 18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1529"/>
        <w:gridCol w:w="1490"/>
        <w:gridCol w:w="1521"/>
        <w:gridCol w:w="1489"/>
        <w:gridCol w:w="1489"/>
      </w:tblGrid>
      <w:tr w:rsidR="006C54D4" w14:paraId="1AC8C4CA" w14:textId="77777777">
        <w:trPr>
          <w:jc w:val="center"/>
        </w:trPr>
        <w:tc>
          <w:tcPr>
            <w:tcW w:w="1559" w:type="dxa"/>
            <w:vAlign w:val="center"/>
          </w:tcPr>
          <w:p w14:paraId="75855E2C" w14:textId="77777777" w:rsidR="006C54D4" w:rsidRDefault="00125AE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Алгоритм</w:t>
            </w:r>
            <w:proofErr w:type="spellEnd"/>
          </w:p>
        </w:tc>
        <w:tc>
          <w:tcPr>
            <w:tcW w:w="1559" w:type="dxa"/>
            <w:vAlign w:val="center"/>
          </w:tcPr>
          <w:p w14:paraId="187AB619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Кластеров</w:t>
            </w:r>
          </w:p>
        </w:tc>
        <w:tc>
          <w:tcPr>
            <w:tcW w:w="1559" w:type="dxa"/>
            <w:vAlign w:val="center"/>
          </w:tcPr>
          <w:p w14:paraId="36A89727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Шум</w:t>
            </w:r>
          </w:p>
        </w:tc>
        <w:tc>
          <w:tcPr>
            <w:tcW w:w="1559" w:type="dxa"/>
            <w:vAlign w:val="center"/>
          </w:tcPr>
          <w:p w14:paraId="7CBB843D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Silhouette</w:t>
            </w:r>
          </w:p>
        </w:tc>
        <w:tc>
          <w:tcPr>
            <w:tcW w:w="1559" w:type="dxa"/>
            <w:vAlign w:val="center"/>
          </w:tcPr>
          <w:p w14:paraId="40CD0688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ARI</w:t>
            </w:r>
          </w:p>
        </w:tc>
        <w:tc>
          <w:tcPr>
            <w:tcW w:w="1559" w:type="dxa"/>
            <w:vAlign w:val="center"/>
          </w:tcPr>
          <w:p w14:paraId="14805851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NMI</w:t>
            </w:r>
          </w:p>
        </w:tc>
      </w:tr>
      <w:tr w:rsidR="006C54D4" w14:paraId="617E3EBC" w14:textId="77777777">
        <w:trPr>
          <w:jc w:val="center"/>
        </w:trPr>
        <w:tc>
          <w:tcPr>
            <w:tcW w:w="1559" w:type="dxa"/>
            <w:vAlign w:val="center"/>
          </w:tcPr>
          <w:p w14:paraId="2332370D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GaussianMixture</w:t>
            </w:r>
          </w:p>
        </w:tc>
        <w:tc>
          <w:tcPr>
            <w:tcW w:w="1559" w:type="dxa"/>
            <w:vAlign w:val="center"/>
          </w:tcPr>
          <w:p w14:paraId="5876B401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5CE472BD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43129779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0,055</w:t>
            </w:r>
          </w:p>
        </w:tc>
        <w:tc>
          <w:tcPr>
            <w:tcW w:w="1559" w:type="dxa"/>
            <w:vAlign w:val="center"/>
          </w:tcPr>
          <w:p w14:paraId="3B49DC7E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0,509</w:t>
            </w:r>
          </w:p>
        </w:tc>
        <w:tc>
          <w:tcPr>
            <w:tcW w:w="1559" w:type="dxa"/>
            <w:vAlign w:val="center"/>
          </w:tcPr>
          <w:p w14:paraId="1B9C97F4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0,487</w:t>
            </w:r>
          </w:p>
        </w:tc>
      </w:tr>
      <w:tr w:rsidR="006C54D4" w14:paraId="5DBA0A6A" w14:textId="77777777">
        <w:trPr>
          <w:jc w:val="center"/>
        </w:trPr>
        <w:tc>
          <w:tcPr>
            <w:tcW w:w="1559" w:type="dxa"/>
            <w:vAlign w:val="center"/>
          </w:tcPr>
          <w:p w14:paraId="43399CFF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Ward</w:t>
            </w:r>
          </w:p>
        </w:tc>
        <w:tc>
          <w:tcPr>
            <w:tcW w:w="1559" w:type="dxa"/>
            <w:vAlign w:val="center"/>
          </w:tcPr>
          <w:p w14:paraId="1448AF4B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43797CC1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26B3CDE8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0,333</w:t>
            </w:r>
          </w:p>
        </w:tc>
        <w:tc>
          <w:tcPr>
            <w:tcW w:w="1559" w:type="dxa"/>
            <w:vAlign w:val="center"/>
          </w:tcPr>
          <w:p w14:paraId="5AEF164B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0,357</w:t>
            </w:r>
          </w:p>
        </w:tc>
        <w:tc>
          <w:tcPr>
            <w:tcW w:w="1559" w:type="dxa"/>
            <w:vAlign w:val="center"/>
          </w:tcPr>
          <w:p w14:paraId="2137335C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0,422</w:t>
            </w:r>
          </w:p>
        </w:tc>
      </w:tr>
      <w:tr w:rsidR="006C54D4" w14:paraId="3CBA3D95" w14:textId="77777777">
        <w:trPr>
          <w:jc w:val="center"/>
        </w:trPr>
        <w:tc>
          <w:tcPr>
            <w:tcW w:w="1559" w:type="dxa"/>
            <w:vAlign w:val="center"/>
          </w:tcPr>
          <w:p w14:paraId="452E74FA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BisectingKMeans</w:t>
            </w:r>
          </w:p>
        </w:tc>
        <w:tc>
          <w:tcPr>
            <w:tcW w:w="1559" w:type="dxa"/>
            <w:vAlign w:val="center"/>
          </w:tcPr>
          <w:p w14:paraId="224A66F3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1B5C40BC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3D2C3893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0,374</w:t>
            </w:r>
          </w:p>
        </w:tc>
        <w:tc>
          <w:tcPr>
            <w:tcW w:w="1559" w:type="dxa"/>
            <w:vAlign w:val="center"/>
          </w:tcPr>
          <w:p w14:paraId="648335CB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0,328</w:t>
            </w:r>
          </w:p>
        </w:tc>
        <w:tc>
          <w:tcPr>
            <w:tcW w:w="1559" w:type="dxa"/>
            <w:vAlign w:val="center"/>
          </w:tcPr>
          <w:p w14:paraId="18B3972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0,342</w:t>
            </w:r>
          </w:p>
        </w:tc>
      </w:tr>
      <w:tr w:rsidR="006C54D4" w14:paraId="5B1FC3F8" w14:textId="77777777">
        <w:trPr>
          <w:jc w:val="center"/>
        </w:trPr>
        <w:tc>
          <w:tcPr>
            <w:tcW w:w="1559" w:type="dxa"/>
            <w:vAlign w:val="center"/>
          </w:tcPr>
          <w:p w14:paraId="4FD9607C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SpectralClustering</w:t>
            </w:r>
          </w:p>
        </w:tc>
        <w:tc>
          <w:tcPr>
            <w:tcW w:w="1559" w:type="dxa"/>
            <w:vAlign w:val="center"/>
          </w:tcPr>
          <w:p w14:paraId="61574957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6CA575B4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22A17833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0,353</w:t>
            </w:r>
          </w:p>
        </w:tc>
        <w:tc>
          <w:tcPr>
            <w:tcW w:w="1559" w:type="dxa"/>
            <w:vAlign w:val="center"/>
          </w:tcPr>
          <w:p w14:paraId="278CEF1B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0,320</w:t>
            </w:r>
          </w:p>
        </w:tc>
        <w:tc>
          <w:tcPr>
            <w:tcW w:w="1559" w:type="dxa"/>
            <w:vAlign w:val="center"/>
          </w:tcPr>
          <w:p w14:paraId="64BDA99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0,374</w:t>
            </w:r>
          </w:p>
        </w:tc>
      </w:tr>
      <w:tr w:rsidR="006C54D4" w14:paraId="6B1B329B" w14:textId="77777777">
        <w:trPr>
          <w:jc w:val="center"/>
        </w:trPr>
        <w:tc>
          <w:tcPr>
            <w:tcW w:w="1559" w:type="dxa"/>
            <w:vAlign w:val="center"/>
          </w:tcPr>
          <w:p w14:paraId="6CADF12F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Birch</w:t>
            </w:r>
          </w:p>
        </w:tc>
        <w:tc>
          <w:tcPr>
            <w:tcW w:w="1559" w:type="dxa"/>
            <w:vAlign w:val="center"/>
          </w:tcPr>
          <w:p w14:paraId="680A8E1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77F9BF20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4326265C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0,356</w:t>
            </w:r>
          </w:p>
        </w:tc>
        <w:tc>
          <w:tcPr>
            <w:tcW w:w="1559" w:type="dxa"/>
            <w:vAlign w:val="center"/>
          </w:tcPr>
          <w:p w14:paraId="299A7B74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0,320</w:t>
            </w:r>
          </w:p>
        </w:tc>
        <w:tc>
          <w:tcPr>
            <w:tcW w:w="1559" w:type="dxa"/>
            <w:vAlign w:val="center"/>
          </w:tcPr>
          <w:p w14:paraId="267ED76D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0,366</w:t>
            </w:r>
          </w:p>
        </w:tc>
      </w:tr>
      <w:tr w:rsidR="006C54D4" w14:paraId="79AD0B0B" w14:textId="77777777">
        <w:trPr>
          <w:jc w:val="center"/>
        </w:trPr>
        <w:tc>
          <w:tcPr>
            <w:tcW w:w="1559" w:type="dxa"/>
            <w:vAlign w:val="center"/>
          </w:tcPr>
          <w:p w14:paraId="0D71657D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K-Means</w:t>
            </w:r>
          </w:p>
        </w:tc>
        <w:tc>
          <w:tcPr>
            <w:tcW w:w="1559" w:type="dxa"/>
            <w:vAlign w:val="center"/>
          </w:tcPr>
          <w:p w14:paraId="524F2594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41618F4F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56C39CCB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0,384</w:t>
            </w:r>
          </w:p>
        </w:tc>
        <w:tc>
          <w:tcPr>
            <w:tcW w:w="1559" w:type="dxa"/>
            <w:vAlign w:val="center"/>
          </w:tcPr>
          <w:p w14:paraId="29630272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0,245</w:t>
            </w:r>
          </w:p>
        </w:tc>
        <w:tc>
          <w:tcPr>
            <w:tcW w:w="1559" w:type="dxa"/>
            <w:vAlign w:val="center"/>
          </w:tcPr>
          <w:p w14:paraId="56619C11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0,273</w:t>
            </w:r>
          </w:p>
        </w:tc>
      </w:tr>
      <w:tr w:rsidR="006C54D4" w14:paraId="6E072C29" w14:textId="77777777">
        <w:trPr>
          <w:jc w:val="center"/>
        </w:trPr>
        <w:tc>
          <w:tcPr>
            <w:tcW w:w="1559" w:type="dxa"/>
            <w:vAlign w:val="center"/>
          </w:tcPr>
          <w:p w14:paraId="7E8DA12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Agglomerative</w:t>
            </w:r>
          </w:p>
        </w:tc>
        <w:tc>
          <w:tcPr>
            <w:tcW w:w="1559" w:type="dxa"/>
            <w:vAlign w:val="center"/>
          </w:tcPr>
          <w:p w14:paraId="1A6C2E43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433772C4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413AAC69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0,345</w:t>
            </w:r>
          </w:p>
        </w:tc>
        <w:tc>
          <w:tcPr>
            <w:tcW w:w="1559" w:type="dxa"/>
            <w:vAlign w:val="center"/>
          </w:tcPr>
          <w:p w14:paraId="02F4FE82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0,223</w:t>
            </w:r>
          </w:p>
        </w:tc>
        <w:tc>
          <w:tcPr>
            <w:tcW w:w="1559" w:type="dxa"/>
            <w:vAlign w:val="center"/>
          </w:tcPr>
          <w:p w14:paraId="0BD463D9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0,290</w:t>
            </w:r>
          </w:p>
        </w:tc>
      </w:tr>
      <w:tr w:rsidR="006C54D4" w14:paraId="1C143C3A" w14:textId="77777777">
        <w:trPr>
          <w:jc w:val="center"/>
        </w:trPr>
        <w:tc>
          <w:tcPr>
            <w:tcW w:w="1559" w:type="dxa"/>
            <w:vAlign w:val="center"/>
          </w:tcPr>
          <w:p w14:paraId="243617CC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HDBSCAN</w:t>
            </w:r>
          </w:p>
        </w:tc>
        <w:tc>
          <w:tcPr>
            <w:tcW w:w="1559" w:type="dxa"/>
            <w:vAlign w:val="center"/>
          </w:tcPr>
          <w:p w14:paraId="4A3BC1DA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188B2BE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w="1559" w:type="dxa"/>
            <w:vAlign w:val="center"/>
          </w:tcPr>
          <w:p w14:paraId="243E081B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0,329</w:t>
            </w:r>
          </w:p>
        </w:tc>
        <w:tc>
          <w:tcPr>
            <w:tcW w:w="1559" w:type="dxa"/>
            <w:vAlign w:val="center"/>
          </w:tcPr>
          <w:p w14:paraId="7AC9A8A1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0,215</w:t>
            </w:r>
          </w:p>
        </w:tc>
        <w:tc>
          <w:tcPr>
            <w:tcW w:w="1559" w:type="dxa"/>
            <w:vAlign w:val="center"/>
          </w:tcPr>
          <w:p w14:paraId="25572ADE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0,232</w:t>
            </w:r>
          </w:p>
        </w:tc>
      </w:tr>
      <w:tr w:rsidR="006C54D4" w14:paraId="398625C5" w14:textId="77777777">
        <w:trPr>
          <w:jc w:val="center"/>
        </w:trPr>
        <w:tc>
          <w:tcPr>
            <w:tcW w:w="1559" w:type="dxa"/>
            <w:vAlign w:val="center"/>
          </w:tcPr>
          <w:p w14:paraId="4F572BAD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AffinityPropagation</w:t>
            </w:r>
          </w:p>
        </w:tc>
        <w:tc>
          <w:tcPr>
            <w:tcW w:w="1559" w:type="dxa"/>
            <w:vAlign w:val="center"/>
          </w:tcPr>
          <w:p w14:paraId="5E3364F0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59" w:type="dxa"/>
            <w:vAlign w:val="center"/>
          </w:tcPr>
          <w:p w14:paraId="74B423E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3DD23128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0,427</w:t>
            </w:r>
          </w:p>
        </w:tc>
        <w:tc>
          <w:tcPr>
            <w:tcW w:w="1559" w:type="dxa"/>
            <w:vAlign w:val="center"/>
          </w:tcPr>
          <w:p w14:paraId="43B4961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0,154</w:t>
            </w:r>
          </w:p>
        </w:tc>
        <w:tc>
          <w:tcPr>
            <w:tcW w:w="1559" w:type="dxa"/>
            <w:vAlign w:val="center"/>
          </w:tcPr>
          <w:p w14:paraId="01EE9992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0,365</w:t>
            </w:r>
          </w:p>
        </w:tc>
      </w:tr>
      <w:tr w:rsidR="006C54D4" w14:paraId="0853C75C" w14:textId="77777777">
        <w:trPr>
          <w:jc w:val="center"/>
        </w:trPr>
        <w:tc>
          <w:tcPr>
            <w:tcW w:w="1559" w:type="dxa"/>
            <w:vAlign w:val="center"/>
          </w:tcPr>
          <w:p w14:paraId="6A63C517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OPTICS</w:t>
            </w:r>
          </w:p>
        </w:tc>
        <w:tc>
          <w:tcPr>
            <w:tcW w:w="1559" w:type="dxa"/>
            <w:vAlign w:val="center"/>
          </w:tcPr>
          <w:p w14:paraId="108D01FD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0C91F957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w="1559" w:type="dxa"/>
            <w:vAlign w:val="center"/>
          </w:tcPr>
          <w:p w14:paraId="57173B72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0,679</w:t>
            </w:r>
          </w:p>
        </w:tc>
        <w:tc>
          <w:tcPr>
            <w:tcW w:w="1559" w:type="dxa"/>
            <w:vAlign w:val="center"/>
          </w:tcPr>
          <w:p w14:paraId="31507123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0,067</w:t>
            </w:r>
          </w:p>
        </w:tc>
        <w:tc>
          <w:tcPr>
            <w:tcW w:w="1559" w:type="dxa"/>
            <w:vAlign w:val="center"/>
          </w:tcPr>
          <w:p w14:paraId="761114B1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0,242</w:t>
            </w:r>
          </w:p>
        </w:tc>
      </w:tr>
      <w:tr w:rsidR="006C54D4" w14:paraId="784FFA5E" w14:textId="77777777">
        <w:trPr>
          <w:jc w:val="center"/>
        </w:trPr>
        <w:tc>
          <w:tcPr>
            <w:tcW w:w="1559" w:type="dxa"/>
            <w:vAlign w:val="center"/>
          </w:tcPr>
          <w:p w14:paraId="1113CE0C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MeanShift</w:t>
            </w:r>
          </w:p>
        </w:tc>
        <w:tc>
          <w:tcPr>
            <w:tcW w:w="1559" w:type="dxa"/>
            <w:vAlign w:val="center"/>
          </w:tcPr>
          <w:p w14:paraId="3FD4499F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4E19397E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38BF83B8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559" w:type="dxa"/>
            <w:vAlign w:val="center"/>
          </w:tcPr>
          <w:p w14:paraId="262D07BB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559" w:type="dxa"/>
            <w:vAlign w:val="center"/>
          </w:tcPr>
          <w:p w14:paraId="288E5B44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</w:tr>
      <w:tr w:rsidR="006C54D4" w14:paraId="4EA8AD0B" w14:textId="77777777">
        <w:trPr>
          <w:jc w:val="center"/>
        </w:trPr>
        <w:tc>
          <w:tcPr>
            <w:tcW w:w="1559" w:type="dxa"/>
            <w:vAlign w:val="center"/>
          </w:tcPr>
          <w:p w14:paraId="2F44F0F8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DBSCAN</w:t>
            </w:r>
          </w:p>
        </w:tc>
        <w:tc>
          <w:tcPr>
            <w:tcW w:w="1559" w:type="dxa"/>
            <w:vAlign w:val="center"/>
          </w:tcPr>
          <w:p w14:paraId="02DD27A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946BEB4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2A0EF076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0,431</w:t>
            </w:r>
          </w:p>
        </w:tc>
        <w:tc>
          <w:tcPr>
            <w:tcW w:w="1559" w:type="dxa"/>
            <w:vAlign w:val="center"/>
          </w:tcPr>
          <w:p w14:paraId="1A2BAD05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-0,001</w:t>
            </w:r>
          </w:p>
        </w:tc>
        <w:tc>
          <w:tcPr>
            <w:tcW w:w="1559" w:type="dxa"/>
            <w:vAlign w:val="center"/>
          </w:tcPr>
          <w:p w14:paraId="18995D9A" w14:textId="77777777" w:rsidR="006C54D4" w:rsidRDefault="00125A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0,022</w:t>
            </w:r>
          </w:p>
        </w:tc>
      </w:tr>
    </w:tbl>
    <w:p w14:paraId="38035F81" w14:textId="77777777" w:rsidR="006C54D4" w:rsidRDefault="006C54D4"/>
    <w:p w14:paraId="7473AFE7" w14:textId="488116AA" w:rsidR="00A8066C" w:rsidRDefault="00125AE2">
      <w:pPr>
        <w:jc w:val="both"/>
        <w:rPr>
          <w:lang w:val="ru-RU"/>
        </w:rPr>
      </w:pPr>
      <w:r w:rsidRPr="00A8066C">
        <w:rPr>
          <w:lang w:val="ru-RU"/>
        </w:rPr>
        <w:t>По таблице установлено, что Gaussian Mixture получил наибольшие значения ARI = 0,509 и NMI = 0,487, выделив три кластера без шумовых меток. Следом расположились Ward (ARI = 0,357) и Bisecting K-Means (ARI = 0,328). Хотя некоторые методы показали более высокий коэффициент силуэта, он не означает лучшего совпадения с эталоном. Поэтому для данной задачи был выбран Gaussian Mixture по внешним метрикам.</w:t>
      </w:r>
    </w:p>
    <w:p w14:paraId="616A5D10" w14:textId="4B8FFC8C" w:rsidR="006C54D4" w:rsidRPr="00A8066C" w:rsidRDefault="00A8066C" w:rsidP="00A8066C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5301B2B" w14:textId="77777777" w:rsidR="006C54D4" w:rsidRPr="00A8066C" w:rsidRDefault="00125AE2">
      <w:pPr>
        <w:pStyle w:val="1"/>
        <w:ind w:firstLine="0"/>
        <w:jc w:val="center"/>
        <w:rPr>
          <w:lang w:val="ru-RU"/>
        </w:rPr>
      </w:pPr>
      <w:bookmarkStart w:id="17" w:name="_Toc243154720"/>
      <w:r w:rsidRPr="00A8066C">
        <w:rPr>
          <w:rFonts w:ascii="Times New Roman" w:hAnsi="Times New Roman"/>
          <w:lang w:val="ru-RU"/>
        </w:rPr>
        <w:lastRenderedPageBreak/>
        <w:t>ВЫВОД</w:t>
      </w:r>
      <w:bookmarkEnd w:id="17"/>
    </w:p>
    <w:p w14:paraId="718F09F9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 xml:space="preserve">В ходе выполнения лабораторной работы была достигнута поставленная цель: исследовал методы снижения размерности и сравнил 12 алгоритмов кластеризации на данных варианта 18. Сначала были изучены корреляции и попарные распределения пяти признаков. Матрица корреляций показала преимущественно слабые линейные связи, а матрица разброса позволила заметить нелинейную структуру отдельных пар признаков. Затем были применены PCA, SVD и ICA, оценены характеристики компонент и построены двумерные проекции. Установлено, что первые две компоненты PCA и SVD сохраняют 47,08 % дисперсии, а для превышения порога 80 % необходимы четыре компоненты. В ICA ошибка восстановления уменьшалась при увеличении числа компонент; при двух компонентах было отмечено предупреждение о </w:t>
      </w:r>
      <w:proofErr w:type="spellStart"/>
      <w:r w:rsidRPr="00A8066C">
        <w:rPr>
          <w:lang w:val="ru-RU"/>
        </w:rPr>
        <w:t>несходимости</w:t>
      </w:r>
      <w:proofErr w:type="spellEnd"/>
      <w:r w:rsidRPr="00A8066C">
        <w:rPr>
          <w:lang w:val="ru-RU"/>
        </w:rPr>
        <w:t>.</w:t>
      </w:r>
    </w:p>
    <w:p w14:paraId="177E8EFE" w14:textId="77777777" w:rsidR="006C54D4" w:rsidRPr="00A8066C" w:rsidRDefault="00125AE2">
      <w:pPr>
        <w:jc w:val="both"/>
        <w:rPr>
          <w:lang w:val="ru-RU"/>
        </w:rPr>
      </w:pPr>
      <w:r w:rsidRPr="00A8066C">
        <w:rPr>
          <w:lang w:val="ru-RU"/>
        </w:rPr>
        <w:t>Во второй части было изучено распределение 226 объектов, выполнена кластеризация 12 методами, построены сравнительные графики, использованы метод локтя, силуэтный анализ и дендрограмма, а также исследованы шумовые точки плотностных алгоритмов. При сравнении результатов с эталонными метками установлено, что лучшего соответствия достиг Gaussian Mixture (ARI = 0,509; NMI = 0,487). Следовательно, для исследованного варианта и выбранных параметров можно считать его наиболее подходящим из рассмотренных алгоритмов по критерию совпадения с эталонными классами. Таким образом, все поставленные задачи были выполнены.</w:t>
      </w:r>
    </w:p>
    <w:p w14:paraId="7393DE4E" w14:textId="1F9AA2A5" w:rsidR="006C54D4" w:rsidRDefault="006C54D4">
      <w:pPr>
        <w:ind w:firstLine="0"/>
        <w:jc w:val="both"/>
      </w:pPr>
    </w:p>
    <w:sectPr w:rsidR="006C54D4" w:rsidSect="00034616">
      <w:footerReference w:type="default" r:id="rId2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40A12" w14:textId="77777777" w:rsidR="00DD00AC" w:rsidRDefault="00DD00AC">
      <w:pPr>
        <w:spacing w:line="240" w:lineRule="auto"/>
      </w:pPr>
      <w:r>
        <w:separator/>
      </w:r>
    </w:p>
  </w:endnote>
  <w:endnote w:type="continuationSeparator" w:id="0">
    <w:p w14:paraId="1B345226" w14:textId="77777777" w:rsidR="00DD00AC" w:rsidRDefault="00DD0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2995D" w14:textId="77777777" w:rsidR="006C54D4" w:rsidRDefault="00125AE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806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98500" w14:textId="77777777" w:rsidR="00DD00AC" w:rsidRDefault="00DD00AC">
      <w:pPr>
        <w:spacing w:line="240" w:lineRule="auto"/>
      </w:pPr>
      <w:r>
        <w:separator/>
      </w:r>
    </w:p>
  </w:footnote>
  <w:footnote w:type="continuationSeparator" w:id="0">
    <w:p w14:paraId="1045E787" w14:textId="77777777" w:rsidR="00DD00AC" w:rsidRDefault="00DD00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A60"/>
    <w:rsid w:val="000F6173"/>
    <w:rsid w:val="00125AE2"/>
    <w:rsid w:val="0015074B"/>
    <w:rsid w:val="001E5787"/>
    <w:rsid w:val="0029639D"/>
    <w:rsid w:val="00326F90"/>
    <w:rsid w:val="00334406"/>
    <w:rsid w:val="00632692"/>
    <w:rsid w:val="006C54D4"/>
    <w:rsid w:val="00A8066C"/>
    <w:rsid w:val="00AA1D8D"/>
    <w:rsid w:val="00B47730"/>
    <w:rsid w:val="00CB0664"/>
    <w:rsid w:val="00DD0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E2462"/>
  <w14:defaultImageDpi w14:val="300"/>
  <w15:docId w15:val="{042AF1BA-E67C-48BB-8A23-4223E4F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806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8066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806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2036</Words>
  <Characters>11607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Podya</cp:lastModifiedBy>
  <cp:revision>6</cp:revision>
  <cp:lastPrinted>2026-10-17T15:50:00Z</cp:lastPrinted>
  <dcterms:created xsi:type="dcterms:W3CDTF">2026-10-17T15:42:00Z</dcterms:created>
  <dcterms:modified xsi:type="dcterms:W3CDTF">2026-10-27T07:39:00Z</dcterms:modified>
  <cp:category/>
</cp:coreProperties>
</file>