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Quartalsbericht</w:t>
      </w:r>
    </w:p>
    <w:p>
      <w:r>
        <w:t xml:space="preserve">Word-Dokumente werden beim Hochladen in formatierten Text umgewandelt. Ueberschriften, Absaetze und Tabellen bleiben erhalten.</w:t>
      </w:r>
    </w:p>
    <w:p>
      <w:pPr>
        <w:pStyle w:val="Heading2"/>
      </w:pPr>
      <w:r>
        <w:t xml:space="preserve">Kennzahlen</w:t>
      </w:r>
    </w:p>
    <w:tbl>
      <w:tr>
        <w:tc>
          <w:tcPr>
            <w:tcW w:w="2400" w:type="dxa"/>
          </w:tcPr>
          <w:p>
            <w:r>
              <w:t xml:space="preserve">Monat</w:t>
            </w:r>
          </w:p>
        </w:tc>
        <w:tc>
          <w:tcPr>
            <w:tcW w:w="2400" w:type="dxa"/>
          </w:tcPr>
          <w:p>
            <w:r>
              <w:t xml:space="preserve">Umsatz</w:t>
            </w:r>
          </w:p>
        </w:tc>
        <w:tc>
          <w:tcPr>
            <w:tcW w:w="2400" w:type="dxa"/>
          </w:tcPr>
          <w:p>
            <w:r>
              <w:t xml:space="preserve">Veraenderung</w:t>
            </w:r>
          </w:p>
        </w:tc>
      </w:tr>
      <w:tr>
        <w:tc>
          <w:tcPr>
            <w:tcW w:w="2400" w:type="dxa"/>
          </w:tcPr>
          <w:p>
            <w:r>
              <w:t xml:space="preserve">Januar</w:t>
            </w:r>
          </w:p>
        </w:tc>
        <w:tc>
          <w:tcPr>
            <w:tcW w:w="2400" w:type="dxa"/>
          </w:tcPr>
          <w:p>
            <w:r>
              <w:t xml:space="preserve">12.400 EUR</w:t>
            </w:r>
          </w:p>
        </w:tc>
        <w:tc>
          <w:tcPr>
            <w:tcW w:w="2400" w:type="dxa"/>
          </w:tcPr>
          <w:p>
            <w:r>
              <w:t xml:space="preserve">+4 %</w:t>
            </w:r>
          </w:p>
        </w:tc>
      </w:tr>
      <w:tr>
        <w:tc>
          <w:tcPr>
            <w:tcW w:w="2400" w:type="dxa"/>
          </w:tcPr>
          <w:p>
            <w:r>
              <w:t xml:space="preserve">Februar</w:t>
            </w:r>
          </w:p>
        </w:tc>
        <w:tc>
          <w:tcPr>
            <w:tcW w:w="2400" w:type="dxa"/>
          </w:tcPr>
          <w:p>
            <w:r>
              <w:t xml:space="preserve">13.900 EUR</w:t>
            </w:r>
          </w:p>
        </w:tc>
        <w:tc>
          <w:tcPr>
            <w:tcW w:w="2400" w:type="dxa"/>
          </w:tcPr>
          <w:p>
            <w:r>
              <w:t xml:space="preserve">+12 %</w:t>
            </w:r>
          </w:p>
        </w:tc>
      </w:tr>
      <w:tr>
        <w:tc>
          <w:tcPr>
            <w:tcW w:w="2400" w:type="dxa"/>
          </w:tcPr>
          <w:p>
            <w:r>
              <w:t xml:space="preserve">Maerz</w:t>
            </w:r>
          </w:p>
        </w:tc>
        <w:tc>
          <w:tcPr>
            <w:tcW w:w="2400" w:type="dxa"/>
          </w:tcPr>
          <w:p>
            <w:r>
              <w:t xml:space="preserve">15.200 EUR</w:t>
            </w:r>
          </w:p>
        </w:tc>
        <w:tc>
          <w:tcPr>
            <w:tcW w:w="2400" w:type="dxa"/>
          </w:tcPr>
          <w:p>
            <w:r>
              <w:t xml:space="preserve">+9 %</w:t>
            </w:r>
          </w:p>
        </w:tc>
      </w:tr>
    </w:tbl>
    <w:p>
      <w:pPr>
        <w:pStyle w:val="Heading2"/>
      </w:pPr>
      <w:r>
        <w:t xml:space="preserve">Naechste Schritte</w:t>
      </w:r>
    </w:p>
    <w:p>
      <w:r>
        <w:t xml:space="preserve">Der Share-Link bleibt bestehen, auch wenn Sie eine neue Fassung hochladen.</w:t>
      </w:r>
    </w:p>
  </w:body>
</w:document>
</file>