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Yes. We have enough architecture now to stop talking about it abstractly and build the first unified Commons core.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I'm going to make this as a real, domain-neutral foundation—not a D20 program with the game parts stripped out. The old D20/CCB code contributes the proven machinery: containers, commands, versioning, integrity, history, snapshots, diffs, rollback, branching, and audit. The contextual layer becomes a first-class subsystem.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first implementation should be Python, because it gives us a clean core that can later expose an API, web UI, database persistence, and external-model adapters.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I’ll build it around these primitives: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COMMONS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State Engine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Command / Control Protocol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Version &amp; History Engine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Integrity / Audit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Contextual Communication Layer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Interlocutor Models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Observations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Interpretations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Continuity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└── Provenance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Participants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Human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└── AI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Roles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└── keyword → role definition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Tables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hierarchy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participants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context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history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└── local agent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Scoped Keyword / Index System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Context Isolation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AI Adaptation Layer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Nexus / Routing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└── Persistence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the critical rules will be enforced by the code rather than merely written into prompts: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keyword has no meaning outside its declared scope.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table has an immutable ID.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participant can occupy any role.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HUMAN and AI are participant types, not role types.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Shared intelligence does not imply shared context.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Cross-table access requires explicit authorization.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Local-agent display names are contextual.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History remains persistent without being permanently loaded into active context.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Every retrieved record carries provenance.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Domains are plugins/schemas, not kernel assumptions.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I'm going to make the first deliverable the actual core program, with a runnable CLI and JSON persistence, so we're building upward from something executable rather than another architecture document.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