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C0C5" w14:textId="77777777" w:rsidR="00042A80" w:rsidRPr="00E17C6C" w:rsidRDefault="00042A80" w:rsidP="00042A80">
      <w:pPr>
        <w:pStyle w:val="FirstParagraph"/>
        <w:rPr>
          <w:lang w:val="es-MX"/>
        </w:rPr>
      </w:pPr>
      <w:bookmarkStart w:id="0" w:name="_Toc218775661"/>
    </w:p>
    <w:p w14:paraId="19372B19" w14:textId="77777777" w:rsidR="00042A80" w:rsidRDefault="00042A80" w:rsidP="00042A80">
      <w:pPr>
        <w:pStyle w:val="Ttulo1"/>
        <w:numPr>
          <w:ilvl w:val="0"/>
          <w:numId w:val="1"/>
        </w:numPr>
        <w:tabs>
          <w:tab w:val="num" w:pos="360"/>
        </w:tabs>
        <w:ind w:left="0" w:firstLine="0"/>
      </w:pPr>
      <w:bookmarkStart w:id="1" w:name="_Toc233016311"/>
      <w:bookmarkStart w:id="2" w:name="_Toc233066739"/>
      <w:r>
        <w:t>Capítulo 2. Marco Teórico</w:t>
      </w:r>
      <w:bookmarkEnd w:id="1"/>
      <w:bookmarkEnd w:id="2"/>
    </w:p>
    <w:p w14:paraId="747D1646" w14:textId="77777777" w:rsidR="00042A80" w:rsidRDefault="00042A80" w:rsidP="00042A80">
      <w:pPr>
        <w:pStyle w:val="FirstParagraph"/>
      </w:pPr>
    </w:p>
    <w:p w14:paraId="7DCC8478" w14:textId="77777777" w:rsidR="00042A80" w:rsidRDefault="00042A80" w:rsidP="00042A80">
      <w:pPr>
        <w:pStyle w:val="FirstParagraph"/>
        <w:numPr>
          <w:ilvl w:val="1"/>
          <w:numId w:val="1"/>
        </w:numPr>
        <w:rPr>
          <w:rFonts w:ascii="Times New Roman" w:eastAsiaTheme="majorEastAsia" w:hAnsi="Times New Roman" w:cstheme="majorBidi"/>
          <w:b/>
          <w:sz w:val="30"/>
          <w:szCs w:val="26"/>
          <w:lang w:val="es-MX" w:eastAsia="es-MX"/>
        </w:rPr>
      </w:pPr>
      <w:r w:rsidRPr="005371C0">
        <w:rPr>
          <w:rFonts w:ascii="Times New Roman" w:eastAsiaTheme="majorEastAsia" w:hAnsi="Times New Roman" w:cstheme="majorBidi"/>
          <w:b/>
          <w:sz w:val="30"/>
          <w:szCs w:val="26"/>
          <w:lang w:val="es-MX" w:eastAsia="es-MX"/>
        </w:rPr>
        <w:t>Representación de datos y reducción de dimensionalidad</w:t>
      </w:r>
    </w:p>
    <w:p w14:paraId="2A02F857" w14:textId="77777777" w:rsidR="00042A80" w:rsidRDefault="00042A80" w:rsidP="00042A80">
      <w:pPr>
        <w:pStyle w:val="Prrafobase"/>
        <w:rPr>
          <w:rFonts w:eastAsiaTheme="minorHAnsi"/>
        </w:rPr>
      </w:pPr>
    </w:p>
    <w:p w14:paraId="4EFDE81D" w14:textId="678D04C8" w:rsidR="00042A80" w:rsidRDefault="00042A80" w:rsidP="00042A80">
      <w:pPr>
        <w:pStyle w:val="Prrafobase"/>
        <w:rPr>
          <w:rFonts w:eastAsiaTheme="minorHAnsi"/>
        </w:rPr>
      </w:pPr>
      <w:r w:rsidRPr="005371C0">
        <w:rPr>
          <w:rFonts w:eastAsiaTheme="minorHAnsi"/>
        </w:rPr>
        <w:t>En problemas de aprendizaje supervisado, un conjunto de datos puede representarse como una matriz en la que cada fila corresponde a una observación y cada columna a una característica o variable descriptiva. Cuando las observaciones cuentan con una etiqueta de clase, dicha representación se convierte en la base sobre la cual los algoritmos de clasificación buscan identificar patrones que permitan distinguir entre grupos. Por ello, la calidad de la representación de los datos influye directamente en la capacidad de separación alcanzada por los modelos</w:t>
      </w:r>
      <w:r w:rsidR="00BE59DB">
        <w:rPr>
          <w:rFonts w:eastAsiaTheme="minorHAnsi"/>
        </w:rPr>
        <w:t xml:space="preserve"> (</w:t>
      </w:r>
      <w:r w:rsidR="00BE59DB" w:rsidRPr="00BE59DB">
        <w:rPr>
          <w:rFonts w:eastAsiaTheme="minorHAnsi"/>
          <w:lang w:val="es-MX"/>
        </w:rPr>
        <w:t>Hastie</w:t>
      </w:r>
      <w:r w:rsidR="00C517F4">
        <w:rPr>
          <w:rFonts w:eastAsiaTheme="minorHAnsi"/>
          <w:lang w:val="es-MX"/>
        </w:rPr>
        <w:t xml:space="preserve"> et al.</w:t>
      </w:r>
      <w:r w:rsidR="00BE59DB" w:rsidRPr="00BE59DB">
        <w:rPr>
          <w:rFonts w:eastAsiaTheme="minorHAnsi"/>
          <w:lang w:val="es-MX"/>
        </w:rPr>
        <w:t>, 2009)</w:t>
      </w:r>
      <w:r w:rsidRPr="005371C0">
        <w:rPr>
          <w:rFonts w:eastAsiaTheme="minorHAnsi"/>
        </w:rPr>
        <w:t>.</w:t>
      </w:r>
    </w:p>
    <w:p w14:paraId="7DBE7773" w14:textId="77777777" w:rsidR="00042A80" w:rsidRPr="005371C0" w:rsidRDefault="00042A80" w:rsidP="00042A80">
      <w:pPr>
        <w:pStyle w:val="Prrafoconsangra"/>
      </w:pPr>
    </w:p>
    <w:p w14:paraId="0EF96B98" w14:textId="17C4A598" w:rsidR="00042A80" w:rsidRDefault="00042A80" w:rsidP="00042A80">
      <w:pPr>
        <w:pStyle w:val="Prrafobase"/>
        <w:rPr>
          <w:rFonts w:eastAsiaTheme="minorHAnsi"/>
        </w:rPr>
      </w:pPr>
      <w:r w:rsidRPr="005371C0">
        <w:rPr>
          <w:rFonts w:eastAsiaTheme="minorHAnsi"/>
        </w:rPr>
        <w:t>El manejo de conjuntos de datos con un número elevado de variables plantea desafíos relevantes en términos de costo computacional, redundancia de información y riesgo de sobreajuste</w:t>
      </w:r>
      <w:r w:rsidR="00803324">
        <w:rPr>
          <w:rFonts w:eastAsiaTheme="minorHAnsi"/>
        </w:rPr>
        <w:t xml:space="preserve"> </w:t>
      </w:r>
      <w:r w:rsidR="00803324" w:rsidRPr="00042A80">
        <w:rPr>
          <w:rFonts w:eastAsiaTheme="minorHAnsi"/>
          <w:lang w:val="es-MX"/>
        </w:rPr>
        <w:t>(Sorzano et al., 2014)</w:t>
      </w:r>
      <w:r w:rsidRPr="005371C0">
        <w:rPr>
          <w:rFonts w:eastAsiaTheme="minorHAnsi"/>
        </w:rPr>
        <w:t>. En estos escenarios, no todas las características contribuyen de manera equivalente al proceso de clasificación; algunas pueden ser irrelevantes, redundantes o incluso introducir ruido en el modelo</w:t>
      </w:r>
      <w:r w:rsidR="00BE59DB">
        <w:rPr>
          <w:rFonts w:eastAsiaTheme="minorHAnsi"/>
        </w:rPr>
        <w:t xml:space="preserve"> (</w:t>
      </w:r>
      <w:r w:rsidR="00BE59DB">
        <w:t>Tang et al., 2014)</w:t>
      </w:r>
      <w:r w:rsidRPr="005371C0">
        <w:rPr>
          <w:rFonts w:eastAsiaTheme="minorHAnsi"/>
        </w:rPr>
        <w:t>. La reducción de dimensionalidad aborda este problema al buscar una representación más compacta de los datos, procurando conservar la información más relevante para la tarea de análisis.</w:t>
      </w:r>
    </w:p>
    <w:p w14:paraId="11A16097" w14:textId="77777777" w:rsidR="00042A80" w:rsidRPr="005371C0" w:rsidRDefault="00042A80" w:rsidP="00042A80">
      <w:pPr>
        <w:pStyle w:val="Prrafoconsangra"/>
      </w:pPr>
    </w:p>
    <w:p w14:paraId="499D2C14" w14:textId="057C7612" w:rsidR="00042A80" w:rsidRPr="005371C0" w:rsidRDefault="00761A31" w:rsidP="00042A80">
      <w:pPr>
        <w:pStyle w:val="Prrafoconsangra"/>
        <w:ind w:firstLine="0"/>
      </w:pPr>
      <w:r w:rsidRPr="00761A31">
        <w:rPr>
          <w:rFonts w:eastAsiaTheme="minorHAnsi"/>
          <w:lang w:val="es-MX"/>
        </w:rPr>
        <w:t>De manera general, las técnicas de reducción de dimensionalidad pueden agruparse en dos enfoques principales: selección de características y extracción de características. La selección de características conserva un subconjunto de las variables originales, por lo que mantiene una relación directa con la representación inicial de los datos. En contraste, la extracción de características transforma el espacio original para generar nuevas variables, componentes o proyecciones, como ocurre en métodos basados en componentes principales o análisis discriminante</w:t>
      </w:r>
      <w:r w:rsidR="00BE59DB">
        <w:rPr>
          <w:rFonts w:eastAsiaTheme="minorHAnsi"/>
          <w:lang w:val="es-MX"/>
        </w:rPr>
        <w:t xml:space="preserve"> </w:t>
      </w:r>
      <w:r w:rsidR="00C517F4" w:rsidRPr="00C517F4">
        <w:rPr>
          <w:lang w:val="es-MX"/>
        </w:rPr>
        <w:t xml:space="preserve">(Jain et al., 2000; </w:t>
      </w:r>
      <w:r w:rsidR="00FE002C" w:rsidRPr="00FE002C">
        <w:rPr>
          <w:lang w:val="es-MX"/>
        </w:rPr>
        <w:t>Sorzano et al., 2014</w:t>
      </w:r>
      <w:r w:rsidR="00C517F4" w:rsidRPr="00C517F4">
        <w:rPr>
          <w:lang w:val="es-MX"/>
        </w:rPr>
        <w:t>)</w:t>
      </w:r>
      <w:r w:rsidRPr="00761A31">
        <w:rPr>
          <w:rFonts w:eastAsiaTheme="minorHAnsi"/>
          <w:lang w:val="es-MX"/>
        </w:rPr>
        <w:t>.</w:t>
      </w:r>
    </w:p>
    <w:p w14:paraId="2DB0C90B" w14:textId="77777777" w:rsidR="00042A80" w:rsidRPr="005371C0" w:rsidRDefault="00042A80" w:rsidP="00042A80">
      <w:pPr>
        <w:pStyle w:val="Prrafoconsangra"/>
      </w:pPr>
    </w:p>
    <w:p w14:paraId="4042A781" w14:textId="5C728A26" w:rsidR="00761A31" w:rsidRPr="00761A31" w:rsidRDefault="00761A31" w:rsidP="00761A31">
      <w:pPr>
        <w:pStyle w:val="Prrafobase"/>
      </w:pPr>
      <w:r w:rsidRPr="00761A31">
        <w:rPr>
          <w:rFonts w:eastAsiaTheme="minorHAnsi"/>
        </w:rPr>
        <w:t xml:space="preserve">En la Figura 2.1 se presenta una taxonomía general de las técnicas de reducción de dimensionalidad. Esta clasificación permite ubicar los métodos de selección de características, como los enfoques filtro y </w:t>
      </w:r>
      <w:proofErr w:type="spellStart"/>
      <w:r w:rsidRPr="00761A31">
        <w:rPr>
          <w:rFonts w:eastAsiaTheme="minorHAnsi"/>
        </w:rPr>
        <w:t>wrapper</w:t>
      </w:r>
      <w:proofErr w:type="spellEnd"/>
      <w:r w:rsidRPr="00761A31">
        <w:rPr>
          <w:rFonts w:eastAsiaTheme="minorHAnsi"/>
        </w:rPr>
        <w:t>, así como los métodos de extracción, entre los que se incluyen técnicas lineales, no lineales, supervisadas y no supervisadas (Medina et al., 2025).</w:t>
      </w:r>
    </w:p>
    <w:p w14:paraId="6EDD35AC" w14:textId="77777777" w:rsidR="00042A80" w:rsidRDefault="00042A80" w:rsidP="00042A80">
      <w:pPr>
        <w:pStyle w:val="Textoindependiente"/>
        <w:jc w:val="center"/>
      </w:pPr>
      <w:r>
        <w:rPr>
          <w:noProof/>
        </w:rPr>
        <w:drawing>
          <wp:inline distT="0" distB="0" distL="0" distR="0" wp14:anchorId="7F0BF9D5" wp14:editId="4E703307">
            <wp:extent cx="3967031" cy="2120443"/>
            <wp:effectExtent l="0" t="0" r="0" b="0"/>
            <wp:docPr id="1038767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7049" cy="2136488"/>
                    </a:xfrm>
                    <a:prstGeom prst="rect">
                      <a:avLst/>
                    </a:prstGeom>
                    <a:noFill/>
                  </pic:spPr>
                </pic:pic>
              </a:graphicData>
            </a:graphic>
          </wp:inline>
        </w:drawing>
      </w:r>
    </w:p>
    <w:p w14:paraId="48140A15" w14:textId="3E0921E3" w:rsidR="00042A80" w:rsidRPr="00042A80" w:rsidRDefault="00042A80" w:rsidP="00042A80">
      <w:pPr>
        <w:pStyle w:val="Textoindependiente"/>
        <w:jc w:val="center"/>
        <w:rPr>
          <w:rStyle w:val="Fuerte"/>
        </w:rPr>
      </w:pPr>
      <w:r w:rsidRPr="00042A80">
        <w:rPr>
          <w:rStyle w:val="Fuerte"/>
        </w:rPr>
        <w:t xml:space="preserve">Figura 1: </w:t>
      </w:r>
      <w:r w:rsidR="00C517F4" w:rsidRPr="00C517F4">
        <w:rPr>
          <w:b/>
          <w:bCs/>
        </w:rPr>
        <w:t>Taxonomía de las técnicas de reducción de dimensionalidad. Tomada de Medina et al. (2025).</w:t>
      </w:r>
    </w:p>
    <w:p w14:paraId="37610C7C" w14:textId="77777777" w:rsidR="00042A80" w:rsidRDefault="00042A80" w:rsidP="00042A80">
      <w:pPr>
        <w:pStyle w:val="Textoindependiente"/>
      </w:pPr>
    </w:p>
    <w:p w14:paraId="2128B469" w14:textId="29451F5F" w:rsidR="00042A80" w:rsidRDefault="00042A80" w:rsidP="00042A80">
      <w:pPr>
        <w:pStyle w:val="Prrafobase"/>
        <w:rPr>
          <w:rFonts w:eastAsiaTheme="minorHAnsi"/>
        </w:rPr>
      </w:pPr>
      <w:r w:rsidRPr="005371C0">
        <w:rPr>
          <w:rFonts w:eastAsiaTheme="minorHAnsi"/>
        </w:rPr>
        <w:t>Dentro de los métodos de selección de características, los enfoques de tipo filtro evalúan la relevancia de las variables a partir de propiedades intrínsecas de los datos, tales como la varianza, la correlación o la información mutua, sin involucrar directamente un algoritmo de clasificación. Esta independencia del modelo suele hacerlos computacionalmente eficientes y escalables; sin embargo, también puede limitar su capacidad para identificar interacciones complejas entre variables</w:t>
      </w:r>
      <w:r w:rsidR="00C517F4">
        <w:rPr>
          <w:rFonts w:eastAsiaTheme="minorHAnsi"/>
        </w:rPr>
        <w:t xml:space="preserve"> (</w:t>
      </w:r>
      <w:r w:rsidR="00C517F4" w:rsidRPr="00C517F4">
        <w:rPr>
          <w:rFonts w:eastAsiaTheme="minorHAnsi"/>
          <w:lang w:val="es-MX"/>
        </w:rPr>
        <w:t>Chandrashekar</w:t>
      </w:r>
      <w:r w:rsidR="00C517F4">
        <w:rPr>
          <w:rFonts w:eastAsiaTheme="minorHAnsi"/>
          <w:lang w:val="es-MX"/>
        </w:rPr>
        <w:t xml:space="preserve"> </w:t>
      </w:r>
      <w:r w:rsidR="00C517F4" w:rsidRPr="001C2629">
        <w:rPr>
          <w:rFonts w:eastAsiaTheme="minorHAnsi"/>
          <w:lang w:val="es-MX"/>
        </w:rPr>
        <w:t>&amp; Sahin</w:t>
      </w:r>
      <w:r w:rsidR="00C517F4">
        <w:rPr>
          <w:rFonts w:eastAsiaTheme="minorHAnsi"/>
          <w:lang w:val="es-MX"/>
        </w:rPr>
        <w:t xml:space="preserve">, </w:t>
      </w:r>
      <w:r w:rsidR="00C517F4" w:rsidRPr="00C517F4">
        <w:rPr>
          <w:rFonts w:eastAsiaTheme="minorHAnsi"/>
          <w:lang w:val="es-MX"/>
        </w:rPr>
        <w:t>2014</w:t>
      </w:r>
      <w:r w:rsidR="00C517F4">
        <w:rPr>
          <w:rFonts w:eastAsiaTheme="minorHAnsi"/>
          <w:lang w:val="es-MX"/>
        </w:rPr>
        <w:t>)</w:t>
      </w:r>
      <w:r w:rsidRPr="005371C0">
        <w:rPr>
          <w:rFonts w:eastAsiaTheme="minorHAnsi"/>
        </w:rPr>
        <w:t>.</w:t>
      </w:r>
    </w:p>
    <w:p w14:paraId="319DDEF0" w14:textId="77777777" w:rsidR="00042A80" w:rsidRPr="00260554" w:rsidRDefault="00042A80" w:rsidP="00042A80">
      <w:pPr>
        <w:pStyle w:val="Prrafoconsangra"/>
        <w:rPr>
          <w:rFonts w:eastAsiaTheme="minorHAnsi"/>
        </w:rPr>
      </w:pPr>
    </w:p>
    <w:p w14:paraId="0EF8AD76" w14:textId="0F61C216" w:rsidR="00260554" w:rsidRPr="00260554" w:rsidRDefault="00042A80" w:rsidP="00260554">
      <w:pPr>
        <w:pStyle w:val="Textoindependiente"/>
        <w:rPr>
          <w:rFonts w:ascii="Times New Roman" w:hAnsi="Times New Roman" w:cs="Times New Roman"/>
          <w:color w:val="000000"/>
          <w:sz w:val="24"/>
          <w:szCs w:val="26"/>
          <w:lang w:val="es-ES_tradnl" w:eastAsia="es-MX"/>
        </w:rPr>
      </w:pPr>
      <w:r w:rsidRPr="00260554">
        <w:rPr>
          <w:rFonts w:ascii="Times New Roman" w:hAnsi="Times New Roman" w:cs="Times New Roman"/>
          <w:color w:val="000000"/>
          <w:sz w:val="24"/>
          <w:szCs w:val="26"/>
          <w:lang w:val="es-ES_tradnl" w:eastAsia="es-MX"/>
        </w:rPr>
        <w:t>Por otro lado, los métodos</w:t>
      </w:r>
      <w:r w:rsidR="00260554">
        <w:rPr>
          <w:rFonts w:ascii="Times New Roman" w:hAnsi="Times New Roman" w:cs="Times New Roman"/>
          <w:color w:val="000000"/>
          <w:sz w:val="24"/>
          <w:szCs w:val="26"/>
          <w:lang w:val="es-ES_tradnl" w:eastAsia="es-MX"/>
        </w:rPr>
        <w:t xml:space="preserve"> de envoltura (</w:t>
      </w:r>
      <w:proofErr w:type="spellStart"/>
      <w:r w:rsidRPr="00260554">
        <w:rPr>
          <w:rFonts w:ascii="Times New Roman" w:hAnsi="Times New Roman" w:cs="Times New Roman"/>
          <w:color w:val="000000"/>
          <w:sz w:val="24"/>
          <w:szCs w:val="26"/>
          <w:lang w:val="es-ES_tradnl" w:eastAsia="es-MX"/>
        </w:rPr>
        <w:t>wrapper</w:t>
      </w:r>
      <w:proofErr w:type="spellEnd"/>
      <w:r w:rsidR="00260554" w:rsidRPr="00260554">
        <w:rPr>
          <w:rFonts w:ascii="Times New Roman" w:hAnsi="Times New Roman" w:cs="Times New Roman"/>
          <w:color w:val="000000"/>
          <w:sz w:val="24"/>
          <w:szCs w:val="26"/>
          <w:lang w:val="es-ES_tradnl" w:eastAsia="es-MX"/>
        </w:rPr>
        <w:t>)</w:t>
      </w:r>
      <w:r w:rsidRPr="00260554">
        <w:rPr>
          <w:rFonts w:ascii="Times New Roman" w:hAnsi="Times New Roman" w:cs="Times New Roman"/>
          <w:color w:val="000000"/>
          <w:sz w:val="24"/>
          <w:szCs w:val="26"/>
          <w:lang w:val="es-ES_tradnl" w:eastAsia="es-MX"/>
        </w:rPr>
        <w:t xml:space="preserve"> evalúan subconjuntos de características utilizando el desempeño de un modelo de aprendizaje como criterio de calidad</w:t>
      </w:r>
      <w:r w:rsidR="00260554" w:rsidRPr="00260554">
        <w:rPr>
          <w:rFonts w:ascii="Times New Roman" w:hAnsi="Times New Roman" w:cs="Times New Roman"/>
          <w:color w:val="000000"/>
          <w:sz w:val="24"/>
          <w:szCs w:val="26"/>
          <w:lang w:val="es-ES_tradnl" w:eastAsia="es-MX"/>
        </w:rPr>
        <w:t xml:space="preserve"> (</w:t>
      </w:r>
      <w:proofErr w:type="spellStart"/>
      <w:r w:rsidR="00260554" w:rsidRPr="00260554">
        <w:rPr>
          <w:rFonts w:ascii="Times New Roman" w:hAnsi="Times New Roman" w:cs="Times New Roman"/>
          <w:color w:val="000000"/>
          <w:sz w:val="24"/>
          <w:szCs w:val="26"/>
          <w:lang w:val="es-ES_tradnl" w:eastAsia="es-MX"/>
        </w:rPr>
        <w:t>Kohavi</w:t>
      </w:r>
      <w:proofErr w:type="spellEnd"/>
      <w:r w:rsidR="00260554" w:rsidRPr="00260554">
        <w:rPr>
          <w:rFonts w:ascii="Times New Roman" w:hAnsi="Times New Roman" w:cs="Times New Roman"/>
          <w:color w:val="000000"/>
          <w:sz w:val="24"/>
          <w:szCs w:val="26"/>
          <w:lang w:val="es-ES_tradnl" w:eastAsia="es-MX"/>
        </w:rPr>
        <w:t xml:space="preserve"> &amp; John,</w:t>
      </w:r>
      <w:r w:rsidR="00C517F4">
        <w:rPr>
          <w:rFonts w:ascii="Times New Roman" w:hAnsi="Times New Roman" w:cs="Times New Roman"/>
          <w:color w:val="000000"/>
          <w:sz w:val="24"/>
          <w:szCs w:val="26"/>
          <w:lang w:val="es-ES_tradnl" w:eastAsia="es-MX"/>
        </w:rPr>
        <w:t xml:space="preserve"> </w:t>
      </w:r>
      <w:r w:rsidR="00260554" w:rsidRPr="00260554">
        <w:rPr>
          <w:rFonts w:ascii="Times New Roman" w:hAnsi="Times New Roman" w:cs="Times New Roman"/>
          <w:color w:val="000000"/>
          <w:sz w:val="24"/>
          <w:szCs w:val="26"/>
          <w:lang w:val="es-ES_tradnl" w:eastAsia="es-MX"/>
        </w:rPr>
        <w:t>1997)</w:t>
      </w:r>
      <w:r w:rsidR="00C517F4">
        <w:rPr>
          <w:rFonts w:ascii="Times New Roman" w:hAnsi="Times New Roman" w:cs="Times New Roman"/>
          <w:color w:val="000000"/>
          <w:sz w:val="24"/>
          <w:szCs w:val="26"/>
          <w:lang w:val="es-ES_tradnl" w:eastAsia="es-MX"/>
        </w:rPr>
        <w:t>.</w:t>
      </w:r>
    </w:p>
    <w:p w14:paraId="107E58E9" w14:textId="0231F90C" w:rsidR="00042A80" w:rsidRDefault="00042A80" w:rsidP="00042A80">
      <w:pPr>
        <w:pStyle w:val="Prrafobase"/>
        <w:rPr>
          <w:rFonts w:eastAsiaTheme="minorHAnsi"/>
        </w:rPr>
      </w:pPr>
      <w:r w:rsidRPr="005371C0">
        <w:rPr>
          <w:rFonts w:eastAsiaTheme="minorHAnsi"/>
        </w:rPr>
        <w:t xml:space="preserve">En este tipo de enfoque, se genera un subconjunto de variables, se entrena o evalúa un modelo con dicho subconjunto y posteriormente se calcula una métrica de desempeño que permite determinar la pertinencia de la selección realizada. Aunque estos métodos suelen ser más costosos computacionalmente que los filtros, pueden resultar más adecuados cuando la </w:t>
      </w:r>
      <w:r w:rsidRPr="005371C0">
        <w:rPr>
          <w:rFonts w:eastAsiaTheme="minorHAnsi"/>
        </w:rPr>
        <w:lastRenderedPageBreak/>
        <w:t xml:space="preserve">utilidad de una característica depende de su interacción con otras </w:t>
      </w:r>
      <w:r w:rsidR="00260554" w:rsidRPr="005371C0">
        <w:rPr>
          <w:rFonts w:eastAsiaTheme="minorHAnsi"/>
        </w:rPr>
        <w:t>variables</w:t>
      </w:r>
      <w:r w:rsidR="00260554" w:rsidRPr="00260554">
        <w:t xml:space="preserve"> </w:t>
      </w:r>
      <w:r w:rsidR="00260554">
        <w:t>(</w:t>
      </w:r>
      <w:r w:rsidR="00260554" w:rsidRPr="00260554">
        <w:rPr>
          <w:rFonts w:eastAsiaTheme="minorHAnsi"/>
        </w:rPr>
        <w:t>Guyon &amp; Elisseeff</w:t>
      </w:r>
      <w:r w:rsidR="00260554">
        <w:rPr>
          <w:rFonts w:eastAsiaTheme="minorHAnsi"/>
        </w:rPr>
        <w:t xml:space="preserve">, </w:t>
      </w:r>
      <w:r w:rsidR="00260554" w:rsidRPr="00260554">
        <w:rPr>
          <w:rFonts w:eastAsiaTheme="minorHAnsi"/>
        </w:rPr>
        <w:t>2003)</w:t>
      </w:r>
      <w:r w:rsidR="00260554">
        <w:rPr>
          <w:rFonts w:eastAsiaTheme="minorHAnsi"/>
        </w:rPr>
        <w:t>.</w:t>
      </w:r>
    </w:p>
    <w:p w14:paraId="5A258D34" w14:textId="77777777" w:rsidR="00042A80" w:rsidRPr="005371C0" w:rsidRDefault="00042A80" w:rsidP="00042A80">
      <w:pPr>
        <w:pStyle w:val="Prrafoconsangra"/>
      </w:pPr>
    </w:p>
    <w:p w14:paraId="6DA6E452" w14:textId="67981743" w:rsidR="00042A80" w:rsidRDefault="00042A80" w:rsidP="00042A80">
      <w:pPr>
        <w:pStyle w:val="Prrafobase"/>
        <w:rPr>
          <w:rFonts w:eastAsiaTheme="minorHAnsi"/>
        </w:rPr>
      </w:pPr>
      <w:r w:rsidRPr="005371C0">
        <w:rPr>
          <w:rFonts w:eastAsiaTheme="minorHAnsi"/>
        </w:rPr>
        <w:t>Esta distinción es especialmente relevante para la presente investigación, debido a que la expansión polinomial genera nuevos términos a partir de combinaciones de variables originales. En este contexto, la utilidad de un término cruzado, por ejemplo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oMath>
      <w:r w:rsidRPr="005371C0">
        <w:rPr>
          <w:rFonts w:eastAsiaTheme="minorHAnsi"/>
        </w:rPr>
        <w:t xml:space="preserve">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j</m:t>
            </m:r>
          </m:sub>
        </m:sSub>
      </m:oMath>
      <w:r w:rsidRPr="005371C0">
        <w:rPr>
          <w:rFonts w:eastAsiaTheme="minorHAnsi"/>
        </w:rPr>
        <w:t>), puede depender de la presencia conjunta de otros términos en el modelo. Por ello, un enfoque de selección basado en la evaluación del desempeño del modelo resulta pertinente para reducir la redundancia del espacio expandido y conservar únicamente aquellas variables o términos que aporten a la separación entre clases</w:t>
      </w:r>
      <w:r w:rsidR="00260554" w:rsidRPr="00260554">
        <w:t xml:space="preserve"> </w:t>
      </w:r>
      <w:r w:rsidR="00C517F4" w:rsidRPr="00C517F4">
        <w:rPr>
          <w:lang w:val="es-MX"/>
        </w:rPr>
        <w:t>(</w:t>
      </w:r>
      <w:proofErr w:type="spellStart"/>
      <w:r w:rsidR="00C517F4" w:rsidRPr="00C517F4">
        <w:rPr>
          <w:lang w:val="es-MX"/>
        </w:rPr>
        <w:t>Kohavi</w:t>
      </w:r>
      <w:proofErr w:type="spellEnd"/>
      <w:r w:rsidR="00C517F4" w:rsidRPr="00C517F4">
        <w:rPr>
          <w:lang w:val="es-MX"/>
        </w:rPr>
        <w:t xml:space="preserve"> &amp; John</w:t>
      </w:r>
      <w:r w:rsidR="00C517F4">
        <w:rPr>
          <w:lang w:val="es-MX"/>
        </w:rPr>
        <w:t>,</w:t>
      </w:r>
      <w:r w:rsidR="00C517F4" w:rsidRPr="00C517F4">
        <w:rPr>
          <w:lang w:val="es-MX"/>
        </w:rPr>
        <w:t xml:space="preserve"> 1997)</w:t>
      </w:r>
      <w:r w:rsidRPr="005371C0">
        <w:rPr>
          <w:rFonts w:eastAsiaTheme="minorHAnsi"/>
        </w:rPr>
        <w:t>.</w:t>
      </w:r>
    </w:p>
    <w:p w14:paraId="3692153A" w14:textId="77777777" w:rsidR="00042A80" w:rsidRPr="005371C0" w:rsidRDefault="00042A80" w:rsidP="00042A80">
      <w:pPr>
        <w:pStyle w:val="Prrafoconsangra"/>
      </w:pPr>
    </w:p>
    <w:p w14:paraId="1D451A3B" w14:textId="77777777" w:rsidR="00042A80" w:rsidRPr="005371C0" w:rsidRDefault="00042A80" w:rsidP="00042A80">
      <w:pPr>
        <w:pStyle w:val="Prrafobase"/>
        <w:rPr>
          <w:rFonts w:eastAsiaTheme="minorHAnsi"/>
        </w:rPr>
      </w:pPr>
      <w:r w:rsidRPr="005371C0">
        <w:rPr>
          <w:rFonts w:eastAsiaTheme="minorHAnsi"/>
        </w:rPr>
        <w:t>Desde esta perspectiva, la propuesta desarrollada en esta tesis se ubica en la intersección entre selección y extracción de características: por una parte, emplea selección evolutiva para identificar variables originales y términos polinomiales relevantes; por otra, utiliza el análisis discriminante para obtener una representación proyectada de baja dimensión orientada a favorecer la separación entre clases.</w:t>
      </w:r>
    </w:p>
    <w:p w14:paraId="6DA99D7B" w14:textId="77777777" w:rsidR="001C2629" w:rsidRDefault="001C2629" w:rsidP="001C2629">
      <w:pPr>
        <w:pStyle w:val="Prrafoconsangra"/>
        <w:ind w:firstLine="0"/>
      </w:pPr>
    </w:p>
    <w:p w14:paraId="73D0EA32" w14:textId="77777777" w:rsidR="001C2629" w:rsidRPr="001C2629" w:rsidRDefault="001C2629" w:rsidP="001C2629">
      <w:pPr>
        <w:pStyle w:val="Prrafoconsangra"/>
        <w:rPr>
          <w:b/>
          <w:bCs/>
          <w:lang w:val="es-MX"/>
        </w:rPr>
      </w:pPr>
      <w:r w:rsidRPr="001C2629">
        <w:rPr>
          <w:b/>
          <w:bCs/>
          <w:lang w:val="es-MX"/>
        </w:rPr>
        <w:t>2.2 Análisis Discriminante Lineal</w:t>
      </w:r>
    </w:p>
    <w:p w14:paraId="30B5731B" w14:textId="77777777" w:rsidR="001C2629" w:rsidRPr="001C2629" w:rsidRDefault="001C2629" w:rsidP="001C2629">
      <w:pPr>
        <w:pStyle w:val="Prrafoconsangra"/>
        <w:rPr>
          <w:b/>
          <w:bCs/>
          <w:lang w:val="es-MX"/>
        </w:rPr>
      </w:pPr>
      <w:r w:rsidRPr="001C2629">
        <w:rPr>
          <w:b/>
          <w:bCs/>
          <w:lang w:val="es-MX"/>
        </w:rPr>
        <w:t>2.2.1 Fundamentos y criterio de Fisher</w:t>
      </w:r>
    </w:p>
    <w:p w14:paraId="3C0D9EDD" w14:textId="77777777" w:rsidR="001C2629" w:rsidRPr="001C2629" w:rsidRDefault="001C2629" w:rsidP="001C2629">
      <w:pPr>
        <w:pStyle w:val="Prrafoconsangra"/>
        <w:rPr>
          <w:lang w:val="es-MX"/>
        </w:rPr>
      </w:pPr>
      <w:r w:rsidRPr="001C2629">
        <w:rPr>
          <w:lang w:val="es-MX"/>
        </w:rPr>
        <w:t>El Análisis Discriminante Lineal, comúnmente referido como LDA por sus siglas en inglés, es una técnica estadística multivariante propuesta originalmente por Fisher (1936), cuyo propósito es encontrar combinaciones lineales de las variables originales que permitan favorecer la separación entre dos o más clases. En el contexto de la reducción de dimensionalidad supervisada, LDA busca proyectar los datos desde un espacio original de dimensión (p) hacia un subespacio de menor dimensión (d), procurando que las observaciones pertenecientes a una misma clase permanezcan compactas, mientras que las clases distintas se encuentren lo más separadas posible.</w:t>
      </w:r>
    </w:p>
    <w:p w14:paraId="719445C5" w14:textId="77777777" w:rsidR="001C2629" w:rsidRPr="001C2629" w:rsidRDefault="001C2629" w:rsidP="001C2629">
      <w:pPr>
        <w:pStyle w:val="Prrafoconsangra"/>
        <w:rPr>
          <w:lang w:val="es-MX"/>
        </w:rPr>
      </w:pPr>
      <w:r w:rsidRPr="001C2629">
        <w:rPr>
          <w:lang w:val="es-MX"/>
        </w:rPr>
        <w:t xml:space="preserve">A diferencia del Análisis de Componentes Principales (PCA), que identifica direcciones de máxima varianza sin considerar las etiquetas de clase, LDA incorpora explícitamente la información supervisada del problema. Por ello, mientras PCA puede conservar direcciones con alta variabilidad global pero poca utilidad discriminante, LDA </w:t>
      </w:r>
      <w:r w:rsidRPr="001C2629">
        <w:rPr>
          <w:lang w:val="es-MX"/>
        </w:rPr>
        <w:lastRenderedPageBreak/>
        <w:t xml:space="preserve">orienta la proyección hacia la separación entre grupos previamente definidos. En términos generales, esta separación se plantea como un compromiso entre maximizar la dispersión entre clases y minimizar la dispersión dentro de cada clase (Bishop &amp; </w:t>
      </w:r>
      <w:proofErr w:type="spellStart"/>
      <w:r w:rsidRPr="001C2629">
        <w:rPr>
          <w:lang w:val="es-MX"/>
        </w:rPr>
        <w:t>Nasrabadi</w:t>
      </w:r>
      <w:proofErr w:type="spellEnd"/>
      <w:r w:rsidRPr="001C2629">
        <w:rPr>
          <w:lang w:val="es-MX"/>
        </w:rPr>
        <w:t>, 2006).</w:t>
      </w:r>
    </w:p>
    <w:p w14:paraId="60458D53" w14:textId="2ACB168A" w:rsidR="001C2629" w:rsidRPr="001C2629" w:rsidRDefault="001C2629" w:rsidP="001C2629">
      <w:pPr>
        <w:pStyle w:val="Prrafoconsangra"/>
        <w:rPr>
          <w:lang w:val="es-MX"/>
        </w:rPr>
      </w:pPr>
      <w:r w:rsidRPr="001C2629">
        <w:rPr>
          <w:lang w:val="es-MX"/>
        </w:rPr>
        <w:t>Desde una perspectiva probabilística, LDA suele asociarse con el supuesto de que las densidades condicionales de las clases siguen distribuciones normales multivariantes con una matriz de covarianza común, es decir, bajo una condición de homocedasticidad</w:t>
      </w:r>
      <w:r w:rsidR="005E3E7A">
        <w:rPr>
          <w:lang w:val="es-MX"/>
        </w:rPr>
        <w:t xml:space="preserve"> (</w:t>
      </w:r>
      <w:r w:rsidR="005E3E7A" w:rsidRPr="005E3E7A">
        <w:rPr>
          <w:lang w:val="es-MX"/>
        </w:rPr>
        <w:t>McLachlan</w:t>
      </w:r>
      <w:r w:rsidR="005E3E7A">
        <w:rPr>
          <w:lang w:val="es-MX"/>
        </w:rPr>
        <w:t xml:space="preserve">, </w:t>
      </w:r>
      <w:r w:rsidR="005E3E7A" w:rsidRPr="005E3E7A">
        <w:rPr>
          <w:lang w:val="es-MX"/>
        </w:rPr>
        <w:t>2004)</w:t>
      </w:r>
      <w:r w:rsidRPr="001C2629">
        <w:rPr>
          <w:lang w:val="es-MX"/>
        </w:rPr>
        <w:t>. Sin embargo, desde la formulación geométrica de Fisher, el método también puede entenderse como la búsqueda de una proyección lineal que maximiza una razón de separabilidad entre clases</w:t>
      </w:r>
      <w:r w:rsidR="005E3E7A">
        <w:rPr>
          <w:lang w:val="es-MX"/>
        </w:rPr>
        <w:t xml:space="preserve"> (Fisher, 1936)</w:t>
      </w:r>
      <w:r w:rsidRPr="001C2629">
        <w:rPr>
          <w:lang w:val="es-MX"/>
        </w:rPr>
        <w:t>. Esta distinción es importante, ya que en aplicaciones prácticas LDA puede emplearse tanto como clasificador como técnica de reducción de dimensionalidad supervisada</w:t>
      </w:r>
      <w:r w:rsidR="005E3E7A">
        <w:rPr>
          <w:lang w:val="es-MX"/>
        </w:rPr>
        <w:t xml:space="preserve"> (</w:t>
      </w:r>
      <w:proofErr w:type="spellStart"/>
      <w:r w:rsidR="005E3E7A" w:rsidRPr="005E3E7A">
        <w:rPr>
          <w:lang w:val="es-MX"/>
        </w:rPr>
        <w:t>Martinez</w:t>
      </w:r>
      <w:proofErr w:type="spellEnd"/>
      <w:r w:rsidR="005E3E7A" w:rsidRPr="005E3E7A">
        <w:rPr>
          <w:lang w:val="es-MX"/>
        </w:rPr>
        <w:t xml:space="preserve"> &amp; Kak</w:t>
      </w:r>
      <w:r w:rsidR="00C40742">
        <w:rPr>
          <w:lang w:val="es-MX"/>
        </w:rPr>
        <w:t>,</w:t>
      </w:r>
      <w:r w:rsidR="005E3E7A">
        <w:rPr>
          <w:lang w:val="es-MX"/>
        </w:rPr>
        <w:t xml:space="preserve"> </w:t>
      </w:r>
      <w:r w:rsidR="005E3E7A" w:rsidRPr="005E3E7A">
        <w:rPr>
          <w:lang w:val="es-MX"/>
        </w:rPr>
        <w:t>2001)</w:t>
      </w:r>
      <w:r w:rsidRPr="001C2629">
        <w:rPr>
          <w:lang w:val="es-MX"/>
        </w:rPr>
        <w:t>.</w:t>
      </w:r>
    </w:p>
    <w:p w14:paraId="674BA59B" w14:textId="13A6C332" w:rsidR="001C2629" w:rsidRPr="001C2629" w:rsidRDefault="001C2629" w:rsidP="001C2629">
      <w:pPr>
        <w:pStyle w:val="Prrafoconsangra"/>
        <w:rPr>
          <w:lang w:val="es-MX"/>
        </w:rPr>
      </w:pPr>
      <w:r w:rsidRPr="001C2629">
        <w:rPr>
          <w:lang w:val="es-MX"/>
        </w:rPr>
        <w:t xml:space="preserve">Para introducir la formulación básica, considérese primero un problema de clasificación binaria con dos clases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2E281B" w:rsidRPr="0065644D">
        <w:t xml:space="preserve"> 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1C2629">
        <w:rPr>
          <w:lang w:val="es-MX"/>
        </w:rPr>
        <w:t>. El objetivo consiste en encontrar un vector de proyección que transforme cada observación del espacio original en un valor escalar mediante una combinación lineal de sus características. La orientación óptima de este vector se determina buscando que las medias de las clases proyectadas queden suficientemente separadas, al mismo tiempo que se controla la variabilidad interna de cada clase.</w:t>
      </w:r>
    </w:p>
    <w:p w14:paraId="3888F597" w14:textId="71E2E1B0" w:rsidR="002E281B" w:rsidRDefault="002E281B" w:rsidP="002E281B">
      <w:pPr>
        <w:pStyle w:val="Prrafoconsangra"/>
        <w:ind w:firstLine="0"/>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m:oMathPara>
    </w:p>
    <w:p w14:paraId="646905CA" w14:textId="1E3C2281" w:rsidR="001C2629" w:rsidRPr="001C2629" w:rsidRDefault="001C2629" w:rsidP="001C2629">
      <w:pPr>
        <w:pStyle w:val="Prrafoconsangra"/>
        <w:rPr>
          <w:lang w:val="es-MX"/>
        </w:rPr>
      </w:pPr>
      <w:r w:rsidRPr="001C2629">
        <w:rPr>
          <w:lang w:val="es-MX"/>
        </w:rPr>
        <w:t xml:space="preserve">Para formalizar esta idea, se definen dos cantidades principales: la matriz de dispersión </w:t>
      </w:r>
      <w:proofErr w:type="spellStart"/>
      <w:r w:rsidRPr="001C2629">
        <w:rPr>
          <w:lang w:val="es-MX"/>
        </w:rPr>
        <w:t>intra</w:t>
      </w:r>
      <w:r w:rsidR="00C939AF">
        <w:rPr>
          <w:lang w:val="es-MX"/>
        </w:rPr>
        <w:t>-</w:t>
      </w:r>
      <w:r w:rsidRPr="001C2629">
        <w:rPr>
          <w:lang w:val="es-MX"/>
        </w:rPr>
        <w:t>clase</w:t>
      </w:r>
      <w:proofErr w:type="spellEnd"/>
      <w:r w:rsidR="002E281B">
        <w:rPr>
          <w:lang w:val="es-MX"/>
        </w:rPr>
        <w:t xml:space="preserve"> (</w:t>
      </w:r>
      <m:oMath>
        <m:sSub>
          <m:sSubPr>
            <m:ctrlPr>
              <w:rPr>
                <w:rFonts w:ascii="Cambria Math" w:hAnsi="Cambria Math"/>
                <w:i/>
                <w:lang w:val="es-MX"/>
              </w:rPr>
            </m:ctrlPr>
          </m:sSubPr>
          <m:e>
            <m:r>
              <w:rPr>
                <w:rFonts w:ascii="Cambria Math" w:hAnsi="Cambria Math"/>
                <w:lang w:val="es-MX"/>
              </w:rPr>
              <m:t>S</m:t>
            </m:r>
          </m:e>
          <m:sub>
            <m:r>
              <w:rPr>
                <w:rFonts w:ascii="Cambria Math" w:hAnsi="Cambria Math"/>
                <w:lang w:val="es-MX"/>
              </w:rPr>
              <m:t>w</m:t>
            </m:r>
          </m:sub>
        </m:sSub>
      </m:oMath>
      <w:r w:rsidR="002E281B">
        <w:rPr>
          <w:lang w:val="es-MX"/>
        </w:rPr>
        <w:t>)</w:t>
      </w:r>
      <w:r w:rsidRPr="001C2629">
        <w:rPr>
          <w:lang w:val="es-MX"/>
        </w:rPr>
        <w:t xml:space="preserve"> y la matriz de dispersión </w:t>
      </w:r>
      <w:proofErr w:type="spellStart"/>
      <w:r w:rsidRPr="001C2629">
        <w:rPr>
          <w:lang w:val="es-MX"/>
        </w:rPr>
        <w:t>inter</w:t>
      </w:r>
      <w:r w:rsidR="002E281B">
        <w:rPr>
          <w:lang w:val="es-MX"/>
        </w:rPr>
        <w:t>-</w:t>
      </w:r>
      <w:r w:rsidRPr="001C2629">
        <w:rPr>
          <w:lang w:val="es-MX"/>
        </w:rPr>
        <w:t>clase</w:t>
      </w:r>
      <w:proofErr w:type="spellEnd"/>
      <w:r w:rsidR="002E281B">
        <w:rPr>
          <w:lang w:val="es-MX"/>
        </w:rPr>
        <w:t xml:space="preserve"> (</w:t>
      </w:r>
      <m:oMath>
        <m:sSub>
          <m:sSubPr>
            <m:ctrlPr>
              <w:rPr>
                <w:rFonts w:ascii="Cambria Math" w:hAnsi="Cambria Math"/>
                <w:i/>
                <w:lang w:val="es-MX"/>
              </w:rPr>
            </m:ctrlPr>
          </m:sSubPr>
          <m:e>
            <m:r>
              <w:rPr>
                <w:rFonts w:ascii="Cambria Math" w:hAnsi="Cambria Math"/>
                <w:lang w:val="es-MX"/>
              </w:rPr>
              <m:t>S</m:t>
            </m:r>
          </m:e>
          <m:sub>
            <m:r>
              <w:rPr>
                <w:rFonts w:ascii="Cambria Math" w:hAnsi="Cambria Math"/>
                <w:lang w:val="es-MX"/>
              </w:rPr>
              <m:t>b</m:t>
            </m:r>
          </m:sub>
        </m:sSub>
      </m:oMath>
      <w:r w:rsidR="002E281B">
        <w:rPr>
          <w:lang w:val="es-MX"/>
        </w:rPr>
        <w:t>)</w:t>
      </w:r>
      <w:r w:rsidRPr="001C2629">
        <w:rPr>
          <w:lang w:val="es-MX"/>
        </w:rPr>
        <w:t xml:space="preserve">. La primera resume la variabilidad de las observaciones alrededor de sus respectivos centroides de clase, mientras que la segunda cuantifica la separación entre los centroides de las clases. </w:t>
      </w:r>
    </w:p>
    <w:p w14:paraId="36A96F72" w14:textId="77777777" w:rsidR="002E281B" w:rsidRDefault="00000000" w:rsidP="002E281B">
      <w:pPr>
        <w:pStyle w:val="Prrafoconsangra"/>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sup>
              <m:r>
                <w:rPr>
                  <w:rFonts w:ascii="Cambria Math" w:hAnsi="Cambria Math"/>
                </w:rPr>
                <m:t>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096D94C8" w14:textId="77777777" w:rsidR="002E281B" w:rsidRDefault="002E281B" w:rsidP="001C2629">
      <w:pPr>
        <w:pStyle w:val="Prrafoconsangra"/>
        <w:rPr>
          <w:lang w:val="es-MX"/>
        </w:rPr>
      </w:pPr>
    </w:p>
    <w:p w14:paraId="0E9D6FDE" w14:textId="48D9565D" w:rsidR="002E281B" w:rsidRDefault="002E281B" w:rsidP="001C2629">
      <w:pPr>
        <w:pStyle w:val="Prrafoconsangra"/>
        <w:rPr>
          <w:lang w:val="es-MX"/>
        </w:rPr>
      </w:pPr>
      <w:r w:rsidRPr="001C2629">
        <w:rPr>
          <w:lang w:val="es-MX"/>
        </w:rPr>
        <w:t xml:space="preserve">A partir de estas matrices, el criterio de Fisher se expresa como una razón entre la dispersión </w:t>
      </w:r>
      <w:proofErr w:type="spellStart"/>
      <w:r w:rsidRPr="001C2629">
        <w:rPr>
          <w:lang w:val="es-MX"/>
        </w:rPr>
        <w:t>interclase</w:t>
      </w:r>
      <w:proofErr w:type="spellEnd"/>
      <w:r w:rsidRPr="001C2629">
        <w:rPr>
          <w:lang w:val="es-MX"/>
        </w:rPr>
        <w:t xml:space="preserve"> y la dispersión intraclase, de modo que la dirección discriminante óptima es aquella que maximiza dicha razón.</w:t>
      </w:r>
    </w:p>
    <w:p w14:paraId="3F093499" w14:textId="77777777" w:rsidR="002E281B" w:rsidRDefault="002E281B" w:rsidP="001C2629">
      <w:pPr>
        <w:pStyle w:val="Prrafoconsangra"/>
        <w:rPr>
          <w:lang w:val="es-MX"/>
        </w:rPr>
      </w:pPr>
    </w:p>
    <w:p w14:paraId="0D218993" w14:textId="77777777" w:rsidR="002E281B" w:rsidRPr="00BE438A" w:rsidRDefault="002E281B" w:rsidP="002E281B">
      <w:pPr>
        <w:pStyle w:val="Prrafoconsangra"/>
      </w:pPr>
      <m:oMathPara>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den>
          </m:f>
        </m:oMath>
      </m:oMathPara>
    </w:p>
    <w:p w14:paraId="5D32B52C" w14:textId="77777777" w:rsidR="002E281B" w:rsidRPr="001C2629" w:rsidRDefault="002E281B" w:rsidP="001C2629">
      <w:pPr>
        <w:pStyle w:val="Prrafoconsangra"/>
        <w:rPr>
          <w:lang w:val="es-MX"/>
        </w:rPr>
      </w:pPr>
    </w:p>
    <w:p w14:paraId="7BB31E8A" w14:textId="3CF06691" w:rsidR="001C2629" w:rsidRDefault="001C2629" w:rsidP="001C2629">
      <w:pPr>
        <w:pStyle w:val="Prrafoconsangra"/>
        <w:rPr>
          <w:lang w:val="es-MX"/>
        </w:rPr>
      </w:pPr>
      <w:r w:rsidRPr="001C2629">
        <w:rPr>
          <w:lang w:val="es-MX"/>
        </w:rPr>
        <w:t>En el caso binario, la solución analítica conduce a una dirección de proyección proporcional al producto entre la inversa de la matriz de dispersión intraclase y la diferencia entre los vectores de medias de ambas clases. Esta formulación permite entender la intuición central del método: proyectar los datos hacia una dirección donde las clases se separen tanto como sea posible, manteniendo simultáneamente baja la dispersión interna de cada grupo</w:t>
      </w:r>
      <w:r w:rsidR="002E281B">
        <w:rPr>
          <w:lang w:val="es-MX"/>
        </w:rPr>
        <w:t xml:space="preserve"> </w:t>
      </w:r>
      <w:r w:rsidR="002E281B" w:rsidRPr="00BE438A">
        <w:rPr>
          <w:lang w:val="es-MX"/>
        </w:rPr>
        <w:t xml:space="preserve">(Bishop &amp; </w:t>
      </w:r>
      <w:proofErr w:type="spellStart"/>
      <w:r w:rsidR="002E281B" w:rsidRPr="00BE438A">
        <w:rPr>
          <w:lang w:val="es-MX"/>
        </w:rPr>
        <w:t>Nasrabadi</w:t>
      </w:r>
      <w:proofErr w:type="spellEnd"/>
      <w:r w:rsidR="002E281B" w:rsidRPr="00BE438A">
        <w:rPr>
          <w:lang w:val="es-MX"/>
        </w:rPr>
        <w:t>, 2006).</w:t>
      </w:r>
    </w:p>
    <w:p w14:paraId="04C809DF" w14:textId="77777777" w:rsidR="002E281B" w:rsidRPr="001C2629" w:rsidRDefault="002E281B" w:rsidP="001C2629">
      <w:pPr>
        <w:pStyle w:val="Prrafoconsangra"/>
        <w:rPr>
          <w:lang w:val="es-MX"/>
        </w:rPr>
      </w:pPr>
    </w:p>
    <w:p w14:paraId="59380CA6" w14:textId="77777777" w:rsidR="002E281B" w:rsidRPr="002E281B" w:rsidRDefault="00000000" w:rsidP="002E281B">
      <w:pPr>
        <w:pStyle w:val="Prrafoconsangra"/>
      </w:pPr>
      <m:oMathPara>
        <m:oMathParaPr>
          <m:jc m:val="center"/>
        </m:oMathParaP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m:oMathPara>
    </w:p>
    <w:p w14:paraId="7CBA650A" w14:textId="77777777" w:rsidR="002E281B" w:rsidRDefault="002E281B" w:rsidP="002E281B">
      <w:pPr>
        <w:pStyle w:val="Prrafoconsangra"/>
      </w:pPr>
    </w:p>
    <w:p w14:paraId="3209FA69" w14:textId="77777777" w:rsidR="001C2629" w:rsidRPr="001C2629" w:rsidRDefault="001C2629" w:rsidP="001C2629">
      <w:pPr>
        <w:pStyle w:val="Prrafoconsangra"/>
        <w:rPr>
          <w:b/>
          <w:bCs/>
          <w:lang w:val="es-MX"/>
        </w:rPr>
      </w:pPr>
      <w:r w:rsidRPr="001C2629">
        <w:rPr>
          <w:b/>
          <w:bCs/>
          <w:lang w:val="es-MX"/>
        </w:rPr>
        <w:t>2.2.2 Extensión multiclase y obtención de ejes discriminantes</w:t>
      </w:r>
    </w:p>
    <w:p w14:paraId="7D6605C7" w14:textId="77777777" w:rsidR="002E281B" w:rsidRDefault="002E281B" w:rsidP="001C2629">
      <w:pPr>
        <w:pStyle w:val="Prrafoconsangra"/>
        <w:rPr>
          <w:lang w:val="es-MX"/>
        </w:rPr>
      </w:pPr>
    </w:p>
    <w:p w14:paraId="43D860B7" w14:textId="15C338C8" w:rsidR="001C2629" w:rsidRPr="001C2629" w:rsidRDefault="001C2629" w:rsidP="001C2629">
      <w:pPr>
        <w:pStyle w:val="Prrafoconsangra"/>
        <w:rPr>
          <w:lang w:val="es-MX"/>
        </w:rPr>
      </w:pPr>
      <w:r w:rsidRPr="001C2629">
        <w:rPr>
          <w:lang w:val="es-MX"/>
        </w:rPr>
        <w:t>Aunque la formulación binaria permite presentar la intuición geométrica de LDA, muchos problemas de clasificación involucran tres o más clases. En el caso multiclase, el objetivo general se mantiene: encontrar un conjunto de direcciones discriminantes que maximicen la separación entre clases y minimicen la dispersión dentro de cada clase. Sin embargo, en lugar de obtener una única dirección de proyección, se busca una matriz de proyección formada por varios vectores discriminantes.</w:t>
      </w:r>
    </w:p>
    <w:p w14:paraId="5F032CC3" w14:textId="77777777" w:rsidR="001C2629" w:rsidRDefault="001C2629" w:rsidP="001C2629">
      <w:pPr>
        <w:pStyle w:val="Prrafoconsangra"/>
        <w:rPr>
          <w:lang w:val="es-MX"/>
        </w:rPr>
      </w:pPr>
      <w:r w:rsidRPr="001C2629">
        <w:rPr>
          <w:lang w:val="es-MX"/>
        </w:rPr>
        <w:t xml:space="preserve">Para ello, se define primero la media global del conjunto de datos, así como los vectores de medias correspondientes a cada clase. Con base en estos centroides, la matriz de dispersión intraclase acumula la variabilidad interna de cada grupo, mientras que la matriz de dispersión </w:t>
      </w:r>
      <w:proofErr w:type="spellStart"/>
      <w:r w:rsidRPr="001C2629">
        <w:rPr>
          <w:lang w:val="es-MX"/>
        </w:rPr>
        <w:t>interclase</w:t>
      </w:r>
      <w:proofErr w:type="spellEnd"/>
      <w:r w:rsidRPr="001C2629">
        <w:rPr>
          <w:lang w:val="es-MX"/>
        </w:rPr>
        <w:t xml:space="preserve"> acumula la separación ponderada entre cada centroide de clase y la media global del conjunto de datos.</w:t>
      </w:r>
    </w:p>
    <w:p w14:paraId="11A255CE" w14:textId="2E44B246" w:rsidR="002E281B" w:rsidRDefault="002E281B" w:rsidP="002E281B">
      <w:pPr>
        <w:pStyle w:val="Prrafoconsangra"/>
      </w:pPr>
      <m:oMathPara>
        <m:oMathParaPr>
          <m:jc m:val="center"/>
        </m:oMathParaPr>
        <m:oMath>
          <m:r>
            <m:rPr>
              <m:sty m:val="b"/>
            </m:rP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k</m:t>
              </m:r>
            </m:sub>
          </m:sSub>
          <m: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ty m:val="b"/>
                    </m:rPr>
                    <w:rPr>
                      <w:rFonts w:ascii="Cambria Math" w:hAnsi="Cambria Math"/>
                    </w:rPr>
                    <m:t>S</m:t>
                  </m:r>
                </m:e>
                <m:sub>
                  <m:r>
                    <w:rPr>
                      <w:rFonts w:ascii="Cambria Math" w:hAnsi="Cambria Math"/>
                    </w:rPr>
                    <m:t>k</m:t>
                  </m:r>
                </m:sub>
              </m:sSub>
            </m:e>
          </m:nary>
          <m: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e>
            <m:sup>
              <m:r>
                <w:rPr>
                  <w:rFonts w:ascii="Cambria Math" w:hAnsi="Cambria Math"/>
                </w:rPr>
                <m:t>T</m:t>
              </m:r>
            </m:sup>
          </m:sSup>
        </m:oMath>
      </m:oMathPara>
    </w:p>
    <w:p w14:paraId="17D91E57" w14:textId="1C77FA9A" w:rsidR="001C2629" w:rsidRPr="001C2629" w:rsidRDefault="001C2629" w:rsidP="002E281B">
      <w:pPr>
        <w:pStyle w:val="Prrafoconsangra"/>
        <w:ind w:firstLine="0"/>
        <w:rPr>
          <w:lang w:val="es-MX"/>
        </w:rPr>
      </w:pPr>
    </w:p>
    <w:p w14:paraId="22EF09B8" w14:textId="2F1878D5" w:rsidR="00F7048C" w:rsidRDefault="001C2629" w:rsidP="001C2629">
      <w:pPr>
        <w:pStyle w:val="Prrafoconsangra"/>
        <w:rPr>
          <w:lang w:val="es-MX"/>
        </w:rPr>
      </w:pPr>
      <w:r w:rsidRPr="001C2629">
        <w:rPr>
          <w:lang w:val="es-MX"/>
        </w:rPr>
        <w:t xml:space="preserve">En esta formulación, el criterio de optimización busca maximizar la razón entre la dispersión </w:t>
      </w:r>
      <w:proofErr w:type="spellStart"/>
      <w:r w:rsidRPr="001C2629">
        <w:rPr>
          <w:lang w:val="es-MX"/>
        </w:rPr>
        <w:t>interclase</w:t>
      </w:r>
      <w:proofErr w:type="spellEnd"/>
      <w:r w:rsidRPr="001C2629">
        <w:rPr>
          <w:lang w:val="es-MX"/>
        </w:rPr>
        <w:t xml:space="preserve"> y la dispersión intraclase en el espacio proyectado. Una forma común de expresar este criterio es mediante la razón entre los determinantes de las matrices de dispersión proyectadas</w:t>
      </w:r>
      <w:r w:rsidR="00E338A3">
        <w:rPr>
          <w:lang w:val="es-MX"/>
        </w:rPr>
        <w:t xml:space="preserve"> (Fukunaga, 2013)</w:t>
      </w:r>
      <w:r w:rsidRPr="001C2629">
        <w:rPr>
          <w:lang w:val="es-MX"/>
        </w:rPr>
        <w:t>.</w:t>
      </w:r>
    </w:p>
    <w:p w14:paraId="1379E30E" w14:textId="77777777" w:rsidR="00F7048C" w:rsidRDefault="00F7048C" w:rsidP="001C2629">
      <w:pPr>
        <w:pStyle w:val="Prrafoconsangra"/>
        <w:rPr>
          <w:lang w:val="es-MX"/>
        </w:rPr>
      </w:pPr>
    </w:p>
    <w:p w14:paraId="5360506E" w14:textId="77777777" w:rsidR="00F7048C" w:rsidRDefault="00F7048C" w:rsidP="00F7048C">
      <w:pPr>
        <w:pStyle w:val="Prrafoconsangra"/>
      </w:pPr>
      <m:oMathPara>
        <m:oMathParaPr>
          <m:jc m:val="center"/>
        </m:oMathParaPr>
        <m:oMath>
          <m:r>
            <w:rPr>
              <w:rFonts w:ascii="Cambria Math" w:hAnsi="Cambria Math"/>
            </w:rPr>
            <w:lastRenderedPageBreak/>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e>
              </m:d>
            </m:den>
          </m:f>
          <m:r>
            <w:rPr>
              <w:rFonts w:ascii="Cambria Math" w:hAnsi="Cambria Math"/>
            </w:rPr>
            <m:t xml:space="preserve"> </m:t>
          </m:r>
        </m:oMath>
      </m:oMathPara>
    </w:p>
    <w:p w14:paraId="4936B8E7" w14:textId="77777777" w:rsidR="00F7048C" w:rsidRDefault="00F7048C" w:rsidP="001C2629">
      <w:pPr>
        <w:pStyle w:val="Prrafoconsangra"/>
        <w:rPr>
          <w:lang w:val="es-MX"/>
        </w:rPr>
      </w:pPr>
    </w:p>
    <w:p w14:paraId="4F356A3D" w14:textId="30FA75FC" w:rsidR="002E281B" w:rsidRPr="00F7048C" w:rsidRDefault="001C2629" w:rsidP="00F7048C">
      <w:pPr>
        <w:pStyle w:val="Prrafoconsangra"/>
        <w:rPr>
          <w:lang w:val="es-MX"/>
        </w:rPr>
      </w:pPr>
      <w:r w:rsidRPr="001C2629">
        <w:rPr>
          <w:lang w:val="es-MX"/>
        </w:rPr>
        <w:t xml:space="preserve"> La maximización de este criterio conduce a un problema generalizado de valores propios, en el cual los vectores propios definen las direcciones discriminantes y los valores propios asociados indican la relevancia discriminante de cada dirección (</w:t>
      </w:r>
      <w:proofErr w:type="spellStart"/>
      <w:r w:rsidRPr="001C2629">
        <w:rPr>
          <w:lang w:val="es-MX"/>
        </w:rPr>
        <w:t>Martinez</w:t>
      </w:r>
      <w:proofErr w:type="spellEnd"/>
      <w:r w:rsidRPr="001C2629">
        <w:rPr>
          <w:lang w:val="es-MX"/>
        </w:rPr>
        <w:t xml:space="preserve"> &amp; Kak, 2001).</w:t>
      </w:r>
    </w:p>
    <w:p w14:paraId="3DFDACC8" w14:textId="498F6ECE" w:rsidR="002E281B" w:rsidRDefault="00000000" w:rsidP="001C2629">
      <w:pPr>
        <w:pStyle w:val="Prrafoconsangra"/>
        <w:rPr>
          <w:lang w:val="es-MX"/>
        </w:rPr>
      </w:pPr>
      <m:oMathPara>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ty m:val="b"/>
                </m:rPr>
                <w:rPr>
                  <w:rFonts w:ascii="Cambria Math" w:hAnsi="Cambria Math"/>
                </w:rPr>
                <m:t>S</m:t>
              </m:r>
            </m:e>
            <m:sub>
              <m:r>
                <w:rPr>
                  <w:rFonts w:ascii="Cambria Math" w:hAnsi="Cambria Math"/>
                </w:rPr>
                <m:t>W</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m:oMathPara>
    </w:p>
    <w:p w14:paraId="1C053B31" w14:textId="77777777" w:rsidR="002E281B" w:rsidRPr="001C2629" w:rsidRDefault="002E281B" w:rsidP="001C2629">
      <w:pPr>
        <w:pStyle w:val="Prrafoconsangra"/>
        <w:rPr>
          <w:lang w:val="es-MX"/>
        </w:rPr>
      </w:pPr>
    </w:p>
    <w:p w14:paraId="5399EF87" w14:textId="77777777" w:rsidR="001C2629" w:rsidRPr="001C2629" w:rsidRDefault="001C2629" w:rsidP="001C2629">
      <w:pPr>
        <w:pStyle w:val="Prrafoconsangra"/>
        <w:rPr>
          <w:lang w:val="es-MX"/>
        </w:rPr>
      </w:pPr>
      <w:r w:rsidRPr="001C2629">
        <w:rPr>
          <w:lang w:val="es-MX"/>
        </w:rPr>
        <w:t>Los vectores propios asociados a los valores propios más grandes se seleccionan para formar la matriz de proyección final. En este sentido, cada valor propio puede interpretarse como una medida de la separabilidad capturada por su dirección discriminante correspondiente. Por ello, LDA no maximiza “los ejes” en sí mismos, sino un criterio de separabilidad cuya solución produce los ejes discriminantes del nuevo espacio.</w:t>
      </w:r>
    </w:p>
    <w:p w14:paraId="5386E09D" w14:textId="5CC88052" w:rsidR="001C2629" w:rsidRPr="001C2629" w:rsidRDefault="001C2629" w:rsidP="001C2629">
      <w:pPr>
        <w:pStyle w:val="Prrafoconsangra"/>
        <w:rPr>
          <w:lang w:val="es-MX"/>
        </w:rPr>
      </w:pPr>
      <w:r w:rsidRPr="001C2629">
        <w:rPr>
          <w:lang w:val="es-MX"/>
        </w:rPr>
        <w:t>Un aspecto importante de la formulación multiclase es que el número máximo de dimensiones discriminantes que pueden extraerse está limitado por el número de clases. En particular, si existen (C) clases, el número máximo de direcciones discriminantes útiles es (C-1)</w:t>
      </w:r>
      <w:r w:rsidR="00C35B92">
        <w:rPr>
          <w:lang w:val="es-MX"/>
        </w:rPr>
        <w:t xml:space="preserve"> (Duda et al., 2000)</w:t>
      </w:r>
      <w:r w:rsidRPr="001C2629">
        <w:rPr>
          <w:lang w:val="es-MX"/>
        </w:rPr>
        <w:t xml:space="preserve">. Esto se debe a que la matriz de dispersión </w:t>
      </w:r>
      <w:proofErr w:type="spellStart"/>
      <w:r w:rsidRPr="001C2629">
        <w:rPr>
          <w:lang w:val="es-MX"/>
        </w:rPr>
        <w:t>interclase</w:t>
      </w:r>
      <w:proofErr w:type="spellEnd"/>
      <w:r w:rsidRPr="001C2629">
        <w:rPr>
          <w:lang w:val="es-MX"/>
        </w:rPr>
        <w:t xml:space="preserve"> tiene un rango máximo determinado por la cantidad de centroides de clase disponibles. Por tanto, LDA no solo reduce la dimensionalidad, sino que también impone una estructura supervisada al espacio reducido</w:t>
      </w:r>
      <w:r w:rsidR="00C35B92">
        <w:rPr>
          <w:lang w:val="es-MX"/>
        </w:rPr>
        <w:t xml:space="preserve"> (</w:t>
      </w:r>
      <w:r w:rsidR="00C35B92" w:rsidRPr="00C35B92">
        <w:rPr>
          <w:lang w:val="es-MX"/>
        </w:rPr>
        <w:t xml:space="preserve">Belhumeur et al., </w:t>
      </w:r>
      <w:r w:rsidR="00C35B92">
        <w:rPr>
          <w:lang w:val="es-MX"/>
        </w:rPr>
        <w:t>2002)</w:t>
      </w:r>
      <w:r w:rsidRPr="001C2629">
        <w:rPr>
          <w:lang w:val="es-MX"/>
        </w:rPr>
        <w:t>.</w:t>
      </w:r>
    </w:p>
    <w:p w14:paraId="31D6875E" w14:textId="77777777" w:rsidR="001D3760" w:rsidRDefault="001D3760" w:rsidP="001C2629">
      <w:pPr>
        <w:pStyle w:val="Prrafoconsangra"/>
        <w:rPr>
          <w:lang w:val="es-MX"/>
        </w:rPr>
      </w:pPr>
    </w:p>
    <w:p w14:paraId="26E257ED" w14:textId="1D9680C3" w:rsidR="001C2629" w:rsidRPr="001C2629" w:rsidRDefault="001C2629" w:rsidP="001C2629">
      <w:pPr>
        <w:pStyle w:val="Prrafoconsangra"/>
        <w:rPr>
          <w:b/>
          <w:bCs/>
          <w:lang w:val="es-MX"/>
        </w:rPr>
      </w:pPr>
      <w:r w:rsidRPr="001C2629">
        <w:rPr>
          <w:b/>
          <w:bCs/>
          <w:lang w:val="es-MX"/>
        </w:rPr>
        <w:t>2.2.3 Supuestos, limitaciones y comparación con QDA</w:t>
      </w:r>
    </w:p>
    <w:p w14:paraId="5453EF58" w14:textId="77777777" w:rsidR="001C2629" w:rsidRPr="001C2629" w:rsidRDefault="001C2629" w:rsidP="001C2629">
      <w:pPr>
        <w:pStyle w:val="Prrafoconsangra"/>
        <w:rPr>
          <w:lang w:val="es-MX"/>
        </w:rPr>
      </w:pPr>
      <w:r w:rsidRPr="001C2629">
        <w:rPr>
          <w:lang w:val="es-MX"/>
        </w:rPr>
        <w:t>La formulación clásica de LDA descansa sobre varios supuestos que condicionan su comportamiento. Desde el punto de vista probabilístico, el método asume que las clases pueden modelarse mediante distribuciones normales multivariantes con una matriz de covarianza común. Esta hipótesis conduce a fronteras de decisión lineales. Desde el punto de vista geométrico, LDA asume que una proyección lineal es suficiente para separar adecuadamente las clases en el espacio transformado.</w:t>
      </w:r>
    </w:p>
    <w:p w14:paraId="3311F16A" w14:textId="1289DA19" w:rsidR="001C2629" w:rsidRPr="001C2629" w:rsidRDefault="001C2629" w:rsidP="001C2629">
      <w:pPr>
        <w:pStyle w:val="Prrafoconsangra"/>
        <w:rPr>
          <w:lang w:val="es-MX"/>
        </w:rPr>
      </w:pPr>
      <w:r w:rsidRPr="001C2629">
        <w:rPr>
          <w:lang w:val="es-MX"/>
        </w:rPr>
        <w:t xml:space="preserve">Estas condiciones explican algunas de sus principales limitaciones. Cuando las clases presentan estructuras no lineales, distribuciones multimodales o patrones de separación </w:t>
      </w:r>
      <w:r w:rsidRPr="001C2629">
        <w:rPr>
          <w:lang w:val="es-MX"/>
        </w:rPr>
        <w:lastRenderedPageBreak/>
        <w:t xml:space="preserve">complejos, una frontera lineal puede resultar insuficiente. En tales casos, la proyección obtenida por LDA puede no reflejar adecuadamente la separabilidad real de los datos, lo que limita su desempeño como clasificador o como técnica de reducción de dimensionalidad supervisada. </w:t>
      </w:r>
      <w:r w:rsidR="00C35B92">
        <w:rPr>
          <w:lang w:val="es-MX"/>
        </w:rPr>
        <w:t>(</w:t>
      </w:r>
      <w:r w:rsidR="00C35B92" w:rsidRPr="00C35B92">
        <w:rPr>
          <w:lang w:val="es-MX"/>
        </w:rPr>
        <w:t>Mika et al., 1999</w:t>
      </w:r>
      <w:r w:rsidR="00C35B92">
        <w:rPr>
          <w:lang w:val="es-MX"/>
        </w:rPr>
        <w:t>)</w:t>
      </w:r>
      <w:r w:rsidRPr="001C2629">
        <w:rPr>
          <w:lang w:val="es-MX"/>
        </w:rPr>
        <w:t>.</w:t>
      </w:r>
    </w:p>
    <w:p w14:paraId="52673F4E" w14:textId="3E63529B" w:rsidR="001C2629" w:rsidRPr="001C2629" w:rsidRDefault="001C2629" w:rsidP="001C2629">
      <w:pPr>
        <w:pStyle w:val="Prrafoconsangra"/>
        <w:rPr>
          <w:lang w:val="es-MX"/>
        </w:rPr>
      </w:pPr>
      <w:r w:rsidRPr="001C2629">
        <w:rPr>
          <w:lang w:val="es-MX"/>
        </w:rPr>
        <w:t xml:space="preserve">Otra limitación importante se relaciona con la necesidad de invertir o resolver sistemas asociados a la matriz de dispersión intraclase. Cuando el número de variables es comparable o superior al número de observaciones, la matriz de dispersión intraclase puede volverse singular o mal condicionada. Este escenario, conocido como </w:t>
      </w:r>
      <w:r w:rsidR="00701E07">
        <w:rPr>
          <w:lang w:val="es-MX"/>
        </w:rPr>
        <w:t>problema de muestras pequeñas (</w:t>
      </w:r>
      <w:r w:rsidRPr="00701E07">
        <w:rPr>
          <w:i/>
          <w:iCs/>
          <w:lang w:val="es-MX"/>
        </w:rPr>
        <w:t xml:space="preserve">Small Sample Size </w:t>
      </w:r>
      <w:proofErr w:type="spellStart"/>
      <w:r w:rsidR="00701E07" w:rsidRPr="00701E07">
        <w:rPr>
          <w:i/>
          <w:iCs/>
          <w:lang w:val="es-MX"/>
        </w:rPr>
        <w:t>problem</w:t>
      </w:r>
      <w:proofErr w:type="spellEnd"/>
      <w:r w:rsidR="00701E07">
        <w:rPr>
          <w:lang w:val="es-MX"/>
        </w:rPr>
        <w:t>)</w:t>
      </w:r>
      <w:r w:rsidRPr="001C2629">
        <w:rPr>
          <w:lang w:val="es-MX"/>
        </w:rPr>
        <w:t>, impide aplicar directamente la formulación clásica de LDA y puede producir inestabilidad numérica en la obtención de los vectores discriminantes (Gao &amp; Davis, 2006).</w:t>
      </w:r>
    </w:p>
    <w:p w14:paraId="079F6B68" w14:textId="1F678BA3" w:rsidR="001C2629" w:rsidRPr="001C2629" w:rsidRDefault="001C2629" w:rsidP="001C2629">
      <w:pPr>
        <w:pStyle w:val="Prrafoconsangra"/>
        <w:rPr>
          <w:lang w:val="es-MX"/>
        </w:rPr>
      </w:pPr>
      <w:r w:rsidRPr="001C2629">
        <w:rPr>
          <w:lang w:val="es-MX"/>
        </w:rPr>
        <w:t>Una alternativa clásica frente a la rigidez lineal de LDA es el Análisis Discriminante Cuadrático (QDA). A diferencia de LDA, que estima una matriz de covarianza común para todas las clases, QDA estima una matriz de covarianza distinta para cada clase. Esta diferencia permite construir fronteras de decisión cuadráticas, lo que puede resultar útil cuando las clases presentan estructuras de dispersión diferentes. Sin embargo, QDA debe entenderse principalmente como un clasificador probabilístico y no como un método de proyección supervisada de baja dimensión. Además, al requerir la estimación de una matriz de covarianza por clase, puede ser más sensible que LDA en escenarios de alta dimensionalidad y tamaño muestral reducido</w:t>
      </w:r>
      <w:r w:rsidR="00701E07">
        <w:rPr>
          <w:lang w:val="es-MX"/>
        </w:rPr>
        <w:t xml:space="preserve"> (</w:t>
      </w:r>
      <w:r w:rsidR="00701E07" w:rsidRPr="00701E07">
        <w:rPr>
          <w:lang w:val="es-MX"/>
        </w:rPr>
        <w:t>Duda et al., 2000</w:t>
      </w:r>
      <w:r w:rsidR="00701E07">
        <w:rPr>
          <w:lang w:val="es-MX"/>
        </w:rPr>
        <w:t>)</w:t>
      </w:r>
      <w:r w:rsidRPr="001C2629">
        <w:rPr>
          <w:lang w:val="es-MX"/>
        </w:rPr>
        <w:t>.</w:t>
      </w:r>
    </w:p>
    <w:p w14:paraId="52B3D323" w14:textId="77777777" w:rsidR="00701E07" w:rsidRDefault="00000000" w:rsidP="00701E07">
      <w:pPr>
        <w:pStyle w:val="Textoindependiente"/>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T</m:t>
              </m:r>
            </m:sup>
          </m:sSup>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r>
            <m:rPr>
              <m:sty m:val="p"/>
            </m:rP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k</m:t>
              </m:r>
            </m:sub>
          </m:sSub>
        </m:oMath>
      </m:oMathPara>
    </w:p>
    <w:p w14:paraId="48FBBEB9" w14:textId="77777777" w:rsidR="00701E07" w:rsidRDefault="00701E07" w:rsidP="001C2629">
      <w:pPr>
        <w:pStyle w:val="Prrafoconsangra"/>
        <w:rPr>
          <w:lang w:val="es-MX"/>
        </w:rPr>
      </w:pPr>
    </w:p>
    <w:p w14:paraId="2C9943EA" w14:textId="62649D84" w:rsidR="001C2629" w:rsidRDefault="001C2629" w:rsidP="001C2629">
      <w:pPr>
        <w:pStyle w:val="Prrafoconsangra"/>
        <w:rPr>
          <w:lang w:val="es-MX"/>
        </w:rPr>
      </w:pPr>
      <w:r w:rsidRPr="001C2629">
        <w:rPr>
          <w:lang w:val="es-MX"/>
        </w:rPr>
        <w:t>En consecuencia, aunque QDA ofrece mayor flexibilidad para modelar fronteras no lineales, no resuelve por sí mismo el problema de reducción de dimensionalidad supervisada ni elimina las dificultades asociadas a la estimación de matrices de covarianza en escenarios (p &gt; n). Por ello, su inclusión resulta pertinente como método comparativo, pero no sustituye la necesidad de estrategias orientadas a estabilizar o reformular la proyección discriminante.</w:t>
      </w:r>
    </w:p>
    <w:p w14:paraId="3B93035C" w14:textId="77777777" w:rsidR="00C939AF" w:rsidRDefault="00C939AF" w:rsidP="001C2629">
      <w:pPr>
        <w:pStyle w:val="Prrafoconsangra"/>
        <w:rPr>
          <w:lang w:val="es-MX"/>
        </w:rPr>
      </w:pPr>
    </w:p>
    <w:p w14:paraId="71DD0D91" w14:textId="77777777" w:rsidR="00C939AF" w:rsidRDefault="00C939AF" w:rsidP="001C2629">
      <w:pPr>
        <w:pStyle w:val="Prrafoconsangra"/>
        <w:rPr>
          <w:lang w:val="es-MX"/>
        </w:rPr>
      </w:pPr>
    </w:p>
    <w:p w14:paraId="65F5C582" w14:textId="77777777" w:rsidR="00C939AF" w:rsidRDefault="00C939AF" w:rsidP="001C2629">
      <w:pPr>
        <w:pStyle w:val="Prrafoconsangra"/>
        <w:rPr>
          <w:lang w:val="es-MX"/>
        </w:rPr>
      </w:pPr>
    </w:p>
    <w:p w14:paraId="2BE1B801" w14:textId="77777777" w:rsidR="001D3760" w:rsidRPr="001C2629" w:rsidRDefault="001D3760" w:rsidP="001C2629">
      <w:pPr>
        <w:pStyle w:val="Prrafoconsangra"/>
        <w:rPr>
          <w:lang w:val="es-MX"/>
        </w:rPr>
      </w:pPr>
    </w:p>
    <w:p w14:paraId="0ECF32F0" w14:textId="77777777" w:rsidR="001C2629" w:rsidRPr="001C2629" w:rsidRDefault="001C2629" w:rsidP="001C2629">
      <w:pPr>
        <w:pStyle w:val="Prrafoconsangra"/>
        <w:rPr>
          <w:b/>
          <w:bCs/>
          <w:lang w:val="es-MX"/>
        </w:rPr>
      </w:pPr>
      <w:r w:rsidRPr="001C2629">
        <w:rPr>
          <w:b/>
          <w:bCs/>
          <w:lang w:val="es-MX"/>
        </w:rPr>
        <w:lastRenderedPageBreak/>
        <w:t>2.2.4 Implementación computacional y tratamiento de la singularidad</w:t>
      </w:r>
    </w:p>
    <w:p w14:paraId="16A5789F" w14:textId="77777777" w:rsidR="001C2629" w:rsidRDefault="001C2629" w:rsidP="001C2629">
      <w:pPr>
        <w:pStyle w:val="Prrafoconsangra"/>
        <w:ind w:firstLine="0"/>
        <w:rPr>
          <w:lang w:val="es-MX"/>
        </w:rPr>
      </w:pPr>
    </w:p>
    <w:p w14:paraId="2ECC1313" w14:textId="16A9EAF6" w:rsidR="00701E07" w:rsidRPr="005B33F5" w:rsidRDefault="00701E07" w:rsidP="00701E07">
      <w:pPr>
        <w:pStyle w:val="Prrafoconsangra"/>
        <w:rPr>
          <w:u w:val="single"/>
          <w:lang w:val="es-MX"/>
        </w:rPr>
      </w:pPr>
      <w:r w:rsidRPr="00701E07">
        <w:rPr>
          <w:lang w:val="es-MX"/>
        </w:rPr>
        <w:t>La formulación algebraica clásica de LDA suele expresarse a partir de la inversión de la matriz de dispersión intraclase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701E07">
        <w:rPr>
          <w:lang w:val="es-MX"/>
        </w:rPr>
        <w:t>) o, de forma equivalente, mediante un problema generalizado de valores propios. Esta formulación resulta problemática cuando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701E07">
        <w:rPr>
          <w:lang w:val="es-MX"/>
        </w:rPr>
        <w:t>) es singular o está mal condicionada, situación frecuente en escenarios de alta dimensionalidad, presencia de multicolinealidad o tamaño muestral reducido. En estos casos, el cálculo directo de (</w:t>
      </w:r>
      <m:oMath>
        <m:sSubSup>
          <m:sSubSupPr>
            <m:ctrlPr>
              <w:rPr>
                <w:rFonts w:ascii="Cambria Math" w:hAnsi="Cambria Math"/>
                <w:i/>
                <w:lang w:val="es-MX"/>
              </w:rPr>
            </m:ctrlPr>
          </m:sSubSupPr>
          <m:e>
            <m:r>
              <w:rPr>
                <w:rFonts w:ascii="Cambria Math" w:hAnsi="Cambria Math"/>
                <w:lang w:val="es-MX"/>
              </w:rPr>
              <m:t>S</m:t>
            </m:r>
            <m:ctrlPr>
              <w:rPr>
                <w:rFonts w:ascii="Cambria Math" w:hAnsi="Cambria Math"/>
                <w:i/>
                <w:iCs/>
                <w:lang w:val="es-MX"/>
              </w:rPr>
            </m:ctrlPr>
          </m:e>
          <m:sub>
            <m:r>
              <w:rPr>
                <w:rFonts w:ascii="Cambria Math" w:hAnsi="Cambria Math"/>
                <w:lang w:val="es-MX"/>
              </w:rPr>
              <m:t>W</m:t>
            </m:r>
            <m:ctrlPr>
              <w:rPr>
                <w:rFonts w:ascii="Cambria Math" w:hAnsi="Cambria Math"/>
                <w:i/>
                <w:iCs/>
                <w:lang w:val="es-MX"/>
              </w:rPr>
            </m:ctrlPr>
          </m:sub>
          <m:sup>
            <m:r>
              <w:rPr>
                <w:rFonts w:ascii="Cambria Math" w:hAnsi="Cambria Math"/>
                <w:lang w:val="es-MX"/>
              </w:rPr>
              <m:t>-1</m:t>
            </m:r>
          </m:sup>
        </m:sSubSup>
      </m:oMath>
      <w:r w:rsidRPr="00701E07">
        <w:rPr>
          <w:lang w:val="es-MX"/>
        </w:rPr>
        <w:t>) puede ser numéricamente inestable o incluso inviable</w:t>
      </w:r>
      <w:r w:rsidR="005B33F5">
        <w:rPr>
          <w:lang w:val="es-MX"/>
        </w:rPr>
        <w:t xml:space="preserve"> </w:t>
      </w:r>
      <w:r w:rsidR="005B33F5" w:rsidRPr="005B33F5">
        <w:rPr>
          <w:lang w:val="es-MX"/>
        </w:rPr>
        <w:t>(Friedman, 1989)</w:t>
      </w:r>
      <w:r w:rsidRPr="00701E07">
        <w:rPr>
          <w:lang w:val="es-MX"/>
        </w:rPr>
        <w:t>.</w:t>
      </w:r>
    </w:p>
    <w:p w14:paraId="6604837C" w14:textId="395866F2" w:rsidR="00701E07" w:rsidRPr="00A96505" w:rsidRDefault="00701E07" w:rsidP="00A96505">
      <w:pPr>
        <w:pStyle w:val="Prrafoconsangra"/>
      </w:pPr>
      <w:r w:rsidRPr="00701E07">
        <w:rPr>
          <w:lang w:val="es-MX"/>
        </w:rPr>
        <w:t xml:space="preserve">En la práctica, algunas implementaciones computacionales de LDA reformulan el problema para evitar la inversión explícita de la matriz de dispersión intraclase. Este es el caso de la función </w:t>
      </w:r>
      <w:proofErr w:type="spellStart"/>
      <w:r w:rsidRPr="00F13CB9">
        <w:rPr>
          <w:i/>
          <w:iCs/>
          <w:lang w:val="es-MX"/>
        </w:rPr>
        <w:t>lda</w:t>
      </w:r>
      <w:proofErr w:type="spellEnd"/>
      <w:r w:rsidRPr="00701E07">
        <w:rPr>
          <w:lang w:val="es-MX"/>
        </w:rPr>
        <w:t xml:space="preserve"> del paquete MASS en R, cuya implementación construye una transformación de escala que lleva las observaciones hacia funciones discriminantes normalizadas de manera que la covarianza intragrupo sea esférica. Esta operación puede interpretarse como una forma de blanqueamiento del espacio, ya que busca remover la estructura de correlación interna de las clases antes de estimar las direcciones discriminantes</w:t>
      </w:r>
      <w:r w:rsidR="00A96505">
        <w:rPr>
          <w:lang w:val="es-MX"/>
        </w:rPr>
        <w:t xml:space="preserve"> (Venables &amp; </w:t>
      </w:r>
      <w:r w:rsidR="00A96505" w:rsidRPr="00A96505">
        <w:t>Ripley</w:t>
      </w:r>
      <w:r w:rsidR="00A96505">
        <w:t>, 20</w:t>
      </w:r>
      <w:r w:rsidR="00232D3E">
        <w:t>13</w:t>
      </w:r>
      <w:r w:rsidR="00A96505">
        <w:t>).</w:t>
      </w:r>
    </w:p>
    <w:p w14:paraId="7627AF01" w14:textId="77777777" w:rsidR="00F13CB9" w:rsidRPr="00F13CB9" w:rsidRDefault="00F13CB9" w:rsidP="00F13CB9">
      <w:pPr>
        <w:pStyle w:val="Textoindependiente"/>
        <w:spacing w:line="360" w:lineRule="auto"/>
        <w:rPr>
          <w:rFonts w:ascii="Times New Roman" w:eastAsiaTheme="minorEastAsia" w:hAnsi="Times New Roman" w:cs="Times New Roman"/>
          <w:color w:val="000000"/>
          <w:sz w:val="24"/>
          <w:szCs w:val="26"/>
          <w:lang w:eastAsia="es-MX"/>
        </w:rPr>
      </w:pPr>
      <w:r w:rsidRPr="00F13CB9">
        <w:rPr>
          <w:rFonts w:ascii="Times New Roman" w:eastAsiaTheme="minorEastAsia" w:hAnsi="Times New Roman" w:cs="Times New Roman"/>
          <w:color w:val="000000"/>
          <w:sz w:val="24"/>
          <w:szCs w:val="26"/>
          <w:lang w:eastAsia="es-MX"/>
        </w:rPr>
        <w:t xml:space="preserve">Matemáticamente, el proceso de blanqueamiento o </w:t>
      </w:r>
      <w:proofErr w:type="spellStart"/>
      <w:r w:rsidRPr="00F13CB9">
        <w:rPr>
          <w:rFonts w:ascii="Times New Roman" w:eastAsiaTheme="minorEastAsia" w:hAnsi="Times New Roman" w:cs="Times New Roman"/>
          <w:color w:val="000000"/>
          <w:sz w:val="24"/>
          <w:szCs w:val="26"/>
          <w:lang w:eastAsia="es-MX"/>
        </w:rPr>
        <w:t>esferización</w:t>
      </w:r>
      <w:proofErr w:type="spellEnd"/>
      <w:r w:rsidRPr="00F13CB9">
        <w:rPr>
          <w:rFonts w:ascii="Times New Roman" w:eastAsiaTheme="minorEastAsia" w:hAnsi="Times New Roman" w:cs="Times New Roman"/>
          <w:color w:val="000000"/>
          <w:sz w:val="24"/>
          <w:szCs w:val="26"/>
          <w:lang w:eastAsia="es-MX"/>
        </w:rPr>
        <w:t xml:space="preserve"> busca encontrar una matriz de transformación </w:t>
      </w:r>
      <m:oMath>
        <m:r>
          <w:rPr>
            <w:rFonts w:ascii="Cambria Math" w:eastAsiaTheme="minorEastAsia" w:hAnsi="Cambria Math" w:cs="Times New Roman"/>
            <w:color w:val="000000"/>
            <w:sz w:val="24"/>
            <w:szCs w:val="26"/>
            <w:lang w:eastAsia="es-MX"/>
          </w:rPr>
          <m:t>W</m:t>
        </m:r>
      </m:oMath>
      <w:r w:rsidRPr="00F13CB9">
        <w:rPr>
          <w:rFonts w:ascii="Times New Roman" w:eastAsiaTheme="minorEastAsia" w:hAnsi="Times New Roman" w:cs="Times New Roman"/>
          <w:color w:val="000000"/>
          <w:sz w:val="24"/>
          <w:szCs w:val="26"/>
          <w:lang w:eastAsia="es-MX"/>
        </w:rPr>
        <w:t xml:space="preserve"> tal que, al proyectar el espacio original, la nueva matriz de dispersión intraclase se convierta en la matriz identidad:</w:t>
      </w:r>
    </w:p>
    <w:p w14:paraId="6B71BA8A" w14:textId="77777777" w:rsidR="00F13CB9" w:rsidRPr="00F13CB9" w:rsidRDefault="00000000" w:rsidP="00F13CB9">
      <w:pPr>
        <w:pStyle w:val="Textoindependiente"/>
        <w:rPr>
          <w:rFonts w:ascii="Times New Roman" w:eastAsiaTheme="minorEastAsia" w:hAnsi="Times New Roman" w:cs="Times New Roman"/>
          <w:color w:val="000000"/>
          <w:sz w:val="24"/>
          <w:szCs w:val="26"/>
          <w:lang w:eastAsia="es-MX"/>
        </w:rPr>
      </w:pPr>
      <m:oMathPara>
        <m:oMathParaPr>
          <m:jc m:val="center"/>
        </m:oMathParaPr>
        <m:oMath>
          <m:sSup>
            <m:sSupPr>
              <m:ctrlPr>
                <w:rPr>
                  <w:rFonts w:ascii="Cambria Math" w:eastAsiaTheme="minorEastAsia" w:hAnsi="Cambria Math" w:cs="Times New Roman"/>
                  <w:color w:val="000000"/>
                  <w:sz w:val="24"/>
                  <w:szCs w:val="26"/>
                  <w:lang w:eastAsia="es-MX"/>
                </w:rPr>
              </m:ctrlPr>
            </m:sSupPr>
            <m:e>
              <m:r>
                <w:rPr>
                  <w:rFonts w:ascii="Cambria Math" w:eastAsiaTheme="minorEastAsia" w:hAnsi="Cambria Math" w:cs="Times New Roman"/>
                  <w:color w:val="000000"/>
                  <w:sz w:val="24"/>
                  <w:szCs w:val="26"/>
                  <w:lang w:eastAsia="es-MX"/>
                </w:rPr>
                <m:t>W</m:t>
              </m:r>
            </m:e>
            <m:sup>
              <m:r>
                <w:rPr>
                  <w:rFonts w:ascii="Cambria Math" w:eastAsiaTheme="minorEastAsia" w:hAnsi="Cambria Math" w:cs="Times New Roman"/>
                  <w:color w:val="000000"/>
                  <w:sz w:val="24"/>
                  <w:szCs w:val="26"/>
                  <w:lang w:eastAsia="es-MX"/>
                </w:rPr>
                <m:t>T</m:t>
              </m:r>
            </m:sup>
          </m:sSup>
          <m:sSub>
            <m:sSubPr>
              <m:ctrlPr>
                <w:rPr>
                  <w:rFonts w:ascii="Cambria Math" w:eastAsiaTheme="minorEastAsia" w:hAnsi="Cambria Math" w:cs="Times New Roman"/>
                  <w:color w:val="000000"/>
                  <w:sz w:val="24"/>
                  <w:szCs w:val="26"/>
                  <w:lang w:eastAsia="es-MX"/>
                </w:rPr>
              </m:ctrlPr>
            </m:sSubPr>
            <m:e>
              <m:r>
                <w:rPr>
                  <w:rFonts w:ascii="Cambria Math" w:eastAsiaTheme="minorEastAsia" w:hAnsi="Cambria Math" w:cs="Times New Roman"/>
                  <w:color w:val="000000"/>
                  <w:sz w:val="24"/>
                  <w:szCs w:val="26"/>
                  <w:lang w:eastAsia="es-MX"/>
                </w:rPr>
                <m:t>S</m:t>
              </m:r>
            </m:e>
            <m:sub>
              <m:r>
                <w:rPr>
                  <w:rFonts w:ascii="Cambria Math" w:eastAsiaTheme="minorEastAsia" w:hAnsi="Cambria Math" w:cs="Times New Roman"/>
                  <w:color w:val="000000"/>
                  <w:sz w:val="24"/>
                  <w:szCs w:val="26"/>
                  <w:lang w:eastAsia="es-MX"/>
                </w:rPr>
                <m:t>W</m:t>
              </m:r>
            </m:sub>
          </m:sSub>
          <m:r>
            <w:rPr>
              <w:rFonts w:ascii="Cambria Math" w:eastAsiaTheme="minorEastAsia" w:hAnsi="Cambria Math" w:cs="Times New Roman"/>
              <w:color w:val="000000"/>
              <w:sz w:val="24"/>
              <w:szCs w:val="26"/>
              <w:lang w:eastAsia="es-MX"/>
            </w:rPr>
            <m:t>W</m:t>
          </m:r>
          <m:r>
            <m:rPr>
              <m:sty m:val="p"/>
            </m:rPr>
            <w:rPr>
              <w:rFonts w:ascii="Cambria Math" w:eastAsiaTheme="minorEastAsia" w:hAnsi="Cambria Math" w:cs="Times New Roman"/>
              <w:color w:val="000000"/>
              <w:sz w:val="24"/>
              <w:szCs w:val="26"/>
              <w:lang w:eastAsia="es-MX"/>
            </w:rPr>
            <m:t>=</m:t>
          </m:r>
          <m:r>
            <w:rPr>
              <w:rFonts w:ascii="Cambria Math" w:eastAsiaTheme="minorEastAsia" w:hAnsi="Cambria Math" w:cs="Times New Roman"/>
              <w:color w:val="000000"/>
              <w:sz w:val="24"/>
              <w:szCs w:val="26"/>
              <w:lang w:eastAsia="es-MX"/>
            </w:rPr>
            <m:t>I</m:t>
          </m:r>
        </m:oMath>
      </m:oMathPara>
    </w:p>
    <w:p w14:paraId="0A183E0E" w14:textId="660EAE00" w:rsidR="00C40742" w:rsidRDefault="00F13CB9" w:rsidP="00F13CB9">
      <w:pPr>
        <w:pStyle w:val="Prrafoconsangra"/>
        <w:rPr>
          <w:lang w:val="es-MX"/>
        </w:rPr>
      </w:pPr>
      <w:r w:rsidRPr="00F13CB9">
        <w:rPr>
          <w:lang w:val="es-MX"/>
        </w:rPr>
        <w:t xml:space="preserve">Mediante la descomposición espectral se tiene que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r>
          <m:rPr>
            <m:sty m:val="p"/>
          </m:rPr>
          <w:rPr>
            <w:rFonts w:ascii="Cambria Math" w:hAnsi="Cambria Math"/>
            <w:lang w:val="es-MX"/>
          </w:rPr>
          <m:t>=</m:t>
        </m:r>
        <m:r>
          <w:rPr>
            <w:rFonts w:ascii="Cambria Math" w:hAnsi="Cambria Math"/>
            <w:lang w:val="es-MX"/>
          </w:rPr>
          <m:t>UΛ</m:t>
        </m:r>
        <m:sSup>
          <m:sSupPr>
            <m:ctrlPr>
              <w:rPr>
                <w:rFonts w:ascii="Cambria Math" w:hAnsi="Cambria Math"/>
                <w:lang w:val="es-MX"/>
              </w:rPr>
            </m:ctrlPr>
          </m:sSupPr>
          <m:e>
            <m:r>
              <w:rPr>
                <w:rFonts w:ascii="Cambria Math" w:hAnsi="Cambria Math"/>
                <w:lang w:val="es-MX"/>
              </w:rPr>
              <m:t>U</m:t>
            </m:r>
          </m:e>
          <m:sup>
            <m:r>
              <w:rPr>
                <w:rFonts w:ascii="Cambria Math" w:hAnsi="Cambria Math"/>
                <w:lang w:val="es-MX"/>
              </w:rPr>
              <m:t>T</m:t>
            </m:r>
          </m:sup>
        </m:sSup>
      </m:oMath>
      <w:r w:rsidRPr="00F13CB9">
        <w:rPr>
          <w:lang w:val="es-MX"/>
        </w:rPr>
        <w:t xml:space="preserve">, donde </w:t>
      </w:r>
      <m:oMath>
        <m:r>
          <w:rPr>
            <w:rFonts w:ascii="Cambria Math" w:hAnsi="Cambria Math"/>
            <w:lang w:val="es-MX"/>
          </w:rPr>
          <m:t>U</m:t>
        </m:r>
      </m:oMath>
      <w:r w:rsidRPr="00F13CB9">
        <w:rPr>
          <w:lang w:val="es-MX"/>
        </w:rPr>
        <w:t xml:space="preserve"> es la matriz ortogonal de vectores propios y </w:t>
      </w:r>
      <m:oMath>
        <m:r>
          <w:rPr>
            <w:rFonts w:ascii="Cambria Math" w:hAnsi="Cambria Math"/>
            <w:lang w:val="es-MX"/>
          </w:rPr>
          <m:t>Λ</m:t>
        </m:r>
      </m:oMath>
      <w:r w:rsidRPr="00F13CB9">
        <w:rPr>
          <w:lang w:val="es-MX"/>
        </w:rPr>
        <w:t xml:space="preserve"> es la matriz diagonal de valores propios asociados. La matriz transformadora se define entonces como </w:t>
      </w:r>
      <m:oMath>
        <m:r>
          <w:rPr>
            <w:rFonts w:ascii="Cambria Math" w:hAnsi="Cambria Math"/>
            <w:lang w:val="es-MX"/>
          </w:rPr>
          <m:t>W</m:t>
        </m:r>
        <m:r>
          <m:rPr>
            <m:sty m:val="p"/>
          </m:rPr>
          <w:rPr>
            <w:rFonts w:ascii="Cambria Math" w:hAnsi="Cambria Math"/>
            <w:lang w:val="es-MX"/>
          </w:rPr>
          <m:t>=</m:t>
        </m:r>
        <m:r>
          <w:rPr>
            <w:rFonts w:ascii="Cambria Math" w:hAnsi="Cambria Math"/>
            <w:lang w:val="es-MX"/>
          </w:rPr>
          <m:t>U</m:t>
        </m:r>
        <m:sSup>
          <m:sSupPr>
            <m:ctrlPr>
              <w:rPr>
                <w:rFonts w:ascii="Cambria Math" w:hAnsi="Cambria Math"/>
                <w:lang w:val="es-MX"/>
              </w:rPr>
            </m:ctrlPr>
          </m:sSupPr>
          <m:e>
            <m:r>
              <w:rPr>
                <w:rFonts w:ascii="Cambria Math" w:hAnsi="Cambria Math"/>
                <w:lang w:val="es-MX"/>
              </w:rPr>
              <m:t>Λ</m:t>
            </m:r>
          </m:e>
          <m:sup>
            <m:r>
              <m:rPr>
                <m:sty m:val="p"/>
              </m:rPr>
              <w:rPr>
                <w:rFonts w:ascii="Cambria Math" w:hAnsi="Cambria Math"/>
                <w:lang w:val="es-MX"/>
              </w:rPr>
              <m:t>-1/2</m:t>
            </m:r>
          </m:sup>
        </m:sSup>
      </m:oMath>
      <w:r w:rsidRPr="00F13CB9">
        <w:rPr>
          <w:lang w:val="es-MX"/>
        </w:rPr>
        <w:t xml:space="preserve">. Al proyectar los datos originales empleando </w:t>
      </w:r>
      <m:oMath>
        <m:r>
          <w:rPr>
            <w:rFonts w:ascii="Cambria Math" w:hAnsi="Cambria Math"/>
            <w:lang w:val="es-MX"/>
          </w:rPr>
          <m:t>W</m:t>
        </m:r>
      </m:oMath>
      <w:r w:rsidRPr="00F13CB9">
        <w:rPr>
          <w:lang w:val="es-MX"/>
        </w:rPr>
        <w:t xml:space="preserve">, la varianza interna de los grupos se vuelve uniforme en todas las direcciones (esférica), </w:t>
      </w:r>
      <w:r w:rsidR="00C40742" w:rsidRPr="00C40742">
        <w:rPr>
          <w:lang w:val="es-MX"/>
        </w:rPr>
        <w:t>reduciendo la estructura de correlación original y estabilizando los cálculos posteriores</w:t>
      </w:r>
    </w:p>
    <w:p w14:paraId="2087203B" w14:textId="3490E765" w:rsidR="00F13CB9" w:rsidRDefault="00C40742" w:rsidP="00C40742">
      <w:pPr>
        <w:pStyle w:val="Prrafoconsangra"/>
        <w:rPr>
          <w:lang w:val="es-MX"/>
        </w:rPr>
      </w:pPr>
      <w:r w:rsidRPr="00C40742">
        <w:rPr>
          <w:lang w:val="es-MX"/>
        </w:rPr>
        <w:t xml:space="preserve">Cuando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C40742">
        <w:rPr>
          <w:lang w:val="es-MX"/>
        </w:rPr>
        <w:t>es singular, esta transformación debe entenderse sobre el subespacio asociado a valores propios positivos o mediante una versión truncada/pseudoinversa, ya que los valores propios nulos no pueden invertirse</w:t>
      </w:r>
      <w:r>
        <w:rPr>
          <w:lang w:val="es-MX"/>
        </w:rPr>
        <w:t>.</w:t>
      </w:r>
    </w:p>
    <w:p w14:paraId="5003AF87" w14:textId="347DA563" w:rsidR="00701E07" w:rsidRPr="00701E07" w:rsidRDefault="00F13CB9" w:rsidP="00F13CB9">
      <w:pPr>
        <w:pStyle w:val="Prrafoconsangra"/>
        <w:rPr>
          <w:lang w:val="es-MX"/>
        </w:rPr>
      </w:pPr>
      <w:r>
        <w:rPr>
          <w:lang w:val="es-MX"/>
        </w:rPr>
        <w:t>L</w:t>
      </w:r>
      <w:r w:rsidR="00701E07" w:rsidRPr="00701E07">
        <w:rPr>
          <w:lang w:val="es-MX"/>
        </w:rPr>
        <w:t xml:space="preserve">a implementación utiliza descomposición en valores singulares (SVD) para identificar las direcciones discriminantes relevantes. En lugar de depender de la inversión </w:t>
      </w:r>
      <w:r w:rsidR="00701E07" w:rsidRPr="00701E07">
        <w:rPr>
          <w:lang w:val="es-MX"/>
        </w:rPr>
        <w:lastRenderedPageBreak/>
        <w:t>directa de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00701E07" w:rsidRPr="00701E07">
        <w:rPr>
          <w:lang w:val="es-MX"/>
        </w:rPr>
        <w:t>), la SVD permite trabajar con el rango efectivo de la matriz y descartar direcciones asociadas con varianza nula o numéricamente despreciable. De esta forma, cuando existen variables colineales o combinaciones lineales con varianza muy baja, el algoritmo puede detectarlas mediante un umbral de tolerancia y restringir el cálculo a las dimensiones que conservan información discriminativa suficiente.</w:t>
      </w:r>
    </w:p>
    <w:p w14:paraId="55F2BCA6" w14:textId="4B723068" w:rsidR="00F13CB9" w:rsidRPr="00F13CB9" w:rsidRDefault="00F13CB9" w:rsidP="00F13CB9">
      <w:pPr>
        <w:pStyle w:val="FirstParagraph"/>
        <w:spacing w:line="360" w:lineRule="auto"/>
        <w:rPr>
          <w:rFonts w:ascii="Times New Roman" w:eastAsiaTheme="minorEastAsia" w:hAnsi="Times New Roman" w:cs="Times New Roman"/>
          <w:color w:val="000000"/>
          <w:szCs w:val="26"/>
          <w:lang w:val="es-MX" w:eastAsia="es-MX"/>
        </w:rPr>
      </w:pPr>
      <w:r w:rsidRPr="00F13CB9">
        <w:rPr>
          <w:rFonts w:ascii="Times New Roman" w:eastAsiaTheme="minorEastAsia" w:hAnsi="Times New Roman" w:cs="Times New Roman"/>
          <w:color w:val="000000"/>
          <w:szCs w:val="26"/>
          <w:lang w:val="es-MX" w:eastAsia="es-MX"/>
        </w:rPr>
        <w:t xml:space="preserve">Formalmente, la Descomposición en Valores Singulares factoriza una matriz de datos </w:t>
      </w:r>
      <m:oMath>
        <m:r>
          <w:rPr>
            <w:rFonts w:ascii="Cambria Math" w:eastAsiaTheme="minorEastAsia" w:hAnsi="Cambria Math" w:cs="Times New Roman"/>
            <w:color w:val="000000"/>
            <w:szCs w:val="26"/>
            <w:lang w:val="es-MX" w:eastAsia="es-MX"/>
          </w:rPr>
          <m:t>X</m:t>
        </m:r>
      </m:oMath>
      <w:r w:rsidRPr="00F13CB9">
        <w:rPr>
          <w:rFonts w:ascii="Times New Roman" w:eastAsiaTheme="minorEastAsia" w:hAnsi="Times New Roman" w:cs="Times New Roman"/>
          <w:color w:val="000000"/>
          <w:szCs w:val="26"/>
          <w:lang w:val="es-MX" w:eastAsia="es-MX"/>
        </w:rPr>
        <w:t xml:space="preserve"> (previamente centrada y blanqueada) de la forma </w:t>
      </w:r>
      <m:oMath>
        <m:r>
          <w:rPr>
            <w:rFonts w:ascii="Cambria Math" w:eastAsiaTheme="minorEastAsia" w:hAnsi="Cambria Math" w:cs="Times New Roman"/>
            <w:color w:val="000000"/>
            <w:szCs w:val="26"/>
            <w:lang w:val="es-MX" w:eastAsia="es-MX"/>
          </w:rPr>
          <m:t>X</m:t>
        </m:r>
        <m:r>
          <m:rPr>
            <m:sty m:val="p"/>
          </m:rPr>
          <w:rPr>
            <w:rFonts w:ascii="Cambria Math" w:eastAsiaTheme="minorEastAsia" w:hAnsi="Cambria Math" w:cs="Times New Roman"/>
            <w:color w:val="000000"/>
            <w:szCs w:val="26"/>
            <w:lang w:val="es-MX" w:eastAsia="es-MX"/>
          </w:rPr>
          <m:t>=</m:t>
        </m:r>
        <m:r>
          <w:rPr>
            <w:rFonts w:ascii="Cambria Math" w:eastAsiaTheme="minorEastAsia" w:hAnsi="Cambria Math" w:cs="Times New Roman"/>
            <w:color w:val="000000"/>
            <w:szCs w:val="26"/>
            <w:lang w:val="es-MX" w:eastAsia="es-MX"/>
          </w:rPr>
          <m:t>UΣ</m:t>
        </m:r>
        <m:sSup>
          <m:sSupPr>
            <m:ctrlPr>
              <w:rPr>
                <w:rFonts w:ascii="Cambria Math" w:eastAsiaTheme="minorEastAsia" w:hAnsi="Cambria Math" w:cs="Times New Roman"/>
                <w:color w:val="000000"/>
                <w:szCs w:val="26"/>
                <w:lang w:val="es-MX" w:eastAsia="es-MX"/>
              </w:rPr>
            </m:ctrlPr>
          </m:sSupPr>
          <m:e>
            <m:r>
              <w:rPr>
                <w:rFonts w:ascii="Cambria Math" w:eastAsiaTheme="minorEastAsia" w:hAnsi="Cambria Math" w:cs="Times New Roman"/>
                <w:color w:val="000000"/>
                <w:szCs w:val="26"/>
                <w:lang w:val="es-MX" w:eastAsia="es-MX"/>
              </w:rPr>
              <m:t>V</m:t>
            </m:r>
          </m:e>
          <m:sup>
            <m:r>
              <w:rPr>
                <w:rFonts w:ascii="Cambria Math" w:eastAsiaTheme="minorEastAsia" w:hAnsi="Cambria Math" w:cs="Times New Roman"/>
                <w:color w:val="000000"/>
                <w:szCs w:val="26"/>
                <w:lang w:val="es-MX" w:eastAsia="es-MX"/>
              </w:rPr>
              <m:t>T</m:t>
            </m:r>
          </m:sup>
        </m:sSup>
      </m:oMath>
      <w:r w:rsidRPr="00F13CB9">
        <w:rPr>
          <w:rFonts w:ascii="Times New Roman" w:eastAsiaTheme="minorEastAsia" w:hAnsi="Times New Roman" w:cs="Times New Roman"/>
          <w:color w:val="000000"/>
          <w:szCs w:val="26"/>
          <w:lang w:val="es-MX" w:eastAsia="es-MX"/>
        </w:rPr>
        <w:t xml:space="preserve">, donde </w:t>
      </w:r>
      <m:oMath>
        <m:r>
          <w:rPr>
            <w:rFonts w:ascii="Cambria Math" w:eastAsiaTheme="minorEastAsia" w:hAnsi="Cambria Math" w:cs="Times New Roman"/>
            <w:color w:val="000000"/>
            <w:szCs w:val="26"/>
            <w:lang w:val="es-MX" w:eastAsia="es-MX"/>
          </w:rPr>
          <m:t>Σ</m:t>
        </m:r>
      </m:oMath>
      <w:r w:rsidRPr="00F13CB9">
        <w:rPr>
          <w:rFonts w:ascii="Times New Roman" w:eastAsiaTheme="minorEastAsia" w:hAnsi="Times New Roman" w:cs="Times New Roman"/>
          <w:color w:val="000000"/>
          <w:szCs w:val="26"/>
          <w:lang w:val="es-MX" w:eastAsia="es-MX"/>
        </w:rPr>
        <w:t xml:space="preserve"> es una matriz diagonal que contiene los valores singulares </w:t>
      </w:r>
      <m:oMath>
        <m:sSub>
          <m:sSubPr>
            <m:ctrlPr>
              <w:rPr>
                <w:rFonts w:ascii="Cambria Math" w:eastAsiaTheme="minorEastAsia" w:hAnsi="Cambria Math" w:cs="Times New Roman"/>
                <w:color w:val="000000"/>
                <w:szCs w:val="26"/>
                <w:lang w:val="es-MX" w:eastAsia="es-MX"/>
              </w:rPr>
            </m:ctrlPr>
          </m:sSubPr>
          <m:e>
            <m:r>
              <w:rPr>
                <w:rFonts w:ascii="Cambria Math" w:eastAsiaTheme="minorEastAsia" w:hAnsi="Cambria Math" w:cs="Times New Roman"/>
                <w:color w:val="000000"/>
                <w:szCs w:val="26"/>
                <w:lang w:val="es-MX" w:eastAsia="es-MX"/>
              </w:rPr>
              <m:t>σ</m:t>
            </m:r>
          </m:e>
          <m:sub>
            <m:r>
              <w:rPr>
                <w:rFonts w:ascii="Cambria Math" w:eastAsiaTheme="minorEastAsia" w:hAnsi="Cambria Math" w:cs="Times New Roman"/>
                <w:color w:val="000000"/>
                <w:szCs w:val="26"/>
                <w:lang w:val="es-MX" w:eastAsia="es-MX"/>
              </w:rPr>
              <m:t>i</m:t>
            </m:r>
          </m:sub>
        </m:sSub>
      </m:oMath>
      <w:r w:rsidRPr="00F13CB9">
        <w:rPr>
          <w:rFonts w:ascii="Times New Roman" w:eastAsiaTheme="minorEastAsia" w:hAnsi="Times New Roman" w:cs="Times New Roman"/>
          <w:color w:val="000000"/>
          <w:szCs w:val="26"/>
          <w:lang w:val="es-MX" w:eastAsia="es-MX"/>
        </w:rPr>
        <w:t xml:space="preserve">. El rango efectivo de la matriz se determina mediante el análisis de estos valores singulares, descartando aquellos que caen por debajo de un umbral de tolerancia </w:t>
      </w:r>
      <m:oMath>
        <m:r>
          <w:rPr>
            <w:rFonts w:ascii="Cambria Math" w:eastAsiaTheme="minorEastAsia" w:hAnsi="Cambria Math" w:cs="Times New Roman"/>
            <w:color w:val="000000"/>
            <w:szCs w:val="26"/>
            <w:lang w:val="es-MX" w:eastAsia="es-MX"/>
          </w:rPr>
          <m:t>τ</m:t>
        </m:r>
      </m:oMath>
      <w:r w:rsidRPr="00F13CB9">
        <w:rPr>
          <w:rFonts w:ascii="Times New Roman" w:eastAsiaTheme="minorEastAsia" w:hAnsi="Times New Roman" w:cs="Times New Roman"/>
          <w:color w:val="000000"/>
          <w:szCs w:val="26"/>
          <w:lang w:val="es-MX" w:eastAsia="es-MX"/>
        </w:rPr>
        <w:t xml:space="preserve"> cercano a cero (</w:t>
      </w:r>
      <m:oMath>
        <m:sSub>
          <m:sSubPr>
            <m:ctrlPr>
              <w:rPr>
                <w:rFonts w:ascii="Cambria Math" w:eastAsiaTheme="minorEastAsia" w:hAnsi="Cambria Math" w:cs="Times New Roman"/>
                <w:color w:val="000000"/>
                <w:szCs w:val="26"/>
                <w:lang w:val="es-MX" w:eastAsia="es-MX"/>
              </w:rPr>
            </m:ctrlPr>
          </m:sSubPr>
          <m:e>
            <m:r>
              <w:rPr>
                <w:rFonts w:ascii="Cambria Math" w:eastAsiaTheme="minorEastAsia" w:hAnsi="Cambria Math" w:cs="Times New Roman"/>
                <w:color w:val="000000"/>
                <w:szCs w:val="26"/>
                <w:lang w:val="es-MX" w:eastAsia="es-MX"/>
              </w:rPr>
              <m:t>σ</m:t>
            </m:r>
          </m:e>
          <m:sub>
            <m:r>
              <w:rPr>
                <w:rFonts w:ascii="Cambria Math" w:eastAsiaTheme="minorEastAsia" w:hAnsi="Cambria Math" w:cs="Times New Roman"/>
                <w:color w:val="000000"/>
                <w:szCs w:val="26"/>
                <w:lang w:val="es-MX" w:eastAsia="es-MX"/>
              </w:rPr>
              <m:t>i</m:t>
            </m:r>
          </m:sub>
        </m:sSub>
        <m:r>
          <m:rPr>
            <m:sty m:val="p"/>
          </m:rPr>
          <w:rPr>
            <w:rFonts w:ascii="Cambria Math" w:eastAsiaTheme="minorEastAsia" w:hAnsi="Cambria Math" w:cs="Times New Roman"/>
            <w:color w:val="000000"/>
            <w:szCs w:val="26"/>
            <w:lang w:val="es-MX" w:eastAsia="es-MX"/>
          </w:rPr>
          <m:t>&lt;</m:t>
        </m:r>
        <m:r>
          <w:rPr>
            <w:rFonts w:ascii="Cambria Math" w:eastAsiaTheme="minorEastAsia" w:hAnsi="Cambria Math" w:cs="Times New Roman"/>
            <w:color w:val="000000"/>
            <w:szCs w:val="26"/>
            <w:lang w:val="es-MX" w:eastAsia="es-MX"/>
          </w:rPr>
          <m:t>τ</m:t>
        </m:r>
      </m:oMath>
      <w:r w:rsidRPr="00F13CB9">
        <w:rPr>
          <w:rFonts w:ascii="Times New Roman" w:eastAsiaTheme="minorEastAsia" w:hAnsi="Times New Roman" w:cs="Times New Roman"/>
          <w:color w:val="000000"/>
          <w:szCs w:val="26"/>
          <w:lang w:val="es-MX" w:eastAsia="es-MX"/>
        </w:rPr>
        <w:t>). Al truncar la descomposición y conservar únicamente las dimensiones con varianza significativa, el algoritmo evita la división por cero o la inestabilidad numérica que provocarían las dimensiones colineales al calcular las proyecciones discriminantes finales</w:t>
      </w:r>
      <w:r w:rsidR="005A4B7C">
        <w:rPr>
          <w:rFonts w:ascii="Times New Roman" w:eastAsiaTheme="minorEastAsia" w:hAnsi="Times New Roman" w:cs="Times New Roman"/>
          <w:color w:val="000000"/>
          <w:szCs w:val="26"/>
          <w:lang w:val="es-MX" w:eastAsia="es-MX"/>
        </w:rPr>
        <w:t xml:space="preserve"> </w:t>
      </w:r>
      <w:r w:rsidR="005A4B7C" w:rsidRPr="005A4B7C">
        <w:rPr>
          <w:rFonts w:ascii="Times New Roman" w:eastAsiaTheme="minorEastAsia" w:hAnsi="Times New Roman" w:cs="Times New Roman"/>
          <w:color w:val="000000"/>
          <w:szCs w:val="26"/>
          <w:lang w:val="es-MX" w:eastAsia="es-MX"/>
        </w:rPr>
        <w:t>(Golub &amp; Van Loan, 2013)</w:t>
      </w:r>
      <w:r w:rsidRPr="00F13CB9">
        <w:rPr>
          <w:rFonts w:ascii="Times New Roman" w:eastAsiaTheme="minorEastAsia" w:hAnsi="Times New Roman" w:cs="Times New Roman"/>
          <w:color w:val="000000"/>
          <w:szCs w:val="26"/>
          <w:lang w:val="es-MX" w:eastAsia="es-MX"/>
        </w:rPr>
        <w:t>.</w:t>
      </w:r>
    </w:p>
    <w:p w14:paraId="7A176838" w14:textId="6062DA1D" w:rsidR="00701E07" w:rsidRPr="00701E07" w:rsidRDefault="00701E07" w:rsidP="00701E07">
      <w:pPr>
        <w:pStyle w:val="Prrafoconsangra"/>
        <w:rPr>
          <w:lang w:val="es-MX"/>
        </w:rPr>
      </w:pPr>
      <w:r w:rsidRPr="00701E07">
        <w:rPr>
          <w:lang w:val="es-MX"/>
        </w:rPr>
        <w:t xml:space="preserve">Esta estrategia no elimina por completo el problema Small Sample Size, ya que la disponibilidad de direcciones discriminantes sigue dependiendo de la información contenida en los datos y del rango efectivo de las matrices involucradas. Sin embargo, </w:t>
      </w:r>
      <w:r w:rsidR="00C40742" w:rsidRPr="00C40742">
        <w:rPr>
          <w:lang w:val="es-MX"/>
        </w:rPr>
        <w:t>puede obtener una proyección en muchos escenarios donde la formulación clásica sería inestable, siempre que exista rango efectivo suficiente</w:t>
      </w:r>
      <w:r w:rsidR="00A96505">
        <w:rPr>
          <w:lang w:val="es-MX"/>
        </w:rPr>
        <w:t xml:space="preserve"> (</w:t>
      </w:r>
      <w:r w:rsidR="00A96505" w:rsidRPr="00A96505">
        <w:rPr>
          <w:lang w:val="es-MX"/>
        </w:rPr>
        <w:t>Krzanowski et al., 1995,</w:t>
      </w:r>
      <w:r w:rsidR="00A96505">
        <w:rPr>
          <w:lang w:val="es-MX"/>
        </w:rPr>
        <w:t>)</w:t>
      </w:r>
      <w:r w:rsidRPr="00701E07">
        <w:rPr>
          <w:lang w:val="es-MX"/>
        </w:rPr>
        <w:t>.</w:t>
      </w:r>
    </w:p>
    <w:p w14:paraId="1F2C3E44" w14:textId="3331C376" w:rsidR="001C2629" w:rsidRDefault="00701E07" w:rsidP="00F13CB9">
      <w:pPr>
        <w:pStyle w:val="Prrafoconsangra"/>
        <w:rPr>
          <w:lang w:val="es-MX"/>
        </w:rPr>
      </w:pPr>
      <w:r w:rsidRPr="00701E07">
        <w:rPr>
          <w:lang w:val="es-MX"/>
        </w:rPr>
        <w:t>En el contexto de esta investigación, esta consideración es relevante porque la expansión polinomial incrementa el número de variables y puede introducir dependencias lineales o casi lineales entre términos originales, términos cuadrados e interacciones</w:t>
      </w:r>
      <w:r w:rsidR="005A4B7C">
        <w:rPr>
          <w:lang w:val="es-MX"/>
        </w:rPr>
        <w:t xml:space="preserve"> </w:t>
      </w:r>
      <w:r w:rsidR="005A4B7C" w:rsidRPr="005A4B7C">
        <w:rPr>
          <w:lang w:val="es-MX"/>
        </w:rPr>
        <w:t>(Montgomery et al., 2021)</w:t>
      </w:r>
      <w:r w:rsidRPr="00701E07">
        <w:rPr>
          <w:lang w:val="es-MX"/>
        </w:rPr>
        <w:t xml:space="preserve">. Por ello, utilizar una implementación de LDA basada en blanqueamiento, control de singularidad y SVD permite emplear el discriminante lineal como motor de evaluación dentro de un esquema </w:t>
      </w:r>
      <w:proofErr w:type="spellStart"/>
      <w:r w:rsidRPr="00701E07">
        <w:rPr>
          <w:lang w:val="es-MX"/>
        </w:rPr>
        <w:t>wrapper</w:t>
      </w:r>
      <w:proofErr w:type="spellEnd"/>
      <w:r w:rsidRPr="00701E07">
        <w:rPr>
          <w:lang w:val="es-MX"/>
        </w:rPr>
        <w:t>, siempre que previamente se controle la dimensionalidad mediante selección evolutiva. Así, la estabilidad computacional de LDA no se asume como una solución aislada al problema SSS, sino como un componente operativo que se beneficia de la reducción previa del espacio de características.</w:t>
      </w:r>
    </w:p>
    <w:p w14:paraId="2AB97C71" w14:textId="77777777" w:rsidR="00601CD3" w:rsidRDefault="00601CD3" w:rsidP="00F13CB9">
      <w:pPr>
        <w:pStyle w:val="Prrafoconsangra"/>
        <w:rPr>
          <w:lang w:val="es-MX"/>
        </w:rPr>
      </w:pPr>
    </w:p>
    <w:p w14:paraId="30CD08C1" w14:textId="77777777" w:rsidR="00601CD3" w:rsidRDefault="00601CD3" w:rsidP="00F13CB9">
      <w:pPr>
        <w:pStyle w:val="Prrafoconsangra"/>
        <w:rPr>
          <w:lang w:val="es-MX"/>
        </w:rPr>
      </w:pPr>
    </w:p>
    <w:p w14:paraId="25A8571D" w14:textId="77777777" w:rsidR="00601CD3" w:rsidRDefault="00601CD3" w:rsidP="00F13CB9">
      <w:pPr>
        <w:pStyle w:val="Prrafoconsangra"/>
        <w:rPr>
          <w:lang w:val="es-MX"/>
        </w:rPr>
      </w:pPr>
    </w:p>
    <w:p w14:paraId="1C182FEE" w14:textId="5EED91E3" w:rsidR="00601CD3" w:rsidRPr="001C2629" w:rsidRDefault="00601CD3" w:rsidP="00601CD3">
      <w:pPr>
        <w:pStyle w:val="Prrafoconsangra"/>
        <w:ind w:firstLine="0"/>
        <w:rPr>
          <w:b/>
          <w:bCs/>
          <w:lang w:val="es-MX"/>
        </w:rPr>
      </w:pPr>
      <w:r w:rsidRPr="001C2629">
        <w:rPr>
          <w:b/>
          <w:bCs/>
          <w:lang w:val="es-MX"/>
        </w:rPr>
        <w:lastRenderedPageBreak/>
        <w:t>2.</w:t>
      </w:r>
      <w:r>
        <w:rPr>
          <w:b/>
          <w:bCs/>
          <w:lang w:val="es-MX"/>
        </w:rPr>
        <w:t>3</w:t>
      </w:r>
      <w:r w:rsidRPr="001C2629">
        <w:rPr>
          <w:b/>
          <w:bCs/>
          <w:lang w:val="es-MX"/>
        </w:rPr>
        <w:t xml:space="preserve"> </w:t>
      </w:r>
      <w:r w:rsidRPr="00601CD3">
        <w:rPr>
          <w:b/>
          <w:bCs/>
          <w:lang w:val="es-MX"/>
        </w:rPr>
        <w:t>Problema Small Sample Size</w:t>
      </w:r>
    </w:p>
    <w:p w14:paraId="2454FDA9" w14:textId="77777777" w:rsidR="00601CD3" w:rsidRDefault="00601CD3" w:rsidP="00601CD3">
      <w:pPr>
        <w:pStyle w:val="Prrafoconsangra"/>
        <w:ind w:firstLine="0"/>
        <w:rPr>
          <w:b/>
          <w:bCs/>
          <w:lang w:val="es-MX"/>
        </w:rPr>
      </w:pPr>
    </w:p>
    <w:p w14:paraId="26AEC7AB" w14:textId="77777777" w:rsidR="00601CD3" w:rsidRPr="00601CD3" w:rsidRDefault="00601CD3" w:rsidP="00601CD3">
      <w:pPr>
        <w:pStyle w:val="Prrafoconsangra"/>
      </w:pPr>
      <w:r w:rsidRPr="00601CD3">
        <w:t xml:space="preserve">El problema </w:t>
      </w:r>
      <w:r w:rsidRPr="00601CD3">
        <w:rPr>
          <w:i/>
          <w:iCs/>
        </w:rPr>
        <w:t>Small Sample Size</w:t>
      </w:r>
      <w:r w:rsidRPr="00601CD3">
        <w:t xml:space="preserve"> (SSS) aparece en escenarios donde el número de variables descriptivas es elevado en relación con el número de observaciones disponibles. En términos generales, esta situación suele expresarse como (p &gt; n), donde (p) representa la dimensión del espacio de características y (n) el número de muestras. Este escenario es frecuente en dominios de alta dimensionalidad, como bioinformática, análisis de señales, reconocimiento de patrones y problemas donde se generan nuevas variables mediante transformaciones del espacio original (</w:t>
      </w:r>
      <w:proofErr w:type="spellStart"/>
      <w:r w:rsidRPr="00601CD3">
        <w:t>Raudys</w:t>
      </w:r>
      <w:proofErr w:type="spellEnd"/>
      <w:r w:rsidRPr="00601CD3">
        <w:t xml:space="preserve"> et al., 1991; Sorzano et al., 2014).</w:t>
      </w:r>
    </w:p>
    <w:p w14:paraId="1A2EC304" w14:textId="77777777" w:rsidR="00601CD3" w:rsidRDefault="00601CD3" w:rsidP="00601CD3">
      <w:pPr>
        <w:pStyle w:val="Prrafoconsangra"/>
      </w:pPr>
      <w:r w:rsidRPr="00601CD3">
        <w:t>En métodos basados en la estimación de matrices de covarianza o dispersión, el problema SSS se manifiesta matemáticamente como una deficiencia de rango. En el caso del Análisis Discriminante Lineal (LDA), la matriz de dispersión intraclase (S_W) tiene dimensión (p \times p), pero su rango máximo está limitado por la cantidad de observaciones disponibles y por el número de clases. En particular, para (C) clases, se cumple que:</w:t>
      </w:r>
    </w:p>
    <w:p w14:paraId="265E440E" w14:textId="77777777" w:rsidR="009F7CDB" w:rsidRPr="00601CD3" w:rsidRDefault="009F7CDB" w:rsidP="00601CD3">
      <w:pPr>
        <w:pStyle w:val="Prrafoconsangra"/>
      </w:pPr>
    </w:p>
    <w:p w14:paraId="061F27F0" w14:textId="77777777" w:rsidR="00601CD3" w:rsidRPr="009F7CDB" w:rsidRDefault="00601CD3" w:rsidP="00601CD3">
      <w:pPr>
        <w:pStyle w:val="Prrafoconsangra"/>
        <w:rPr>
          <w:iCs/>
          <w:lang w:val="es-MX"/>
        </w:rPr>
      </w:pPr>
      <m:oMathPara>
        <m:oMathParaPr>
          <m:jc m:val="center"/>
        </m:oMathParaPr>
        <m:oMath>
          <m:r>
            <m:rPr>
              <m:sty m:val="p"/>
            </m:rPr>
            <w:rPr>
              <w:rFonts w:ascii="Cambria Math" w:hAnsi="Cambria Math"/>
              <w:lang w:val="es-MX"/>
            </w:rPr>
            <m:t>rank</m:t>
          </m:r>
          <m:d>
            <m:dPr>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e>
          </m:d>
          <m:r>
            <m:rPr>
              <m:sty m:val="p"/>
            </m:rPr>
            <w:rPr>
              <w:rFonts w:ascii="Cambria Math" w:hAnsi="Cambria Math"/>
              <w:lang w:val="es-MX"/>
            </w:rPr>
            <m:t>≤</m:t>
          </m:r>
          <m:r>
            <w:rPr>
              <w:rFonts w:ascii="Cambria Math" w:hAnsi="Cambria Math"/>
              <w:lang w:val="es-MX"/>
            </w:rPr>
            <m:t>n</m:t>
          </m:r>
          <m:r>
            <m:rPr>
              <m:sty m:val="p"/>
            </m:rPr>
            <w:rPr>
              <w:rFonts w:ascii="Cambria Math" w:hAnsi="Cambria Math"/>
              <w:lang w:val="es-MX"/>
            </w:rPr>
            <m:t>-</m:t>
          </m:r>
          <m:r>
            <w:rPr>
              <w:rFonts w:ascii="Cambria Math" w:hAnsi="Cambria Math"/>
              <w:lang w:val="es-MX"/>
            </w:rPr>
            <m:t>C</m:t>
          </m:r>
        </m:oMath>
      </m:oMathPara>
    </w:p>
    <w:p w14:paraId="18A56798" w14:textId="77777777" w:rsidR="009F7CDB" w:rsidRPr="00601CD3" w:rsidRDefault="009F7CDB" w:rsidP="00601CD3">
      <w:pPr>
        <w:pStyle w:val="Prrafoconsangra"/>
        <w:rPr>
          <w:lang w:val="es-MX"/>
        </w:rPr>
      </w:pPr>
    </w:p>
    <w:p w14:paraId="0F56DE11" w14:textId="77777777" w:rsidR="009F7CDB" w:rsidRDefault="00601CD3" w:rsidP="00601CD3">
      <w:pPr>
        <w:pStyle w:val="Prrafoconsangra"/>
        <w:rPr>
          <w:lang w:val="es-MX"/>
        </w:rPr>
      </w:pPr>
      <w:r w:rsidRPr="00601CD3">
        <w:rPr>
          <w:lang w:val="es-MX"/>
        </w:rPr>
        <w:t xml:space="preserve">Por tanto, bajo la condición de singularidad donde </w:t>
      </w:r>
      <m:oMath>
        <m:r>
          <w:rPr>
            <w:rFonts w:ascii="Cambria Math" w:hAnsi="Cambria Math"/>
            <w:lang w:val="es-MX"/>
          </w:rPr>
          <m:t>p</m:t>
        </m:r>
        <m:r>
          <m:rPr>
            <m:sty m:val="p"/>
          </m:rPr>
          <w:rPr>
            <w:rFonts w:ascii="Cambria Math" w:hAnsi="Cambria Math"/>
            <w:lang w:val="es-MX"/>
          </w:rPr>
          <m:t>&gt;</m:t>
        </m:r>
        <m:r>
          <w:rPr>
            <w:rFonts w:ascii="Cambria Math" w:hAnsi="Cambria Math"/>
            <w:lang w:val="es-MX"/>
          </w:rPr>
          <m:t>n</m:t>
        </m:r>
        <m:r>
          <m:rPr>
            <m:sty m:val="p"/>
          </m:rPr>
          <w:rPr>
            <w:rFonts w:ascii="Cambria Math" w:hAnsi="Cambria Math"/>
            <w:lang w:val="es-MX"/>
          </w:rPr>
          <m:t>-</m:t>
        </m:r>
        <m:r>
          <w:rPr>
            <w:rFonts w:ascii="Cambria Math" w:hAnsi="Cambria Math"/>
            <w:lang w:val="es-MX"/>
          </w:rPr>
          <m:t>C</m:t>
        </m:r>
      </m:oMath>
      <w:r w:rsidRPr="00601CD3">
        <w:rPr>
          <w:lang w:val="es-MX"/>
        </w:rPr>
        <w:t xml:space="preserve">, la matriz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601CD3">
        <w:rPr>
          <w:lang w:val="es-MX"/>
        </w:rPr>
        <w:t xml:space="preserve"> no puede alcanzar un rango completo. Esta deficiencia la vuelve singular (no invertible), lo que impide aplicar directamente la formulación clásica que requiere el cálculo algebraico de </w:t>
      </w:r>
      <m:oMath>
        <m:sSubSup>
          <m:sSubSupPr>
            <m:ctrlPr>
              <w:rPr>
                <w:rFonts w:ascii="Cambria Math" w:hAnsi="Cambria Math"/>
                <w:lang w:val="es-MX"/>
              </w:rPr>
            </m:ctrlPr>
          </m:sSubSupPr>
          <m:e>
            <m:r>
              <w:rPr>
                <w:rFonts w:ascii="Cambria Math" w:hAnsi="Cambria Math"/>
                <w:lang w:val="es-MX"/>
              </w:rPr>
              <m:t>S</m:t>
            </m:r>
          </m:e>
          <m:sub>
            <m:r>
              <w:rPr>
                <w:rFonts w:ascii="Cambria Math" w:hAnsi="Cambria Math"/>
                <w:lang w:val="es-MX"/>
              </w:rPr>
              <m:t>W</m:t>
            </m:r>
          </m:sub>
          <m:sup>
            <m:r>
              <m:rPr>
                <m:sty m:val="p"/>
              </m:rPr>
              <w:rPr>
                <w:rFonts w:ascii="Cambria Math" w:hAnsi="Cambria Math"/>
                <w:lang w:val="es-MX"/>
              </w:rPr>
              <m:t>-1</m:t>
            </m:r>
          </m:sup>
        </m:sSubSup>
      </m:oMath>
      <w:r w:rsidRPr="00601CD3">
        <w:rPr>
          <w:lang w:val="es-MX"/>
        </w:rPr>
        <w:t>.</w:t>
      </w:r>
    </w:p>
    <w:p w14:paraId="046D7F04" w14:textId="77777777" w:rsidR="009F7CDB" w:rsidRDefault="00601CD3" w:rsidP="00601CD3">
      <w:pPr>
        <w:pStyle w:val="Prrafoconsangra"/>
        <w:rPr>
          <w:lang w:val="es-MX"/>
        </w:rPr>
      </w:pPr>
      <w:r w:rsidRPr="00601CD3">
        <w:rPr>
          <w:lang w:val="es-MX"/>
        </w:rPr>
        <w:t xml:space="preserve">La consecuencia práctica de este problema es que la estimación de las direcciones discriminantes puede volverse numéricamente inestable o no estar definida bajo la formulación algebraica clásica. En LDA, esto afecta la resolución del problema generalizado de valores propios y limita la obtención de proyecciones discriminantes </w:t>
      </w:r>
      <w:r w:rsidR="009F7CDB">
        <w:rPr>
          <w:lang w:val="es-MX"/>
        </w:rPr>
        <w:t>estables</w:t>
      </w:r>
      <w:r w:rsidRPr="00601CD3">
        <w:rPr>
          <w:lang w:val="es-MX"/>
        </w:rPr>
        <w:t xml:space="preserve"> (Gao &amp; Davis, 2006; Martinez &amp; Kak, 2001). Aunque existen estrategias computacionales para reducir la dependencia de la inversión directa de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601CD3">
        <w:rPr>
          <w:lang w:val="es-MX"/>
        </w:rPr>
        <w:t xml:space="preserve">, como el uso de la Descomposición en Valores Singulares (SVD), el blanqueamiento o la regularización, estas alternativas no eliminan por completo la dificultad intrínseca de trabajar con un espacio de variables que supera a la </w:t>
      </w:r>
      <w:r w:rsidR="009F7CDB">
        <w:rPr>
          <w:lang w:val="es-MX"/>
        </w:rPr>
        <w:t>información disponible</w:t>
      </w:r>
      <w:r w:rsidRPr="00601CD3">
        <w:rPr>
          <w:lang w:val="es-MX"/>
        </w:rPr>
        <w:t>.</w:t>
      </w:r>
    </w:p>
    <w:p w14:paraId="02908365" w14:textId="77777777" w:rsidR="00601CD3" w:rsidRDefault="00601CD3" w:rsidP="00601CD3">
      <w:pPr>
        <w:pStyle w:val="Prrafoconsangra"/>
        <w:ind w:firstLine="0"/>
        <w:rPr>
          <w:lang w:val="es-MX"/>
        </w:rPr>
      </w:pPr>
    </w:p>
    <w:p w14:paraId="310BAC36" w14:textId="77777777" w:rsidR="004E195A" w:rsidRPr="007023D2" w:rsidRDefault="004E195A" w:rsidP="004E195A">
      <w:pPr>
        <w:pStyle w:val="Ttulo2"/>
      </w:pPr>
      <w:bookmarkStart w:id="3" w:name="_Toc218775665"/>
      <w:r>
        <w:rPr>
          <w:rStyle w:val="Ttulo1Car"/>
          <w:rFonts w:ascii="Times New Roman" w:hAnsi="Times New Roman"/>
          <w:b/>
          <w:sz w:val="30"/>
          <w:szCs w:val="26"/>
        </w:rPr>
        <w:lastRenderedPageBreak/>
        <w:t>2</w:t>
      </w:r>
      <w:r w:rsidRPr="009A76F9">
        <w:rPr>
          <w:rStyle w:val="Ttulo1Car"/>
          <w:rFonts w:ascii="Times New Roman" w:hAnsi="Times New Roman"/>
          <w:b/>
          <w:sz w:val="30"/>
          <w:szCs w:val="26"/>
        </w:rPr>
        <w:t>.</w:t>
      </w:r>
      <w:r>
        <w:rPr>
          <w:rStyle w:val="Ttulo1Car"/>
          <w:rFonts w:ascii="Times New Roman" w:hAnsi="Times New Roman"/>
          <w:b/>
          <w:sz w:val="30"/>
          <w:szCs w:val="26"/>
        </w:rPr>
        <w:t>4</w:t>
      </w:r>
      <w:r w:rsidRPr="009A76F9">
        <w:rPr>
          <w:rStyle w:val="Ttulo1Car"/>
          <w:rFonts w:ascii="Times New Roman" w:hAnsi="Times New Roman"/>
          <w:b/>
          <w:sz w:val="30"/>
          <w:szCs w:val="26"/>
        </w:rPr>
        <w:t xml:space="preserve"> </w:t>
      </w:r>
      <w:r w:rsidRPr="00D275D2">
        <w:rPr>
          <w:rFonts w:ascii="Times New Roman" w:hAnsi="Times New Roman"/>
          <w:b/>
          <w:sz w:val="30"/>
          <w:szCs w:val="26"/>
        </w:rPr>
        <w:t>Expansión polinomial y espacios de características</w:t>
      </w:r>
      <w:r>
        <w:rPr>
          <w:rStyle w:val="Ttulo1Car"/>
          <w:rFonts w:ascii="Times New Roman" w:hAnsi="Times New Roman"/>
          <w:b/>
          <w:sz w:val="30"/>
          <w:szCs w:val="26"/>
        </w:rPr>
        <w:t>.</w:t>
      </w:r>
      <w:bookmarkEnd w:id="3"/>
    </w:p>
    <w:p w14:paraId="27DA6E48" w14:textId="2F8CA1CF" w:rsidR="004E195A" w:rsidRPr="0065644D" w:rsidRDefault="004E195A" w:rsidP="004E195A">
      <w:pPr>
        <w:pStyle w:val="Prrafobase"/>
      </w:pPr>
      <w:r w:rsidRPr="0065644D">
        <w:t xml:space="preserve">Ante las limitaciones geométricas del LDA descritas en la sección anterior, </w:t>
      </w:r>
      <w:r w:rsidR="00232D3E">
        <w:t>resulta pertinente</w:t>
      </w:r>
      <w:r w:rsidRPr="0065644D">
        <w:t xml:space="preserve"> transformar el espacio de representación de los datos. Esta investigación adopta el enfoque de </w:t>
      </w:r>
      <w:r w:rsidRPr="0065644D">
        <w:rPr>
          <w:b/>
          <w:bCs/>
        </w:rPr>
        <w:t>Expansión de Funciones Base</w:t>
      </w:r>
      <w:r w:rsidRPr="0065644D">
        <w:t xml:space="preserve"> (</w:t>
      </w:r>
      <w:r w:rsidRPr="0065644D">
        <w:rPr>
          <w:i/>
          <w:iCs/>
        </w:rPr>
        <w:t xml:space="preserve">Basis </w:t>
      </w:r>
      <w:proofErr w:type="spellStart"/>
      <w:r w:rsidRPr="0065644D">
        <w:rPr>
          <w:i/>
          <w:iCs/>
        </w:rPr>
        <w:t>Function</w:t>
      </w:r>
      <w:proofErr w:type="spellEnd"/>
      <w:r w:rsidRPr="0065644D">
        <w:rPr>
          <w:i/>
          <w:iCs/>
        </w:rPr>
        <w:t xml:space="preserve"> </w:t>
      </w:r>
      <w:proofErr w:type="spellStart"/>
      <w:r w:rsidRPr="0065644D">
        <w:rPr>
          <w:i/>
          <w:iCs/>
        </w:rPr>
        <w:t>Expansion</w:t>
      </w:r>
      <w:proofErr w:type="spellEnd"/>
      <w:r w:rsidRPr="0065644D">
        <w:t xml:space="preserve">), una técnica </w:t>
      </w:r>
      <w:r w:rsidR="00232D3E">
        <w:t>ampliamente utilizada</w:t>
      </w:r>
      <w:r w:rsidRPr="0065644D">
        <w:t xml:space="preserve"> en el aprendizaje automático que </w:t>
      </w:r>
      <w:r w:rsidRPr="00D275D2">
        <w:rPr>
          <w:lang w:val="es-MX"/>
        </w:rPr>
        <w:t>permite extender la capacidad de los modelos lineales para representar relaciones no lineales</w:t>
      </w:r>
      <w:r w:rsidRPr="0065644D">
        <w:t xml:space="preserve"> (Bishop &amp; </w:t>
      </w:r>
      <w:proofErr w:type="spellStart"/>
      <w:r w:rsidRPr="0065644D">
        <w:t>Nasrabadi</w:t>
      </w:r>
      <w:proofErr w:type="spellEnd"/>
      <w:r w:rsidRPr="0065644D">
        <w:t>, 2006).</w:t>
      </w:r>
    </w:p>
    <w:p w14:paraId="01C591C2" w14:textId="77777777" w:rsidR="004E195A" w:rsidRDefault="004E195A" w:rsidP="004E195A">
      <w:pPr>
        <w:pStyle w:val="Ttulo3"/>
      </w:pPr>
      <w:bookmarkStart w:id="4" w:name="_Toc218775666"/>
      <w:bookmarkStart w:id="5" w:name="formalización-de-la-expansión-polinomial"/>
      <w:r w:rsidRPr="0065644D">
        <w:t>2.4.1 Formalización de la Expansión Polinomial</w:t>
      </w:r>
      <w:bookmarkEnd w:id="4"/>
    </w:p>
    <w:p w14:paraId="13756B8A" w14:textId="77777777" w:rsidR="004E195A" w:rsidRPr="007F16BB" w:rsidRDefault="004E195A" w:rsidP="004E195A"/>
    <w:p w14:paraId="1AAB391F" w14:textId="77777777" w:rsidR="004E195A" w:rsidRPr="0065644D" w:rsidRDefault="004E195A" w:rsidP="004E195A">
      <w:pPr>
        <w:pStyle w:val="Prrafobase"/>
      </w:pPr>
      <w:r w:rsidRPr="0065644D">
        <w:t xml:space="preserve">El procedimiento consiste en mapear el vector de entrada original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a un espacio de características de mayor dimensión </w:t>
      </w:r>
      <m:oMath>
        <m:r>
          <m:rPr>
            <m:scr m:val="script"/>
            <m:sty m:val="p"/>
          </m:rP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mediante una función no lineal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Específicamente, se implementa una expansión polinomial de segundo orden (cuadrática), tal como se detalla en la literatura especializada </w:t>
      </w:r>
      <w:r>
        <w:t>(</w:t>
      </w:r>
      <w:r w:rsidRPr="0065644D">
        <w:t>Kanade</w:t>
      </w:r>
      <w:r>
        <w:t xml:space="preserve">, </w:t>
      </w:r>
      <w:r w:rsidRPr="0065644D">
        <w:t>2016</w:t>
      </w:r>
      <w:r>
        <w:t xml:space="preserve">; </w:t>
      </w:r>
      <w:r w:rsidRPr="0065644D">
        <w:t>Niu &amp; Ma, 2021).</w:t>
      </w:r>
    </w:p>
    <w:p w14:paraId="35BB1648" w14:textId="77777777" w:rsidR="004E195A" w:rsidRPr="0065644D" w:rsidRDefault="004E195A" w:rsidP="004E195A">
      <w:pPr>
        <w:pStyle w:val="Prrafoconsangra"/>
      </w:pPr>
      <w:r w:rsidRPr="0065644D">
        <w:t xml:space="preserve">Para un caso base bidimensional donde el vector de entrada es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Pr="0065644D">
        <w:t xml:space="preserve">, la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construye un nuevo vector que incluye el sesgo, los términos originales, los términos cuadráticos y las interacciones cruzadas:</w:t>
      </w:r>
    </w:p>
    <w:p w14:paraId="65528E96" w14:textId="77777777" w:rsidR="004E195A" w:rsidRPr="00C939AF" w:rsidRDefault="004E195A" w:rsidP="004E195A">
      <w:pPr>
        <w:pStyle w:val="Prrafoconsangra"/>
      </w:pPr>
      <m:oMathPara>
        <m:oMathParaPr>
          <m:jc m:val="center"/>
        </m:oMathParaPr>
        <m:oMath>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m:oMathPara>
    </w:p>
    <w:p w14:paraId="3F0E3DC0" w14:textId="31CAD0B5" w:rsidR="00C939AF" w:rsidRPr="007F78CF" w:rsidRDefault="00C939AF" w:rsidP="004E195A">
      <w:pPr>
        <w:pStyle w:val="Prrafoconsangra"/>
      </w:pPr>
      <w:r>
        <w:t>Para efectos prácticos de su uso, se omitirá el sesgo debido a que no aporta en el modelado de las fronteras no lineales.</w:t>
      </w:r>
    </w:p>
    <w:p w14:paraId="2B3506CE" w14:textId="77777777" w:rsidR="004E195A" w:rsidRDefault="004E195A" w:rsidP="004E195A">
      <w:pPr>
        <w:pStyle w:val="Prrafoconsangra"/>
        <w:jc w:val="center"/>
      </w:pPr>
      <w:r w:rsidRPr="007F78CF">
        <w:rPr>
          <w:noProof/>
          <w:lang w:val="es-MX"/>
        </w:rPr>
        <w:drawing>
          <wp:inline distT="0" distB="0" distL="0" distR="0" wp14:anchorId="72488BE7" wp14:editId="642BFE8C">
            <wp:extent cx="3748861" cy="2245584"/>
            <wp:effectExtent l="0" t="0" r="4445" b="2540"/>
            <wp:docPr id="5" name="Imagen 4" descr="Texto, Carta&#10;&#10;El contenido generado por IA puede ser incorrecto.">
              <a:extLst xmlns:a="http://schemas.openxmlformats.org/drawingml/2006/main">
                <a:ext uri="{FF2B5EF4-FFF2-40B4-BE49-F238E27FC236}">
                  <a16:creationId xmlns:a16="http://schemas.microsoft.com/office/drawing/2014/main" id="{F26D0F60-9121-4B18-E8AA-5D294C682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exto, Carta&#10;&#10;El contenido generado por IA puede ser incorrecto.">
                      <a:extLst>
                        <a:ext uri="{FF2B5EF4-FFF2-40B4-BE49-F238E27FC236}">
                          <a16:creationId xmlns:a16="http://schemas.microsoft.com/office/drawing/2014/main" id="{F26D0F60-9121-4B18-E8AA-5D294C6826B8}"/>
                        </a:ext>
                      </a:extLst>
                    </pic:cNvPr>
                    <pic:cNvPicPr>
                      <a:picLocks noChangeAspect="1"/>
                    </pic:cNvPicPr>
                  </pic:nvPicPr>
                  <pic:blipFill>
                    <a:blip r:embed="rId6"/>
                    <a:stretch>
                      <a:fillRect/>
                    </a:stretch>
                  </pic:blipFill>
                  <pic:spPr>
                    <a:xfrm>
                      <a:off x="0" y="0"/>
                      <a:ext cx="3768901" cy="2257588"/>
                    </a:xfrm>
                    <a:prstGeom prst="rect">
                      <a:avLst/>
                    </a:prstGeom>
                  </pic:spPr>
                </pic:pic>
              </a:graphicData>
            </a:graphic>
          </wp:inline>
        </w:drawing>
      </w:r>
    </w:p>
    <w:p w14:paraId="2C52DF69" w14:textId="77777777" w:rsidR="004E195A" w:rsidRDefault="004E195A" w:rsidP="004E195A">
      <w:pPr>
        <w:pStyle w:val="Prrafoconsangra"/>
        <w:jc w:val="center"/>
        <w:rPr>
          <w:b/>
          <w:bCs/>
          <w:lang w:val="es-MX"/>
        </w:rPr>
      </w:pPr>
      <w:r>
        <w:rPr>
          <w:b/>
          <w:bCs/>
          <w:lang w:val="es-MX"/>
        </w:rPr>
        <w:t xml:space="preserve">Figura 1. </w:t>
      </w:r>
      <w:r w:rsidRPr="00E87A6B">
        <w:rPr>
          <w:b/>
          <w:bCs/>
          <w:lang w:val="es-MX"/>
        </w:rPr>
        <w:t>Ejemplo de términos generados mediante expansión polinomial para dos variables. Elaboración propia</w:t>
      </w:r>
    </w:p>
    <w:p w14:paraId="02517911" w14:textId="77777777" w:rsidR="004E195A" w:rsidRDefault="004E195A" w:rsidP="004E195A">
      <w:pPr>
        <w:pStyle w:val="Prrafoconsangra"/>
        <w:jc w:val="center"/>
      </w:pPr>
    </w:p>
    <w:p w14:paraId="0A9E4451" w14:textId="77777777" w:rsidR="004E195A" w:rsidRDefault="004E195A" w:rsidP="004E195A">
      <w:pPr>
        <w:pStyle w:val="Prrafoconsangra"/>
      </w:pPr>
      <w:r w:rsidRPr="0065644D">
        <w:lastRenderedPageBreak/>
        <w:t xml:space="preserve">Como se ilustra en la </w:t>
      </w:r>
      <w:r w:rsidRPr="0065644D">
        <w:rPr>
          <w:b/>
          <w:bCs/>
        </w:rPr>
        <w:t xml:space="preserve">Figura </w:t>
      </w:r>
      <w:r>
        <w:rPr>
          <w:b/>
          <w:bCs/>
        </w:rPr>
        <w:t>2</w:t>
      </w:r>
      <w:r w:rsidRPr="0065644D">
        <w:t>, cada componente cumple un rol discriminante específico:</w:t>
      </w:r>
    </w:p>
    <w:p w14:paraId="74AF814F" w14:textId="77777777" w:rsidR="004E195A" w:rsidRDefault="004E195A" w:rsidP="004E195A">
      <w:pPr>
        <w:pStyle w:val="Prrafoconsangra"/>
      </w:pPr>
      <w:r>
        <w:t xml:space="preserve">* </w:t>
      </w:r>
      <w:r w:rsidRPr="0065644D">
        <w:rPr>
          <w:b/>
          <w:bCs/>
        </w:rPr>
        <w:t>Términos Lineales (</w:t>
      </w:r>
      <m:oMath>
        <m:r>
          <w:rPr>
            <w:rFonts w:ascii="Cambria Math" w:hAnsi="Cambria Math"/>
          </w:rPr>
          <m:t>A</m:t>
        </m:r>
        <m:r>
          <m:rPr>
            <m:sty m:val="p"/>
          </m:rPr>
          <w:rPr>
            <w:rFonts w:ascii="Cambria Math" w:hAnsi="Cambria Math"/>
          </w:rPr>
          <m:t>,</m:t>
        </m:r>
        <m:r>
          <w:rPr>
            <w:rFonts w:ascii="Cambria Math" w:hAnsi="Cambria Math"/>
          </w:rPr>
          <m:t>B</m:t>
        </m:r>
      </m:oMath>
      <w:r w:rsidRPr="0065644D">
        <w:rPr>
          <w:b/>
          <w:bCs/>
        </w:rPr>
        <w:t>):</w:t>
      </w:r>
      <w:r w:rsidRPr="0065644D">
        <w:t xml:space="preserve"> </w:t>
      </w:r>
      <w:r>
        <w:t>p</w:t>
      </w:r>
      <w:r w:rsidRPr="0065644D">
        <w:t>reservan la información original.</w:t>
      </w:r>
    </w:p>
    <w:p w14:paraId="0C00B924" w14:textId="77777777" w:rsidR="004E195A" w:rsidRDefault="004E195A" w:rsidP="004E195A">
      <w:pPr>
        <w:pStyle w:val="Prrafoconsangra"/>
      </w:pPr>
      <w:r>
        <w:t xml:space="preserve">* </w:t>
      </w:r>
      <w:r w:rsidRPr="0065644D">
        <w:rPr>
          <w:b/>
          <w:bCs/>
        </w:rPr>
        <w:t>Términos Cuadráticos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B</m:t>
            </m:r>
            <m:ctrlPr>
              <w:rPr>
                <w:rFonts w:ascii="Cambria Math" w:hAnsi="Cambria Math"/>
              </w:rPr>
            </m:ctrlPr>
          </m:e>
          <m:sup>
            <m:r>
              <w:rPr>
                <w:rFonts w:ascii="Cambria Math" w:hAnsi="Cambria Math"/>
              </w:rPr>
              <m:t>2</m:t>
            </m:r>
          </m:sup>
        </m:sSup>
      </m:oMath>
      <w:r w:rsidRPr="0065644D">
        <w:rPr>
          <w:b/>
          <w:bCs/>
        </w:rPr>
        <w:t>):</w:t>
      </w:r>
      <w:r w:rsidRPr="0065644D">
        <w:t xml:space="preserve"> </w:t>
      </w:r>
      <w:r w:rsidRPr="00E87A6B">
        <w:rPr>
          <w:lang w:val="es-MX"/>
        </w:rPr>
        <w:t>permiten incorporar curvatura en la representación y contribuyen a modelar fronteras de decisión no lineales</w:t>
      </w:r>
      <w:r w:rsidRPr="0065644D">
        <w:t>.</w:t>
      </w:r>
    </w:p>
    <w:p w14:paraId="12CB519A" w14:textId="77777777" w:rsidR="004E195A" w:rsidRPr="0065644D" w:rsidRDefault="004E195A" w:rsidP="004E195A">
      <w:pPr>
        <w:pStyle w:val="Prrafoconsangra"/>
      </w:pPr>
      <w:r w:rsidRPr="0065644D">
        <w:t xml:space="preserve">* </w:t>
      </w:r>
      <w:r w:rsidRPr="0065644D">
        <w:rPr>
          <w:b/>
          <w:bCs/>
        </w:rPr>
        <w:t>Términos de Interacción (</w:t>
      </w:r>
      <m:oMath>
        <m:r>
          <m:rPr>
            <m:sty m:val="p"/>
          </m:rPr>
          <w:rPr>
            <w:rFonts w:ascii="Cambria Math" w:hAnsi="Cambria Math"/>
          </w:rPr>
          <m:t>AB</m:t>
        </m:r>
      </m:oMath>
      <w:r w:rsidRPr="0065644D">
        <w:rPr>
          <w:b/>
          <w:bCs/>
        </w:rPr>
        <w:t>):</w:t>
      </w:r>
      <w:r w:rsidRPr="0065644D">
        <w:t xml:space="preserve"> </w:t>
      </w:r>
      <w:r w:rsidRPr="00E87A6B">
        <w:rPr>
          <w:lang w:val="es-MX"/>
        </w:rPr>
        <w:t>representan efectos multiplicativos entre variables, permitiendo modelar relaciones que no pueden describirse mediante términos lineales independientes</w:t>
      </w:r>
      <w:r w:rsidRPr="0065644D">
        <w:t xml:space="preserve"> (Kanade, 2016).</w:t>
      </w:r>
    </w:p>
    <w:p w14:paraId="1D064B47" w14:textId="77777777" w:rsidR="004E195A" w:rsidRDefault="004E195A" w:rsidP="004E195A">
      <w:pPr>
        <w:pStyle w:val="Prrafobase"/>
      </w:pPr>
      <w:bookmarkStart w:id="6" w:name="linealización-de-fronteras-de-decisión"/>
      <w:bookmarkEnd w:id="5"/>
    </w:p>
    <w:p w14:paraId="15829D77" w14:textId="77777777" w:rsidR="004E195A" w:rsidRPr="0065644D" w:rsidRDefault="004E195A" w:rsidP="004E195A">
      <w:pPr>
        <w:pStyle w:val="Prrafobase"/>
      </w:pPr>
      <w:r w:rsidRPr="0065644D">
        <w:t xml:space="preserve">La justificación teórica para realizar esta expansión se fundamenta en el </w:t>
      </w:r>
      <w:r w:rsidRPr="0065644D">
        <w:rPr>
          <w:b/>
          <w:bCs/>
        </w:rPr>
        <w:t>Teorema de Cover</w:t>
      </w:r>
      <w:r w:rsidRPr="0065644D">
        <w:t xml:space="preserve">, el cual postula que un problema de clasificación complejo y no lineal en un espacio de baja dimensión </w:t>
      </w:r>
      <w:r w:rsidRPr="00E87A6B">
        <w:rPr>
          <w:lang w:val="es-MX"/>
        </w:rPr>
        <w:t xml:space="preserve">puede aumentar la probabilidad de separabilidad lineal bajo una transformación no lineal hacia un espacio de mayor dimensión </w:t>
      </w:r>
      <w:r w:rsidRPr="0065644D">
        <w:t>(Cover, 1965).</w:t>
      </w:r>
    </w:p>
    <w:p w14:paraId="4EDF9A53" w14:textId="77777777" w:rsidR="004E195A" w:rsidRPr="0065644D" w:rsidRDefault="004E195A" w:rsidP="004E195A">
      <w:pPr>
        <w:pStyle w:val="Ttulo3"/>
      </w:pPr>
      <w:bookmarkStart w:id="7" w:name="_Toc218775668"/>
      <w:bookmarkStart w:id="8" w:name="X2de5ef07a63687362bcf133861cf4cb1db639ba"/>
      <w:bookmarkEnd w:id="6"/>
      <w:r w:rsidRPr="0065644D">
        <w:t>2.4.3 Limitaciones: Crecimiento Combinatorio y Complejidad</w:t>
      </w:r>
      <w:bookmarkEnd w:id="7"/>
    </w:p>
    <w:p w14:paraId="73302F8D" w14:textId="77777777" w:rsidR="004E195A" w:rsidRPr="0065644D" w:rsidRDefault="004E195A" w:rsidP="004E195A">
      <w:pPr>
        <w:pStyle w:val="Prrafobase"/>
      </w:pPr>
      <w:r w:rsidRPr="00E87A6B">
        <w:rPr>
          <w:lang w:val="es-MX"/>
        </w:rPr>
        <w:t>Si bien la expansión polinomial permite representar relaciones no lineales</w:t>
      </w:r>
      <w:r w:rsidRPr="0065644D">
        <w:t xml:space="preserve">, introduce un desafío crítico conocido como la </w:t>
      </w:r>
      <w:r w:rsidRPr="0065644D">
        <w:rPr>
          <w:b/>
          <w:bCs/>
        </w:rPr>
        <w:t>Maldición de la Dimensionalidad</w:t>
      </w:r>
      <w:r w:rsidRPr="0065644D">
        <w:t xml:space="preserve">. A medida que aumenta la dimensión original </w:t>
      </w:r>
      <m:oMath>
        <m:r>
          <w:rPr>
            <w:rFonts w:ascii="Cambria Math" w:hAnsi="Cambria Math"/>
          </w:rPr>
          <m:t>d</m:t>
        </m:r>
      </m:oMath>
      <w:r w:rsidRPr="0065644D">
        <w:t xml:space="preserve"> o el grado del polinomio </w:t>
      </w:r>
      <m:oMath>
        <m:r>
          <w:rPr>
            <w:rFonts w:ascii="Cambria Math" w:hAnsi="Cambria Math"/>
          </w:rPr>
          <m:t>P</m:t>
        </m:r>
      </m:oMath>
      <w:r w:rsidRPr="0065644D">
        <w:t xml:space="preserve">, el número de términos generados </w:t>
      </w:r>
      <m:oMath>
        <m:r>
          <w:rPr>
            <w:rFonts w:ascii="Cambria Math" w:hAnsi="Cambria Math"/>
          </w:rPr>
          <m:t>D</m:t>
        </m:r>
      </m:oMath>
      <w:r w:rsidRPr="0065644D">
        <w:t xml:space="preserve"> crece de forma combinatoria.</w:t>
      </w:r>
    </w:p>
    <w:p w14:paraId="1A9D266A" w14:textId="77777777" w:rsidR="004E195A" w:rsidRPr="0065644D" w:rsidRDefault="004E195A" w:rsidP="004E195A">
      <w:pPr>
        <w:pStyle w:val="Prrafoconsangra"/>
      </w:pPr>
      <w:r w:rsidRPr="0065644D">
        <w:t xml:space="preserve">Para una expansión polinomial de grado </w:t>
      </w:r>
      <m:oMath>
        <m:r>
          <w:rPr>
            <w:rFonts w:ascii="Cambria Math" w:hAnsi="Cambria Math"/>
          </w:rPr>
          <m:t>P</m:t>
        </m:r>
      </m:oMath>
      <w:r w:rsidRPr="0065644D">
        <w:t xml:space="preserve">, la dimensión del espacio resultante </w:t>
      </w:r>
      <m:oMath>
        <m:r>
          <w:rPr>
            <w:rFonts w:ascii="Cambria Math" w:hAnsi="Cambria Math"/>
          </w:rPr>
          <m:t>D</m:t>
        </m:r>
      </m:oMath>
      <w:r w:rsidRPr="0065644D">
        <w:t xml:space="preserve"> está dada por la combinatoria con repetición:</w:t>
      </w:r>
    </w:p>
    <w:p w14:paraId="19D78375" w14:textId="77777777" w:rsidR="004E195A" w:rsidRDefault="004E195A" w:rsidP="004E195A">
      <w:pPr>
        <w:pStyle w:val="Textoindependiente"/>
      </w:pPr>
      <m:oMathPara>
        <m:oMathParaPr>
          <m:jc m:val="center"/>
        </m:oMathParaPr>
        <m:oMath>
          <m:r>
            <w:rPr>
              <w:rFonts w:ascii="Cambria Math" w:hAnsi="Cambria Math"/>
            </w:rPr>
            <m:t>D</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P</m:t>
                  </m:r>
                </m:num>
                <m:den>
                  <m:r>
                    <w:rPr>
                      <w:rFonts w:ascii="Cambria Math" w:hAnsi="Cambria Math"/>
                    </w:rPr>
                    <m:t>P</m:t>
                  </m:r>
                </m:den>
              </m:f>
            </m:e>
          </m:d>
          <m:r>
            <w:rPr>
              <w:rFonts w:ascii="Cambria Math" w:hAnsi="Cambria Math"/>
            </w:rPr>
            <m:t>-1</m:t>
          </m:r>
        </m:oMath>
      </m:oMathPara>
    </w:p>
    <w:p w14:paraId="7BDAD5E6" w14:textId="2DC2FBE8" w:rsidR="004E195A" w:rsidRDefault="004E195A" w:rsidP="004E195A">
      <w:pPr>
        <w:pStyle w:val="Prrafoconsangra"/>
      </w:pPr>
      <w:r w:rsidRPr="0065644D">
        <w:t xml:space="preserve">Tal como se observa en la </w:t>
      </w:r>
      <w:r w:rsidRPr="0065644D">
        <w:rPr>
          <w:b/>
          <w:bCs/>
        </w:rPr>
        <w:t>Figura</w:t>
      </w:r>
      <w:r>
        <w:rPr>
          <w:b/>
          <w:bCs/>
        </w:rPr>
        <w:t xml:space="preserve"> 3</w:t>
      </w:r>
      <w:r w:rsidRPr="0065644D">
        <w:t xml:space="preserve">, este crecimiento es explosivo. Por ejemplo, expandir un vector modesto de </w:t>
      </w:r>
      <m:oMath>
        <m:r>
          <w:rPr>
            <w:rFonts w:ascii="Cambria Math" w:hAnsi="Cambria Math"/>
          </w:rPr>
          <m:t>d</m:t>
        </m:r>
        <m:r>
          <m:rPr>
            <m:sty m:val="p"/>
          </m:rPr>
          <w:rPr>
            <w:rFonts w:ascii="Cambria Math" w:hAnsi="Cambria Math"/>
          </w:rPr>
          <m:t>=</m:t>
        </m:r>
        <m:r>
          <w:rPr>
            <w:rFonts w:ascii="Cambria Math" w:hAnsi="Cambria Math"/>
          </w:rPr>
          <m:t>10</m:t>
        </m:r>
      </m:oMath>
      <w:r w:rsidRPr="0065644D">
        <w:t xml:space="preserve"> variables a un grado cuadrático (</w:t>
      </w:r>
      <m:oMath>
        <m:r>
          <w:rPr>
            <w:rFonts w:ascii="Cambria Math" w:hAnsi="Cambria Math"/>
          </w:rPr>
          <m:t>P</m:t>
        </m:r>
        <m:r>
          <m:rPr>
            <m:sty m:val="p"/>
          </m:rPr>
          <w:rPr>
            <w:rFonts w:ascii="Cambria Math" w:hAnsi="Cambria Math"/>
          </w:rPr>
          <m:t>=</m:t>
        </m:r>
        <m:r>
          <w:rPr>
            <w:rFonts w:ascii="Cambria Math" w:hAnsi="Cambria Math"/>
          </w:rPr>
          <m:t>2</m:t>
        </m:r>
      </m:oMath>
      <w:r w:rsidRPr="0065644D">
        <w:t>) genera</w:t>
      </w:r>
      <w:r w:rsidR="00C939AF">
        <w:t xml:space="preserve"> </w:t>
      </w:r>
      <w:r>
        <w:t>65</w:t>
      </w:r>
      <w:r w:rsidRPr="0065644D">
        <w:t xml:space="preserve"> </w:t>
      </w:r>
      <w:r>
        <w:t>términos</w:t>
      </w:r>
      <w:r w:rsidR="00C939AF">
        <w:t xml:space="preserve"> sin incluir el sesgo</w:t>
      </w:r>
      <w:r w:rsidRPr="0065644D">
        <w:t>.</w:t>
      </w:r>
    </w:p>
    <w:p w14:paraId="33C1E9BA" w14:textId="77777777" w:rsidR="00C939AF" w:rsidRDefault="00C939AF" w:rsidP="004E195A">
      <w:pPr>
        <w:pStyle w:val="Prrafoconsangra"/>
      </w:pPr>
    </w:p>
    <w:p w14:paraId="26AB7EF1" w14:textId="77777777" w:rsidR="00C939AF" w:rsidRPr="00C939AF" w:rsidRDefault="00C939AF" w:rsidP="004E195A">
      <w:pPr>
        <w:pStyle w:val="Prrafoconsangra"/>
        <w:rPr>
          <w:lang w:val="es-MX"/>
        </w:rPr>
      </w:pPr>
    </w:p>
    <w:p w14:paraId="154CD3D1" w14:textId="77777777" w:rsidR="004E195A" w:rsidRDefault="004E195A" w:rsidP="004E195A">
      <w:pPr>
        <w:pStyle w:val="Prrafoconsangra"/>
        <w:jc w:val="center"/>
      </w:pPr>
      <w:r w:rsidRPr="007F78CF">
        <w:rPr>
          <w:noProof/>
          <w:lang w:val="es-MX"/>
        </w:rPr>
        <w:lastRenderedPageBreak/>
        <w:drawing>
          <wp:inline distT="0" distB="0" distL="0" distR="0" wp14:anchorId="06D134C7" wp14:editId="22E269B2">
            <wp:extent cx="3289202" cy="2466901"/>
            <wp:effectExtent l="0" t="0" r="6985" b="0"/>
            <wp:docPr id="225861084" name="Imagen 4" descr="Gráfico&#10;&#10;El contenido generado por IA puede ser incorrecto.">
              <a:extLst xmlns:a="http://schemas.openxmlformats.org/drawingml/2006/main">
                <a:ext uri="{FF2B5EF4-FFF2-40B4-BE49-F238E27FC236}">
                  <a16:creationId xmlns:a16="http://schemas.microsoft.com/office/drawing/2014/main" id="{45869C44-0765-4CE6-E7B2-0FAB2B018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10;&#10;El contenido generado por IA puede ser incorrecto.">
                      <a:extLst>
                        <a:ext uri="{FF2B5EF4-FFF2-40B4-BE49-F238E27FC236}">
                          <a16:creationId xmlns:a16="http://schemas.microsoft.com/office/drawing/2014/main" id="{45869C44-0765-4CE6-E7B2-0FAB2B018786}"/>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9262" cy="2474446"/>
                    </a:xfrm>
                    <a:prstGeom prst="rect">
                      <a:avLst/>
                    </a:prstGeom>
                  </pic:spPr>
                </pic:pic>
              </a:graphicData>
            </a:graphic>
          </wp:inline>
        </w:drawing>
      </w:r>
    </w:p>
    <w:p w14:paraId="3F66A4C2" w14:textId="77777777" w:rsidR="004E195A" w:rsidRDefault="004E195A" w:rsidP="004E195A">
      <w:pPr>
        <w:pStyle w:val="Prrafoconsangra"/>
        <w:rPr>
          <w:b/>
          <w:bCs/>
          <w:lang w:val="es-MX"/>
        </w:rPr>
      </w:pPr>
      <w:r w:rsidRPr="00E87A6B">
        <w:rPr>
          <w:b/>
          <w:bCs/>
          <w:lang w:val="es-MX"/>
        </w:rPr>
        <w:t xml:space="preserve">Figura 2.3. Crecimiento del número de atributos bajo una expansión polinomial de grado 2 sin término de sesgo. </w:t>
      </w:r>
      <w:r>
        <w:rPr>
          <w:b/>
          <w:bCs/>
          <w:lang w:val="es-MX"/>
        </w:rPr>
        <w:t xml:space="preserve">Fuente: </w:t>
      </w:r>
      <w:r w:rsidRPr="00E87A6B">
        <w:rPr>
          <w:b/>
          <w:bCs/>
          <w:lang w:val="es-MX"/>
        </w:rPr>
        <w:t>Elaboración propia.</w:t>
      </w:r>
    </w:p>
    <w:p w14:paraId="5FCB8A48" w14:textId="77777777" w:rsidR="004E195A" w:rsidRDefault="004E195A" w:rsidP="004E195A">
      <w:pPr>
        <w:pStyle w:val="Prrafoconsangra"/>
        <w:rPr>
          <w:b/>
          <w:bCs/>
          <w:lang w:val="es-MX"/>
        </w:rPr>
      </w:pPr>
    </w:p>
    <w:p w14:paraId="1E84C3E6" w14:textId="77777777" w:rsidR="004E195A" w:rsidRDefault="004E195A" w:rsidP="004E195A">
      <w:pPr>
        <w:pStyle w:val="Prrafoconsangra"/>
      </w:pPr>
      <w:r w:rsidRPr="00941119">
        <w:t xml:space="preserve">Este fenómeno conlleva dos consecuencias graves descritas por (Bishop &amp; </w:t>
      </w:r>
      <w:proofErr w:type="spellStart"/>
      <w:r w:rsidRPr="00941119">
        <w:t>Nasrabadi</w:t>
      </w:r>
      <w:proofErr w:type="spellEnd"/>
      <w:r w:rsidRPr="00941119">
        <w:t xml:space="preserve">, 2006): </w:t>
      </w:r>
    </w:p>
    <w:p w14:paraId="665C1CED" w14:textId="1E6A1745" w:rsidR="004E195A" w:rsidRDefault="004E195A" w:rsidP="004E195A">
      <w:pPr>
        <w:pStyle w:val="Prrafoconsangra"/>
        <w:numPr>
          <w:ilvl w:val="0"/>
          <w:numId w:val="2"/>
        </w:numPr>
      </w:pPr>
      <w:r w:rsidRPr="00941119">
        <w:t xml:space="preserve">1. </w:t>
      </w:r>
      <w:r w:rsidRPr="00941119">
        <w:rPr>
          <w:b/>
          <w:bCs/>
        </w:rPr>
        <w:t>Costo Computacional</w:t>
      </w:r>
      <w:r w:rsidRPr="00941119">
        <w:t xml:space="preserve">: El cálculo de la matriz de covarianza inversa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-1</m:t>
            </m:r>
          </m:sup>
        </m:sSubSup>
      </m:oMath>
      <w:r w:rsidRPr="00941119">
        <w:t xml:space="preserve"> requerida por el LDA se vuelve computacionalmente </w:t>
      </w:r>
      <w:r w:rsidR="00232D3E">
        <w:t>costoso</w:t>
      </w:r>
      <w:r w:rsidRPr="00941119">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3</m:t>
                </m:r>
              </m:sup>
            </m:sSup>
          </m:e>
        </m:d>
      </m:oMath>
      <w:r w:rsidRPr="00941119">
        <w:t xml:space="preserve">). </w:t>
      </w:r>
    </w:p>
    <w:p w14:paraId="76CEB026" w14:textId="77777777" w:rsidR="004E195A" w:rsidRPr="00941119" w:rsidRDefault="004E195A" w:rsidP="004E195A">
      <w:pPr>
        <w:pStyle w:val="Prrafoconsangra"/>
        <w:numPr>
          <w:ilvl w:val="0"/>
          <w:numId w:val="2"/>
        </w:numPr>
      </w:pPr>
      <w:r w:rsidRPr="00941119">
        <w:rPr>
          <w:b/>
          <w:bCs/>
        </w:rPr>
        <w:t>2. Sobreajuste (</w:t>
      </w:r>
      <w:proofErr w:type="spellStart"/>
      <w:r w:rsidRPr="00941119">
        <w:rPr>
          <w:b/>
          <w:bCs/>
        </w:rPr>
        <w:t>Overfitting</w:t>
      </w:r>
      <w:proofErr w:type="spellEnd"/>
      <w:r w:rsidRPr="00941119">
        <w:rPr>
          <w:b/>
          <w:bCs/>
        </w:rPr>
        <w:t>)</w:t>
      </w:r>
      <w:r w:rsidRPr="00941119">
        <w:t>: Al tener un exceso de parámetros frente a un número limitado de muestras, el modelo tiende a memorizar el ruido de los datos en lugar de aprender la estructura subyacente.</w:t>
      </w:r>
    </w:p>
    <w:bookmarkEnd w:id="8"/>
    <w:p w14:paraId="366FB940" w14:textId="77777777" w:rsidR="00601CD3" w:rsidRPr="004E195A" w:rsidRDefault="00601CD3" w:rsidP="00601CD3">
      <w:pPr>
        <w:pStyle w:val="Prrafoconsangra"/>
        <w:ind w:firstLine="0"/>
      </w:pPr>
    </w:p>
    <w:bookmarkEnd w:id="0"/>
    <w:p w14:paraId="0BC08480" w14:textId="77777777" w:rsidR="00E242B7" w:rsidRDefault="00E242B7" w:rsidP="00232D3E"/>
    <w:p w14:paraId="077F5E93" w14:textId="77777777" w:rsidR="00232D3E" w:rsidRPr="00C939AF" w:rsidRDefault="00232D3E" w:rsidP="00232D3E">
      <w:pPr>
        <w:pStyle w:val="Prrafoconsangra"/>
        <w:rPr>
          <w:lang w:val="es-MX"/>
        </w:rPr>
      </w:pPr>
      <w:r w:rsidRPr="00C939AF">
        <w:rPr>
          <w:lang w:val="es-MX"/>
        </w:rPr>
        <w:t>En el contexto de LDA, este crecimiento dimensional es especialmente relevante porque la matriz de dispersión intraclase pasa a definirse sobre el espacio expandido, por lo que su dimensión depende de (</w:t>
      </w:r>
      <m:oMath>
        <m:r>
          <w:rPr>
            <w:rFonts w:ascii="Cambria Math" w:hAnsi="Cambria Math"/>
            <w:lang w:val="es-MX"/>
          </w:rPr>
          <m:t>D</m:t>
        </m:r>
      </m:oMath>
      <w:r w:rsidRPr="00C939AF">
        <w:rPr>
          <w:lang w:val="es-MX"/>
        </w:rPr>
        <w:t>) y no solo de la dimensión original (</w:t>
      </w:r>
      <m:oMath>
        <m:r>
          <w:rPr>
            <w:rFonts w:ascii="Cambria Math" w:hAnsi="Cambria Math"/>
            <w:lang w:val="es-MX"/>
          </w:rPr>
          <m:t>d</m:t>
        </m:r>
      </m:oMath>
      <w:r w:rsidRPr="00C939AF">
        <w:rPr>
          <w:lang w:val="es-MX"/>
        </w:rPr>
        <w:t>). En consecuencia, si (</w:t>
      </w:r>
      <m:oMath>
        <m:r>
          <w:rPr>
            <w:rFonts w:ascii="Cambria Math" w:hAnsi="Cambria Math"/>
            <w:lang w:val="es-MX"/>
          </w:rPr>
          <m:t>D &gt; n-C</m:t>
        </m:r>
      </m:oMath>
      <w:r w:rsidRPr="00C939AF">
        <w:rPr>
          <w:lang w:val="es-MX"/>
        </w:rPr>
        <w:t>), la matriz (</w:t>
      </w:r>
      <m:oMath>
        <m:sSub>
          <m:sSubPr>
            <m:ctrlPr>
              <w:rPr>
                <w:rFonts w:ascii="Cambria Math" w:hAnsi="Cambria Math"/>
                <w:i/>
                <w:lang w:val="es-MX"/>
              </w:rPr>
            </m:ctrlPr>
          </m:sSubPr>
          <m:e>
            <m:r>
              <w:rPr>
                <w:rFonts w:ascii="Cambria Math" w:hAnsi="Cambria Math"/>
                <w:lang w:val="es-MX"/>
              </w:rPr>
              <m:t>S</m:t>
            </m:r>
          </m:e>
          <m:sub>
            <m:r>
              <w:rPr>
                <w:rFonts w:ascii="Cambria Math" w:hAnsi="Cambria Math"/>
                <w:lang w:val="es-MX"/>
              </w:rPr>
              <m:t>w</m:t>
            </m:r>
          </m:sub>
        </m:sSub>
      </m:oMath>
      <w:r w:rsidRPr="00C939AF">
        <w:rPr>
          <w:lang w:val="es-MX"/>
        </w:rPr>
        <w:t>) no puede alcanzar rango completo, reproduciendo o agravando el problema SSS descrito en la sección anterior. Por esta razón, la expansión polinomial debe acompañarse de mecanismos de selección de características que permitan conservar únicamente los términos con mayor aporte discriminativo y reducir el riesgo de singularidad, colinealidad y sobreajuste.</w:t>
      </w:r>
    </w:p>
    <w:p w14:paraId="628C4DC7" w14:textId="77777777" w:rsidR="004E195A" w:rsidRDefault="004E195A" w:rsidP="004E195A"/>
    <w:p w14:paraId="7EFD1117" w14:textId="5796BEBA" w:rsidR="00DB2E3C" w:rsidRPr="007023D2" w:rsidRDefault="00DB2E3C" w:rsidP="00DB2E3C">
      <w:pPr>
        <w:pStyle w:val="Ttulo2"/>
      </w:pPr>
      <w:r>
        <w:rPr>
          <w:rStyle w:val="Ttulo1Car"/>
          <w:rFonts w:ascii="Times New Roman" w:hAnsi="Times New Roman"/>
          <w:b/>
          <w:sz w:val="30"/>
          <w:szCs w:val="26"/>
        </w:rPr>
        <w:lastRenderedPageBreak/>
        <w:t>2</w:t>
      </w:r>
      <w:r w:rsidRPr="009A76F9">
        <w:rPr>
          <w:rStyle w:val="Ttulo1Car"/>
          <w:rFonts w:ascii="Times New Roman" w:hAnsi="Times New Roman"/>
          <w:b/>
          <w:sz w:val="30"/>
          <w:szCs w:val="26"/>
        </w:rPr>
        <w:t>.</w:t>
      </w:r>
      <w:r>
        <w:rPr>
          <w:rStyle w:val="Ttulo1Car"/>
          <w:rFonts w:ascii="Times New Roman" w:hAnsi="Times New Roman"/>
          <w:b/>
          <w:sz w:val="30"/>
          <w:szCs w:val="26"/>
        </w:rPr>
        <w:t>5</w:t>
      </w:r>
      <w:r w:rsidRPr="009A76F9">
        <w:rPr>
          <w:rStyle w:val="Ttulo1Car"/>
          <w:rFonts w:ascii="Times New Roman" w:hAnsi="Times New Roman"/>
          <w:b/>
          <w:sz w:val="30"/>
          <w:szCs w:val="26"/>
        </w:rPr>
        <w:t xml:space="preserve"> </w:t>
      </w:r>
      <w:r>
        <w:rPr>
          <w:rFonts w:ascii="Times New Roman" w:hAnsi="Times New Roman"/>
          <w:b/>
          <w:sz w:val="30"/>
          <w:szCs w:val="26"/>
        </w:rPr>
        <w:t xml:space="preserve">Algoritmos genéticos para selección de </w:t>
      </w:r>
      <w:r w:rsidR="00D03ECD">
        <w:rPr>
          <w:rFonts w:ascii="Times New Roman" w:hAnsi="Times New Roman"/>
          <w:b/>
          <w:sz w:val="30"/>
          <w:szCs w:val="26"/>
        </w:rPr>
        <w:t>características</w:t>
      </w:r>
    </w:p>
    <w:p w14:paraId="3C81F9B2" w14:textId="77777777" w:rsidR="00DB2E3C" w:rsidRDefault="00DB2E3C" w:rsidP="00DB2E3C">
      <w:pPr>
        <w:pStyle w:val="Prrafobase"/>
      </w:pPr>
    </w:p>
    <w:p w14:paraId="21497AB8" w14:textId="367A3DF5" w:rsidR="00DB2E3C" w:rsidRDefault="00DB2E3C" w:rsidP="00DB2E3C">
      <w:pPr>
        <w:pStyle w:val="Prrafoconsangra"/>
        <w:rPr>
          <w:lang w:val="es-MX"/>
        </w:rPr>
      </w:pPr>
      <w:r w:rsidRPr="00190FB6">
        <w:rPr>
          <w:lang w:val="es-MX"/>
        </w:rPr>
        <w:t>Los algoritmos genéticos constituyen una familia de métodos de búsqueda y optimización inspirados en mecanismos evolutivos como selección, recombinación y mutación. En términos generales, estos algoritmos trabajan con una población de soluciones candidatas que se modifican iterativamente con el propósito de mejorar una función objetivo o función de aptitud</w:t>
      </w:r>
      <w:r>
        <w:rPr>
          <w:lang w:val="es-MX"/>
        </w:rPr>
        <w:t xml:space="preserve"> </w:t>
      </w:r>
      <w:r w:rsidRPr="00190FB6">
        <w:rPr>
          <w:lang w:val="es-MX"/>
        </w:rPr>
        <w:t xml:space="preserve">(Goldberg, 1989). </w:t>
      </w:r>
    </w:p>
    <w:p w14:paraId="1465BFAE" w14:textId="6869AFC8" w:rsidR="00DB2E3C" w:rsidRDefault="00DB2E3C" w:rsidP="00DB2E3C">
      <w:pPr>
        <w:pStyle w:val="Prrafoconsangra"/>
        <w:rPr>
          <w:lang w:val="es-MX"/>
        </w:rPr>
      </w:pPr>
      <w:r w:rsidRPr="00190FB6">
        <w:rPr>
          <w:lang w:val="es-MX"/>
        </w:rPr>
        <w:t>Su utilidad en problemas de selección de características radica en que permiten explorar espacios combinatorios amplios sin evaluar exhaustivamente todos los subconjuntos posibles de variables.</w:t>
      </w:r>
      <w:r w:rsidR="00D03ECD">
        <w:rPr>
          <w:lang w:val="es-MX"/>
        </w:rPr>
        <w:t xml:space="preserve"> </w:t>
      </w:r>
      <w:r w:rsidRPr="00190FB6">
        <w:rPr>
          <w:lang w:val="es-MX"/>
        </w:rPr>
        <w:t>En</w:t>
      </w:r>
      <w:r w:rsidR="00D03ECD">
        <w:rPr>
          <w:lang w:val="es-MX"/>
        </w:rPr>
        <w:t xml:space="preserve"> </w:t>
      </w:r>
      <w:r w:rsidRPr="00190FB6">
        <w:rPr>
          <w:lang w:val="es-MX"/>
        </w:rPr>
        <w:t xml:space="preserve">el contexto de esta investigación, los algoritmos genéticos resultan especialmente pertinentes debido al crecimiento dimensional producido por la expansión polinomial. Una vez generados términos originales, términos cuadráticos e interacciones, el número de predictores puede crecer de manera acelerada, lo que aumenta el riesgo de singularidad, colinealidad y sobreajuste. Por ello, se requiere un mecanismo de selección capaz de identificar subconjuntos informativos dentro del espacio expandido. Desde esta perspectiva, el algoritmo genético opera como una estrategia de búsqueda dentro de un esquema </w:t>
      </w:r>
      <w:proofErr w:type="spellStart"/>
      <w:r w:rsidRPr="00190FB6">
        <w:rPr>
          <w:lang w:val="es-MX"/>
        </w:rPr>
        <w:t>wrapper</w:t>
      </w:r>
      <w:proofErr w:type="spellEnd"/>
      <w:r w:rsidRPr="00190FB6">
        <w:rPr>
          <w:lang w:val="es-MX"/>
        </w:rPr>
        <w:t>, ya que la calidad de cada subconjunto se evalúa mediante el desempeño de un modelo discriminante (</w:t>
      </w:r>
      <w:proofErr w:type="spellStart"/>
      <w:r w:rsidRPr="00190FB6">
        <w:rPr>
          <w:lang w:val="es-MX"/>
        </w:rPr>
        <w:t>Kohavi</w:t>
      </w:r>
      <w:proofErr w:type="spellEnd"/>
      <w:r w:rsidRPr="00190FB6">
        <w:rPr>
          <w:lang w:val="es-MX"/>
        </w:rPr>
        <w:t xml:space="preserve"> &amp; John, 1997).</w:t>
      </w:r>
    </w:p>
    <w:p w14:paraId="7F30B544" w14:textId="23DFAF2E" w:rsidR="00DB2E3C" w:rsidRPr="0065644D" w:rsidRDefault="00DB2E3C" w:rsidP="00DB2E3C">
      <w:pPr>
        <w:pStyle w:val="Ttulo3"/>
      </w:pPr>
      <w:r w:rsidRPr="0065644D">
        <w:t>2.</w:t>
      </w:r>
      <w:r>
        <w:t>5</w:t>
      </w:r>
      <w:r w:rsidRPr="0065644D">
        <w:t>.</w:t>
      </w:r>
      <w:r>
        <w:t>1</w:t>
      </w:r>
      <w:r w:rsidRPr="0065644D">
        <w:t xml:space="preserve"> </w:t>
      </w:r>
      <w:r>
        <w:t>Representación cromosómica y función de aptitud</w:t>
      </w:r>
    </w:p>
    <w:p w14:paraId="4ACD37D6" w14:textId="77777777" w:rsidR="00DB2E3C" w:rsidRDefault="00DB2E3C" w:rsidP="00DB2E3C">
      <w:pPr>
        <w:pStyle w:val="Prrafoconsangra"/>
        <w:ind w:firstLine="0"/>
        <w:rPr>
          <w:lang w:val="es-MX"/>
        </w:rPr>
      </w:pPr>
    </w:p>
    <w:p w14:paraId="2A332464" w14:textId="77777777" w:rsidR="003428CF" w:rsidRDefault="00DB2E3C" w:rsidP="003428CF">
      <w:pPr>
        <w:pStyle w:val="Prrafoconsangra"/>
        <w:ind w:firstLine="0"/>
        <w:rPr>
          <w:lang w:val="es-MX"/>
        </w:rPr>
      </w:pPr>
      <w:r w:rsidRPr="00190FB6">
        <w:rPr>
          <w:lang w:val="es-MX"/>
        </w:rPr>
        <w:t xml:space="preserve">En selección de características, una solución candidata puede representarse mediante un cromosoma binario. Cada posición del cromosoma corresponde a una característica del espacio disponible, y su valor indica si dicha característica se incluye o se excluye del subconjunto evaluado. Matemáticamente, el cromosoma se define como un vector binario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2</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D</m:t>
                </m:r>
              </m:sub>
            </m:sSub>
          </m:e>
        </m:d>
      </m:oMath>
      <w:r w:rsidRPr="00190FB6">
        <w:rPr>
          <w:lang w:val="es-MX"/>
        </w:rPr>
        <w:t xml:space="preserve">, donde cada gen </w:t>
      </w:r>
      <m:oMath>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j</m:t>
            </m:r>
          </m:sub>
        </m:sSub>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oMath>
      <w:r w:rsidRPr="00190FB6">
        <w:rPr>
          <w:lang w:val="es-MX"/>
        </w:rPr>
        <w:t xml:space="preserve"> y </w:t>
      </w:r>
      <m:oMath>
        <m:r>
          <w:rPr>
            <w:rFonts w:ascii="Cambria Math" w:hAnsi="Cambria Math"/>
            <w:lang w:val="es-MX"/>
          </w:rPr>
          <m:t>D</m:t>
        </m:r>
      </m:oMath>
      <w:r w:rsidRPr="00190FB6">
        <w:rPr>
          <w:lang w:val="es-MX"/>
        </w:rPr>
        <w:t xml:space="preserve"> representa la dimensión total del espacio de características.</w:t>
      </w:r>
    </w:p>
    <w:p w14:paraId="7E760A8C" w14:textId="77777777" w:rsidR="00CD28D4" w:rsidRDefault="00DB2E3C" w:rsidP="003428CF">
      <w:pPr>
        <w:pStyle w:val="Prrafoconsangra"/>
        <w:ind w:firstLine="0"/>
        <w:rPr>
          <w:lang w:val="es-MX"/>
        </w:rPr>
      </w:pPr>
      <w:r w:rsidRPr="00190FB6">
        <w:rPr>
          <w:lang w:val="es-MX"/>
        </w:rPr>
        <w:t xml:space="preserve">A modo de ejemplo, un cromosoma de cinco dimensiones estructurado como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e>
        </m:d>
      </m:oMath>
      <w:r w:rsidRPr="00190FB6">
        <w:rPr>
          <w:lang w:val="es-MX"/>
        </w:rPr>
        <w:t xml:space="preserve"> codifica un subconjunto que retiene exclusivamente las características </w:t>
      </w:r>
      <m:oMath>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3</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5</m:t>
            </m:r>
          </m:sub>
        </m:sSub>
        <m:r>
          <m:rPr>
            <m:sty m:val="p"/>
          </m:rPr>
          <w:rPr>
            <w:rFonts w:ascii="Cambria Math" w:hAnsi="Cambria Math"/>
            <w:lang w:val="es-MX"/>
          </w:rPr>
          <m:t>}</m:t>
        </m:r>
      </m:oMath>
      <w:r w:rsidRPr="00190FB6">
        <w:rPr>
          <w:lang w:val="es-MX"/>
        </w:rPr>
        <w:t>, descartando el resto.</w:t>
      </w:r>
      <w:r w:rsidR="00CD28D4">
        <w:rPr>
          <w:lang w:val="es-MX"/>
        </w:rPr>
        <w:t xml:space="preserve"> </w:t>
      </w:r>
    </w:p>
    <w:p w14:paraId="69D8880A" w14:textId="77777777" w:rsidR="00CD28D4" w:rsidRDefault="00DB2E3C" w:rsidP="003428CF">
      <w:pPr>
        <w:pStyle w:val="Prrafoconsangra"/>
        <w:ind w:firstLine="0"/>
        <w:rPr>
          <w:lang w:val="es-MX"/>
        </w:rPr>
      </w:pPr>
      <w:r w:rsidRPr="00190FB6">
        <w:rPr>
          <w:lang w:val="es-MX"/>
        </w:rPr>
        <w:lastRenderedPageBreak/>
        <w:t xml:space="preserve">En el caso de una expansión polinomial, cada gen puede representar una variable original, un término cuadrático o una interacción entre variables. Por ejemplo, si el espacio expandido contiene términos como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oMath>
      <w:r w:rsidRPr="00190FB6">
        <w:rPr>
          <w:lang w:val="es-MX"/>
        </w:rPr>
        <w:t xml:space="preserve">,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1</m:t>
            </m:r>
          </m:sub>
          <m:sup>
            <m:r>
              <m:rPr>
                <m:sty m:val="p"/>
              </m:rPr>
              <w:rPr>
                <w:rFonts w:ascii="Cambria Math" w:hAnsi="Cambria Math"/>
                <w:lang w:val="es-MX"/>
              </w:rPr>
              <m:t>2</m:t>
            </m:r>
          </m:sup>
        </m:sSubSup>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2</m:t>
            </m:r>
          </m:sub>
          <m:sup>
            <m:r>
              <m:rPr>
                <m:sty m:val="p"/>
              </m:rPr>
              <w:rPr>
                <w:rFonts w:ascii="Cambria Math" w:hAnsi="Cambria Math"/>
                <w:lang w:val="es-MX"/>
              </w:rPr>
              <m:t>2</m:t>
            </m:r>
          </m:sup>
        </m:sSubSup>
      </m:oMath>
      <w:r w:rsidRPr="00190FB6">
        <w:rPr>
          <w:lang w:val="es-MX"/>
        </w:rPr>
        <w:t xml:space="preserve"> y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xml:space="preserve">, el cromosoma determina cuáles de estos términos serán conservados para entrenar el modelo discriminante. Esta representación permite que el algoritmo genético explore combinaciones de términos que podrían no ser evidentes mediante criterios </w:t>
      </w:r>
      <w:proofErr w:type="spellStart"/>
      <w:r w:rsidRPr="00190FB6">
        <w:rPr>
          <w:lang w:val="es-MX"/>
        </w:rPr>
        <w:t>univariados</w:t>
      </w:r>
      <w:proofErr w:type="spellEnd"/>
      <w:r w:rsidRPr="00190FB6">
        <w:rPr>
          <w:lang w:val="es-MX"/>
        </w:rPr>
        <w:t xml:space="preserve"> de selección.</w:t>
      </w:r>
    </w:p>
    <w:p w14:paraId="63E2F76B" w14:textId="01F03F9E" w:rsidR="00DB2E3C" w:rsidRPr="00190FB6" w:rsidRDefault="00DB2E3C" w:rsidP="003428CF">
      <w:pPr>
        <w:pStyle w:val="Prrafoconsangra"/>
        <w:ind w:firstLine="0"/>
        <w:rPr>
          <w:lang w:val="es-MX"/>
        </w:rPr>
      </w:pPr>
      <w:r w:rsidRPr="00190FB6">
        <w:rPr>
          <w:lang w:val="es-MX"/>
        </w:rPr>
        <w:t xml:space="preserve">La función de aptitud define el criterio mediante el cual se evalúa la calidad de cada cromosoma. En un esquema wrapper, esta función suele depender del desempeño del clasificador acoplado al subconjunto seleccionado. Para evitar soluciones excesivamente grandes y penalizar la complejidad del modelo, la función de aptitud </w:t>
      </w:r>
      <w:r w:rsidR="00E651E6" w:rsidRPr="00E651E6">
        <w:rPr>
          <w:lang w:val="es-MX"/>
        </w:rPr>
        <w:t>puede</w:t>
      </w:r>
      <w:r w:rsidRPr="00190FB6">
        <w:rPr>
          <w:lang w:val="es-MX"/>
        </w:rPr>
        <w:t xml:space="preserve"> formalmente como (Siedlecki &amp; </w:t>
      </w:r>
      <w:proofErr w:type="spellStart"/>
      <w:r w:rsidRPr="00190FB6">
        <w:rPr>
          <w:lang w:val="es-MX"/>
        </w:rPr>
        <w:t>Sklansky</w:t>
      </w:r>
      <w:proofErr w:type="spellEnd"/>
      <w:r w:rsidRPr="00190FB6">
        <w:rPr>
          <w:lang w:val="es-MX"/>
        </w:rPr>
        <w:t>, 1989):</w:t>
      </w:r>
    </w:p>
    <w:p w14:paraId="153AB04C" w14:textId="77777777" w:rsidR="00DB2E3C" w:rsidRPr="00DB2E3C" w:rsidRDefault="00DB2E3C" w:rsidP="00DB2E3C">
      <w:pPr>
        <w:pStyle w:val="Prrafoconsangra"/>
        <w:rPr>
          <w:lang w:val="es-MX"/>
        </w:rPr>
      </w:pPr>
      <m:oMathPara>
        <m:oMathParaPr>
          <m:jc m:val="center"/>
        </m:oMathParaPr>
        <m:oMath>
          <m:r>
            <m:rPr>
              <m:nor/>
            </m:rPr>
            <w:rPr>
              <w:lang w:val="es-MX"/>
            </w:rPr>
            <m:t>fitness</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s-MX"/>
            </w:rPr>
            <m:t>=</m:t>
          </m:r>
          <m:r>
            <m:rPr>
              <m:nor/>
            </m:rPr>
            <w:rPr>
              <w:lang w:val="es-MX"/>
            </w:rPr>
            <m:t>Desempeño</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s-MX"/>
            </w:rPr>
            <m:t>-</m:t>
          </m:r>
          <m:r>
            <w:rPr>
              <w:rFonts w:ascii="Cambria Math" w:hAnsi="Cambria Math"/>
              <w:lang w:val="es-MX"/>
            </w:rPr>
            <m:t>λ</m:t>
          </m:r>
          <m:f>
            <m:fPr>
              <m:ctrlPr>
                <w:rPr>
                  <w:rFonts w:ascii="Cambria Math" w:hAnsi="Cambria Math"/>
                  <w:lang w:val="es-MX"/>
                </w:rPr>
              </m:ctrlPr>
            </m:fPr>
            <m:num>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s-MX"/>
                    </w:rPr>
                    <m:t>0</m:t>
                  </m:r>
                </m:sub>
              </m:sSub>
            </m:num>
            <m:den>
              <m:r>
                <w:rPr>
                  <w:rFonts w:ascii="Cambria Math" w:hAnsi="Cambria Math"/>
                  <w:lang w:val="es-MX"/>
                </w:rPr>
                <m:t>D</m:t>
              </m:r>
            </m:den>
          </m:f>
        </m:oMath>
      </m:oMathPara>
    </w:p>
    <w:p w14:paraId="13A57B58" w14:textId="3A997AD3" w:rsidR="00CD28D4" w:rsidRDefault="00DB2E3C" w:rsidP="00DB2E3C">
      <w:pPr>
        <w:pStyle w:val="Prrafoconsangra"/>
        <w:rPr>
          <w:lang w:val="es-MX"/>
        </w:rPr>
      </w:pPr>
      <w:r w:rsidRPr="00190FB6">
        <w:rPr>
          <w:lang w:val="es-MX"/>
        </w:rPr>
        <w:t xml:space="preserve">En esta expresión, </w:t>
      </w:r>
      <m:oMath>
        <m:r>
          <m:rPr>
            <m:nor/>
          </m:rPr>
          <w:rPr>
            <w:lang w:val="es-MX"/>
          </w:rPr>
          <m:t>Desempeño</m:t>
        </m:r>
        <m:d>
          <m:dPr>
            <m:ctrlPr>
              <w:rPr>
                <w:rFonts w:ascii="Cambria Math" w:hAnsi="Cambria Math"/>
                <w:lang w:val="es-MX"/>
              </w:rPr>
            </m:ctrlPr>
          </m:dPr>
          <m:e>
            <m:r>
              <m:rPr>
                <m:sty m:val="b"/>
              </m:rPr>
              <w:rPr>
                <w:rFonts w:ascii="Cambria Math" w:hAnsi="Cambria Math"/>
                <w:lang w:val="es-MX"/>
              </w:rPr>
              <m:t>z</m:t>
            </m:r>
          </m:e>
        </m:d>
      </m:oMath>
      <w:r w:rsidRPr="00190FB6">
        <w:rPr>
          <w:lang w:val="es-MX"/>
        </w:rPr>
        <w:t xml:space="preserve"> representa una métrica de clasificación (como la </w:t>
      </w:r>
      <w:r w:rsidR="00D03ECD">
        <w:rPr>
          <w:lang w:val="es-MX"/>
        </w:rPr>
        <w:t>Exactitud</w:t>
      </w:r>
      <w:r w:rsidRPr="00190FB6">
        <w:rPr>
          <w:lang w:val="es-MX"/>
        </w:rPr>
        <w:t xml:space="preserve"> o el F1-Score) obtenida con el subconjunto activo, </w:t>
      </w:r>
      <m:oMath>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s-MX"/>
              </w:rPr>
              <m:t>0</m:t>
            </m:r>
          </m:sub>
        </m:sSub>
      </m:oMath>
      <w:r w:rsidRPr="00190FB6">
        <w:rPr>
          <w:lang w:val="es-MX"/>
        </w:rPr>
        <w:t xml:space="preserve"> denota la norma </w:t>
      </w:r>
      <m:oMath>
        <m:sSub>
          <m:sSubPr>
            <m:ctrlPr>
              <w:rPr>
                <w:rFonts w:ascii="Cambria Math" w:hAnsi="Cambria Math"/>
                <w:lang w:val="es-MX"/>
              </w:rPr>
            </m:ctrlPr>
          </m:sSubPr>
          <m:e>
            <m:r>
              <m:rPr>
                <m:scr m:val="script"/>
                <m:sty m:val="p"/>
              </m:rPr>
              <w:rPr>
                <w:rFonts w:ascii="Cambria Math" w:hAnsi="Cambria Math"/>
                <w:lang w:val="es-MX"/>
              </w:rPr>
              <m:t>l</m:t>
            </m:r>
          </m:e>
          <m:sub>
            <m:r>
              <m:rPr>
                <m:sty m:val="p"/>
              </m:rPr>
              <w:rPr>
                <w:rFonts w:ascii="Cambria Math" w:hAnsi="Cambria Math"/>
                <w:lang w:val="es-MX"/>
              </w:rPr>
              <m:t>0</m:t>
            </m:r>
          </m:sub>
        </m:sSub>
      </m:oMath>
      <w:r w:rsidRPr="00190FB6">
        <w:rPr>
          <w:lang w:val="es-MX"/>
        </w:rPr>
        <w:t xml:space="preserve"> que contabiliza el número de características seleccionadas (genes con valor 1), </w:t>
      </w:r>
      <m:oMath>
        <m:r>
          <w:rPr>
            <w:rFonts w:ascii="Cambria Math" w:hAnsi="Cambria Math"/>
            <w:lang w:val="es-MX"/>
          </w:rPr>
          <m:t>D</m:t>
        </m:r>
      </m:oMath>
      <w:r w:rsidRPr="00190FB6">
        <w:rPr>
          <w:lang w:val="es-MX"/>
        </w:rPr>
        <w:t xml:space="preserve"> es la dimensión máxima del espacio expandido y </w:t>
      </w:r>
      <m:oMath>
        <m:r>
          <w:rPr>
            <w:rFonts w:ascii="Cambria Math" w:hAnsi="Cambria Math"/>
            <w:lang w:val="es-MX"/>
          </w:rPr>
          <m:t>λ</m:t>
        </m:r>
      </m:oMath>
      <w:r w:rsidRPr="00190FB6">
        <w:rPr>
          <w:lang w:val="es-MX"/>
        </w:rPr>
        <w:t xml:space="preserve"> es un hiperparámetro que controla la magnitud de la penalización por complejidad. De esta manera, el algoritmo busca optimizar un </w:t>
      </w:r>
      <w:r w:rsidR="00D03ECD">
        <w:rPr>
          <w:lang w:val="es-MX"/>
        </w:rPr>
        <w:t>criterio combinado</w:t>
      </w:r>
      <w:r w:rsidRPr="00190FB6">
        <w:rPr>
          <w:lang w:val="es-MX"/>
        </w:rPr>
        <w:t xml:space="preserve"> que maximice la capacidad predictiva y </w:t>
      </w:r>
      <w:r w:rsidR="00D03ECD">
        <w:rPr>
          <w:lang w:val="es-MX"/>
        </w:rPr>
        <w:t>r</w:t>
      </w:r>
      <w:r w:rsidR="00D03ECD" w:rsidRPr="00D03ECD">
        <w:rPr>
          <w:lang w:val="es-MX"/>
        </w:rPr>
        <w:t>educir la dimensionalidad efectiva del subconjunto evaluado</w:t>
      </w:r>
      <w:r w:rsidRPr="00190FB6">
        <w:rPr>
          <w:lang w:val="es-MX"/>
        </w:rPr>
        <w:t>.</w:t>
      </w:r>
    </w:p>
    <w:p w14:paraId="5896899F" w14:textId="17A07D51" w:rsidR="00CD28D4" w:rsidRPr="0065644D" w:rsidRDefault="00CD28D4" w:rsidP="00CD28D4">
      <w:pPr>
        <w:pStyle w:val="Ttulo3"/>
      </w:pPr>
      <w:r w:rsidRPr="0065644D">
        <w:t>2.</w:t>
      </w:r>
      <w:r>
        <w:t>5</w:t>
      </w:r>
      <w:r w:rsidRPr="0065644D">
        <w:t>.</w:t>
      </w:r>
      <w:r>
        <w:t>2</w:t>
      </w:r>
      <w:r w:rsidRPr="0065644D">
        <w:t xml:space="preserve"> </w:t>
      </w:r>
      <w:r>
        <w:t>Operadores genéticos: Selección, cruza y mutación</w:t>
      </w:r>
    </w:p>
    <w:p w14:paraId="2A77FFA1" w14:textId="77777777" w:rsidR="00CD28D4" w:rsidRDefault="00CD28D4" w:rsidP="00CD28D4">
      <w:pPr>
        <w:pStyle w:val="Prrafoconsangra"/>
        <w:ind w:firstLine="0"/>
        <w:rPr>
          <w:lang w:val="es-MX"/>
        </w:rPr>
      </w:pPr>
    </w:p>
    <w:p w14:paraId="124F2DE3" w14:textId="77777777" w:rsidR="00CD28D4" w:rsidRDefault="00DB2E3C" w:rsidP="00CD28D4">
      <w:pPr>
        <w:pStyle w:val="Prrafoconsangra"/>
        <w:ind w:firstLine="0"/>
        <w:rPr>
          <w:lang w:val="es-MX"/>
        </w:rPr>
      </w:pPr>
      <w:r w:rsidRPr="00190FB6">
        <w:rPr>
          <w:lang w:val="es-MX"/>
        </w:rPr>
        <w:t>El proceso evolutivo comienza con una población inicial de cromosomas, generada comúnmente de forma aleatoria o mediante una estrategia de inicialización controlada. En cada generación, los cromosomas son evaluados mediante la función de aptitud y, posteriormente, se aplican operadores genéticos para producir nuevas soluciones candidatas (Goldberg, 1989).</w:t>
      </w:r>
    </w:p>
    <w:p w14:paraId="558DD2FE" w14:textId="77777777" w:rsidR="00CD28D4" w:rsidRDefault="00CD28D4" w:rsidP="00CD28D4">
      <w:pPr>
        <w:pStyle w:val="Prrafoconsangra"/>
        <w:ind w:firstLine="0"/>
        <w:rPr>
          <w:lang w:val="es-MX"/>
        </w:rPr>
      </w:pPr>
    </w:p>
    <w:p w14:paraId="1B2014A9" w14:textId="633EE944" w:rsidR="00CD28D4" w:rsidRDefault="00DB2E3C" w:rsidP="00CD28D4">
      <w:pPr>
        <w:pStyle w:val="Prrafoconsangra"/>
        <w:ind w:firstLine="0"/>
        <w:rPr>
          <w:lang w:val="es-MX"/>
        </w:rPr>
      </w:pPr>
      <w:r w:rsidRPr="00190FB6">
        <w:rPr>
          <w:lang w:val="es-MX"/>
        </w:rPr>
        <w:t xml:space="preserve">El operador de selección favorece la reproducción de los cromosomas con mayor aptitud. Su propósito es incrementar la probabilidad de que las soluciones más prometedoras transmitan su información genética a la siguiente iteración. Existen diferentes estrategias algorítmicas, </w:t>
      </w:r>
      <w:r w:rsidRPr="00190FB6">
        <w:rPr>
          <w:lang w:val="es-MX"/>
        </w:rPr>
        <w:lastRenderedPageBreak/>
        <w:t xml:space="preserve">como el torneo, la ruleta o el elitismo; sin embargo, todas comparten el objetivo </w:t>
      </w:r>
      <w:r w:rsidR="00D03ECD">
        <w:rPr>
          <w:lang w:val="es-MX"/>
        </w:rPr>
        <w:t xml:space="preserve">guiar la búsqueda </w:t>
      </w:r>
      <w:r w:rsidRPr="00190FB6">
        <w:rPr>
          <w:lang w:val="es-MX"/>
        </w:rPr>
        <w:t>hacia regiones del espacio con mejores propiedades discriminativas.</w:t>
      </w:r>
    </w:p>
    <w:p w14:paraId="03D8FE8F" w14:textId="77777777" w:rsidR="00CD28D4" w:rsidRDefault="00CD28D4" w:rsidP="00CD28D4">
      <w:pPr>
        <w:pStyle w:val="Prrafoconsangra"/>
        <w:ind w:firstLine="0"/>
        <w:rPr>
          <w:lang w:val="es-MX"/>
        </w:rPr>
      </w:pPr>
    </w:p>
    <w:p w14:paraId="419F3A29" w14:textId="771E3C93" w:rsidR="00CD28D4" w:rsidRDefault="00DB2E3C" w:rsidP="00CD28D4">
      <w:pPr>
        <w:pStyle w:val="Prrafoconsangra"/>
        <w:ind w:firstLine="0"/>
        <w:rPr>
          <w:lang w:val="es-MX"/>
        </w:rPr>
      </w:pPr>
      <w:r w:rsidRPr="00190FB6">
        <w:rPr>
          <w:lang w:val="es-MX"/>
        </w:rPr>
        <w:t xml:space="preserve">La cruza o recombinación combina segmentos de dos cromosomas padres para generar descendencia. En la selección de características, este operador permite entrelazar subconjuntos parciales de variables provenientes de soluciones distintas, promoviendo la </w:t>
      </w:r>
      <w:r w:rsidR="00D03ECD" w:rsidRPr="00D03ECD">
        <w:rPr>
          <w:lang w:val="es-MX"/>
        </w:rPr>
        <w:t>combinación de términos polinomiales</w:t>
      </w:r>
      <w:r w:rsidRPr="00190FB6">
        <w:rPr>
          <w:lang w:val="es-MX"/>
        </w:rPr>
        <w:t>. Un ejemplo de cruza de un punto, asumiendo un punto de corte en la tercera posición, se ilustra de la siguiente forma:</w:t>
      </w:r>
    </w:p>
    <w:p w14:paraId="3A2EE878" w14:textId="77777777" w:rsidR="00CD28D4" w:rsidRDefault="00DB2E3C" w:rsidP="00CD28D4">
      <w:pPr>
        <w:pStyle w:val="Prrafoconsangra"/>
        <w:numPr>
          <w:ilvl w:val="0"/>
          <w:numId w:val="2"/>
        </w:numPr>
        <w:rPr>
          <w:lang w:val="es-MX"/>
        </w:rPr>
      </w:pPr>
      <w:r w:rsidRPr="00190FB6">
        <w:rPr>
          <w:lang w:val="es-MX"/>
        </w:rPr>
        <w:t xml:space="preserve">Padre 1: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1</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e>
        </m:d>
      </m:oMath>
    </w:p>
    <w:p w14:paraId="703C064E" w14:textId="77777777" w:rsidR="00CD28D4" w:rsidRDefault="00DB2E3C" w:rsidP="00CD28D4">
      <w:pPr>
        <w:pStyle w:val="Prrafoconsangra"/>
        <w:numPr>
          <w:ilvl w:val="0"/>
          <w:numId w:val="2"/>
        </w:numPr>
        <w:rPr>
          <w:lang w:val="es-MX"/>
        </w:rPr>
      </w:pPr>
      <w:r w:rsidRPr="00190FB6">
        <w:rPr>
          <w:lang w:val="es-MX"/>
        </w:rPr>
        <w:t xml:space="preserve">Padre 2: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2</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e>
        </m:d>
      </m:oMath>
    </w:p>
    <w:p w14:paraId="052FF83F" w14:textId="77777777" w:rsidR="00CD28D4" w:rsidRDefault="00DB2E3C" w:rsidP="00CD28D4">
      <w:pPr>
        <w:pStyle w:val="Prrafoconsangra"/>
        <w:numPr>
          <w:ilvl w:val="0"/>
          <w:numId w:val="2"/>
        </w:numPr>
        <w:rPr>
          <w:lang w:val="es-MX"/>
        </w:rPr>
      </w:pPr>
      <w:r w:rsidRPr="00190FB6">
        <w:rPr>
          <w:lang w:val="es-MX"/>
        </w:rPr>
        <w:t xml:space="preserve">Hijo resultante: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H</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e>
        </m:d>
      </m:oMath>
    </w:p>
    <w:p w14:paraId="42AF5165" w14:textId="77777777" w:rsidR="00CD28D4" w:rsidRDefault="00CD28D4" w:rsidP="00CD28D4">
      <w:pPr>
        <w:pStyle w:val="Prrafoconsangra"/>
        <w:ind w:firstLine="0"/>
        <w:rPr>
          <w:lang w:val="es-MX"/>
        </w:rPr>
      </w:pPr>
    </w:p>
    <w:p w14:paraId="534D0D6A" w14:textId="28CD1092" w:rsidR="00CD28D4" w:rsidRDefault="00DB2E3C" w:rsidP="00CD28D4">
      <w:pPr>
        <w:pStyle w:val="Prrafoconsangra"/>
        <w:ind w:firstLine="0"/>
        <w:rPr>
          <w:lang w:val="es-MX"/>
        </w:rPr>
      </w:pPr>
      <w:r w:rsidRPr="00190FB6">
        <w:rPr>
          <w:lang w:val="es-MX"/>
        </w:rPr>
        <w:t xml:space="preserve">La mutación introduce alteraciones estocásticas en genes individuales, invirtiendo sus valores lógicos (de 0 a 1, o viceversa). Este operador </w:t>
      </w:r>
      <w:r w:rsidR="00D03ECD">
        <w:rPr>
          <w:lang w:val="es-MX"/>
        </w:rPr>
        <w:t>es importante</w:t>
      </w:r>
      <w:r w:rsidRPr="00190FB6">
        <w:rPr>
          <w:lang w:val="es-MX"/>
        </w:rPr>
        <w:t xml:space="preserve"> para preservar la diversidad dentro de la población y evadir la convergencia prematura en óptimos locales. </w:t>
      </w:r>
    </w:p>
    <w:p w14:paraId="102E685A" w14:textId="2869B3DF" w:rsidR="00CD28D4" w:rsidRDefault="00DB2E3C" w:rsidP="00CD28D4">
      <w:pPr>
        <w:pStyle w:val="Prrafoconsangra"/>
        <w:ind w:firstLine="0"/>
        <w:rPr>
          <w:lang w:val="es-MX"/>
        </w:rPr>
      </w:pPr>
      <w:r w:rsidRPr="00190FB6">
        <w:rPr>
          <w:lang w:val="es-MX"/>
        </w:rPr>
        <w:t xml:space="preserve">Un ejemplo de mutación uniforme sobre el tercer gen de un cromosoma se representa </w:t>
      </w:r>
      <w:r w:rsidR="00CD28D4" w:rsidRPr="00190FB6">
        <w:rPr>
          <w:lang w:val="es-MX"/>
        </w:rPr>
        <w:t xml:space="preserve">como: </w:t>
      </w:r>
    </w:p>
    <w:p w14:paraId="434CB065" w14:textId="77777777" w:rsidR="00CD28D4" w:rsidRDefault="00CD28D4" w:rsidP="00CD28D4">
      <w:pPr>
        <w:pStyle w:val="Prrafoconsangra"/>
        <w:ind w:firstLine="0"/>
        <w:rPr>
          <w:lang w:val="es-MX"/>
        </w:rPr>
      </w:pPr>
    </w:p>
    <w:p w14:paraId="73C44D9A" w14:textId="339CFB84" w:rsidR="00CD28D4" w:rsidRDefault="00CD28D4" w:rsidP="00CD28D4">
      <w:pPr>
        <w:pStyle w:val="Prrafoconsangra"/>
        <w:numPr>
          <w:ilvl w:val="0"/>
          <w:numId w:val="2"/>
        </w:numPr>
        <w:rPr>
          <w:lang w:val="es-MX"/>
        </w:rPr>
      </w:pPr>
      <w:r>
        <w:rPr>
          <w:lang w:val="es-MX"/>
        </w:rPr>
        <w:t xml:space="preserve">Cromosoma original: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b"/>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e>
        </m:d>
      </m:oMath>
    </w:p>
    <w:p w14:paraId="2858B177" w14:textId="77777777" w:rsidR="00CD28D4" w:rsidRDefault="00DB2E3C" w:rsidP="00CD28D4">
      <w:pPr>
        <w:pStyle w:val="Prrafoconsangra"/>
        <w:numPr>
          <w:ilvl w:val="0"/>
          <w:numId w:val="2"/>
        </w:numPr>
        <w:rPr>
          <w:lang w:val="es-MX"/>
        </w:rPr>
      </w:pPr>
      <w:r w:rsidRPr="00190FB6">
        <w:rPr>
          <w:lang w:val="es-MX"/>
        </w:rPr>
        <w:t xml:space="preserve">Cromosoma mutado: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b"/>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0</m:t>
            </m:r>
            <m:r>
              <m:rPr>
                <m:sty m:val="p"/>
              </m:rPr>
              <w:rPr>
                <w:rFonts w:ascii="Cambria Math" w:hAnsi="Cambria Math"/>
                <w:lang w:val="es-MX"/>
              </w:rPr>
              <m:t>,</m:t>
            </m:r>
            <m:r>
              <m:rPr>
                <m:sty m:val="p"/>
              </m:rPr>
              <w:rPr>
                <w:rFonts w:ascii="Cambria Math" w:hAnsi="Cambria Math"/>
                <w:lang w:val="es-MX"/>
              </w:rPr>
              <m:t>1</m:t>
            </m:r>
          </m:e>
        </m:d>
      </m:oMath>
    </w:p>
    <w:p w14:paraId="3A1794DE" w14:textId="77777777" w:rsidR="00CD28D4" w:rsidRDefault="00CD28D4" w:rsidP="00CD28D4">
      <w:pPr>
        <w:pStyle w:val="Prrafoconsangra"/>
        <w:ind w:firstLine="0"/>
        <w:rPr>
          <w:lang w:val="es-MX"/>
        </w:rPr>
      </w:pPr>
    </w:p>
    <w:p w14:paraId="78A6EF2E" w14:textId="77777777" w:rsidR="00CD28D4" w:rsidRDefault="00DB2E3C" w:rsidP="00CD28D4">
      <w:pPr>
        <w:pStyle w:val="Prrafoconsangra"/>
        <w:ind w:firstLine="0"/>
        <w:rPr>
          <w:lang w:val="es-MX"/>
        </w:rPr>
      </w:pPr>
      <w:r w:rsidRPr="00190FB6">
        <w:rPr>
          <w:lang w:val="es-MX"/>
        </w:rPr>
        <w:t>En conjunto, estos operadores permiten navegar de forma iterativa el vasto espacio de combinaciones posibles. El algoritmo concluye su ejecución al alcanzar un límite de generaciones, al agotar un presupuesto computacional o cuando el cambio en la aptitud intergeneracional cae por debajo de un umbral predefinido</w:t>
      </w:r>
    </w:p>
    <w:p w14:paraId="2BCFAB7C" w14:textId="77777777" w:rsidR="00CD28D4" w:rsidRDefault="00CD28D4" w:rsidP="00CD28D4">
      <w:pPr>
        <w:pStyle w:val="Prrafoconsangra"/>
        <w:ind w:firstLine="0"/>
        <w:rPr>
          <w:lang w:val="es-MX"/>
        </w:rPr>
      </w:pPr>
    </w:p>
    <w:p w14:paraId="6C66880D" w14:textId="7CE431F0" w:rsidR="00CD28D4" w:rsidRPr="0065644D" w:rsidRDefault="00CD28D4" w:rsidP="00CD28D4">
      <w:pPr>
        <w:pStyle w:val="Ttulo3"/>
      </w:pPr>
      <w:r w:rsidRPr="0065644D">
        <w:t>2.</w:t>
      </w:r>
      <w:r>
        <w:t>5</w:t>
      </w:r>
      <w:r w:rsidRPr="0065644D">
        <w:t>.</w:t>
      </w:r>
      <w:r>
        <w:t>3</w:t>
      </w:r>
      <w:r w:rsidRPr="0065644D">
        <w:t xml:space="preserve"> </w:t>
      </w:r>
      <w:r>
        <w:t xml:space="preserve">Algoritmos genéticos como estrategia </w:t>
      </w:r>
      <w:proofErr w:type="spellStart"/>
      <w:r>
        <w:t>wrapper</w:t>
      </w:r>
      <w:proofErr w:type="spellEnd"/>
    </w:p>
    <w:p w14:paraId="59AB7D67" w14:textId="77777777" w:rsidR="00CD28D4" w:rsidRDefault="00CD28D4" w:rsidP="00CD28D4">
      <w:pPr>
        <w:pStyle w:val="Prrafoconsangra"/>
        <w:ind w:firstLine="0"/>
        <w:rPr>
          <w:lang w:val="es-MX"/>
        </w:rPr>
      </w:pPr>
    </w:p>
    <w:p w14:paraId="79CD76C0" w14:textId="60E1CCCA" w:rsidR="00D03ECD" w:rsidRPr="00D03ECD" w:rsidRDefault="00D03ECD" w:rsidP="00D03ECD">
      <w:pPr>
        <w:pStyle w:val="Prrafobase"/>
      </w:pPr>
      <w:r w:rsidRPr="00D03ECD">
        <w:t xml:space="preserve">La aplicación de algoritmos genéticos a la selección de características puede entenderse como una estrategia </w:t>
      </w:r>
      <w:proofErr w:type="spellStart"/>
      <w:r w:rsidRPr="00D03ECD">
        <w:t>wrapper</w:t>
      </w:r>
      <w:proofErr w:type="spellEnd"/>
      <w:r w:rsidRPr="00D03ECD">
        <w:t xml:space="preserve">, dado que cada subconjunto candidato se evalúa a partir del desempeño del modelo de aprendizaje final. A diferencia de los métodos de tipo filtro, los enfoques </w:t>
      </w:r>
      <w:proofErr w:type="spellStart"/>
      <w:r w:rsidRPr="00D03ECD">
        <w:t>wrapper</w:t>
      </w:r>
      <w:proofErr w:type="spellEnd"/>
      <w:r w:rsidRPr="00D03ECD">
        <w:t xml:space="preserve"> incorporan la retroalimentación directa del clasificador y permiten </w:t>
      </w:r>
      <w:r w:rsidRPr="00D03ECD">
        <w:lastRenderedPageBreak/>
        <w:t>considerar la interacción entre las características seleccionadas y el comportamiento del modelo (</w:t>
      </w:r>
      <w:proofErr w:type="spellStart"/>
      <w:r w:rsidRPr="00D03ECD">
        <w:t>Kohavi</w:t>
      </w:r>
      <w:proofErr w:type="spellEnd"/>
      <w:r w:rsidRPr="00D03ECD">
        <w:t xml:space="preserve"> &amp; John, 1997; Guyon &amp; Elisseeff, 2003). Esta propiedad resulta especialmente relevante cuando los predictores incluyen términos polinomiales, ya que la utilidad de una interacción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D03ECD">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D03ECD">
        <w:t>) puede depender de su combinación con otros términos del espacio expandido.</w:t>
      </w:r>
    </w:p>
    <w:p w14:paraId="5A519B1C" w14:textId="77777777" w:rsidR="00D03ECD" w:rsidRPr="00D03ECD" w:rsidRDefault="00D03ECD" w:rsidP="00D03ECD">
      <w:pPr>
        <w:pStyle w:val="Prrafobase"/>
      </w:pPr>
      <w:r w:rsidRPr="00D03ECD">
        <w:t xml:space="preserve">En la arquitectura propuesta para esta investigación, el algoritmo genético actúa como mecanismo de exploración sobre el espacio formado por variables originales y términos polinomiales. El objetivo principal no es someter el espacio expandido completo al análisis discriminante, sino identificar un subconjunto que conserve capacidad de separación </w:t>
      </w:r>
      <w:proofErr w:type="spellStart"/>
      <w:r w:rsidRPr="00D03ECD">
        <w:t>interclase</w:t>
      </w:r>
      <w:proofErr w:type="spellEnd"/>
      <w:r w:rsidRPr="00D03ECD">
        <w:t xml:space="preserve"> y reduzca la dimensionalidad efectiva del problema. De esta forma, la búsqueda evolutiva contribuye a mitigar los efectos del crecimiento combinatorio y del problema Small Sample Size.</w:t>
      </w:r>
    </w:p>
    <w:p w14:paraId="07B87431" w14:textId="77777777" w:rsidR="00D03ECD" w:rsidRPr="00D03ECD" w:rsidRDefault="00D03ECD" w:rsidP="00D03ECD">
      <w:pPr>
        <w:pStyle w:val="Prrafobase"/>
      </w:pPr>
      <w:r w:rsidRPr="00D03ECD">
        <w:t>La pertinencia de acoplar un algoritmo genético con LDA radica en que la selección previa de características puede mejorar la estabilidad algebraica del modelo discriminante. Si el espacio polinomial completo se utiliza sin reducción, la matriz de dispersión intraclase puede volverse singular o mal condicionada. En contraste, la reducción previa mediante la metaheurística puede favorecer una representación más compacta y manejable para la estimación discriminante. Por lo tanto, el algoritmo genético no actúa como sustituto del análisis discriminante, sino como un mecanismo previo de selección y reducción que facilita su aplicación sobre un espacio polinomial controlado.</w:t>
      </w:r>
    </w:p>
    <w:p w14:paraId="2B971EE1" w14:textId="77777777" w:rsidR="00DB2E3C" w:rsidRDefault="00DB2E3C" w:rsidP="00DB2E3C">
      <w:pPr>
        <w:pStyle w:val="Prrafobase"/>
      </w:pPr>
    </w:p>
    <w:p w14:paraId="6CC0DA1A" w14:textId="0C90EF68" w:rsidR="009C6DD1" w:rsidRPr="007023D2" w:rsidRDefault="009C6DD1" w:rsidP="009C6DD1">
      <w:pPr>
        <w:pStyle w:val="Ttulo2"/>
      </w:pPr>
      <w:r>
        <w:rPr>
          <w:rStyle w:val="Ttulo1Car"/>
          <w:rFonts w:ascii="Times New Roman" w:hAnsi="Times New Roman"/>
          <w:b/>
          <w:sz w:val="30"/>
          <w:szCs w:val="26"/>
        </w:rPr>
        <w:t>2</w:t>
      </w:r>
      <w:r w:rsidRPr="009A76F9">
        <w:rPr>
          <w:rStyle w:val="Ttulo1Car"/>
          <w:rFonts w:ascii="Times New Roman" w:hAnsi="Times New Roman"/>
          <w:b/>
          <w:sz w:val="30"/>
          <w:szCs w:val="26"/>
        </w:rPr>
        <w:t>.</w:t>
      </w:r>
      <w:r>
        <w:rPr>
          <w:rStyle w:val="Ttulo1Car"/>
          <w:rFonts w:ascii="Times New Roman" w:hAnsi="Times New Roman"/>
          <w:b/>
          <w:sz w:val="30"/>
          <w:szCs w:val="26"/>
        </w:rPr>
        <w:t>6</w:t>
      </w:r>
      <w:r w:rsidRPr="009A76F9">
        <w:rPr>
          <w:rStyle w:val="Ttulo1Car"/>
          <w:rFonts w:ascii="Times New Roman" w:hAnsi="Times New Roman"/>
          <w:b/>
          <w:sz w:val="30"/>
          <w:szCs w:val="26"/>
        </w:rPr>
        <w:t xml:space="preserve"> </w:t>
      </w:r>
      <w:r w:rsidRPr="009C6DD1">
        <w:rPr>
          <w:rFonts w:ascii="Times New Roman" w:hAnsi="Times New Roman"/>
          <w:b/>
          <w:sz w:val="30"/>
          <w:szCs w:val="26"/>
        </w:rPr>
        <w:t xml:space="preserve">Métodos </w:t>
      </w:r>
      <w:proofErr w:type="spellStart"/>
      <w:r w:rsidRPr="009C6DD1">
        <w:rPr>
          <w:rFonts w:ascii="Times New Roman" w:hAnsi="Times New Roman"/>
          <w:b/>
          <w:sz w:val="30"/>
          <w:szCs w:val="26"/>
        </w:rPr>
        <w:t>kernel</w:t>
      </w:r>
      <w:proofErr w:type="spellEnd"/>
      <w:r w:rsidRPr="009C6DD1">
        <w:rPr>
          <w:rFonts w:ascii="Times New Roman" w:hAnsi="Times New Roman"/>
          <w:b/>
          <w:sz w:val="30"/>
          <w:szCs w:val="26"/>
        </w:rPr>
        <w:t xml:space="preserve"> y clasificadores no lineales</w:t>
      </w:r>
    </w:p>
    <w:p w14:paraId="68A71440" w14:textId="77777777" w:rsidR="009C6DD1" w:rsidRPr="009C6DD1" w:rsidRDefault="009C6DD1" w:rsidP="009C6DD1"/>
    <w:p w14:paraId="02F52CB7" w14:textId="5BEABD82" w:rsidR="009C6DD1" w:rsidRDefault="009C6DD1" w:rsidP="009C6DD1">
      <w:pPr>
        <w:pStyle w:val="Prrafobase"/>
      </w:pPr>
      <w:r w:rsidRPr="009C6DD1">
        <w:t xml:space="preserve">Los métodos </w:t>
      </w:r>
      <w:proofErr w:type="spellStart"/>
      <w:r w:rsidRPr="009C6DD1">
        <w:t>kernel</w:t>
      </w:r>
      <w:proofErr w:type="spellEnd"/>
      <w:r w:rsidRPr="009C6DD1">
        <w:t xml:space="preserve"> constituyen una familia de enfoques ampliamente utilizados para extender modelos lineales hacia escenarios no lineales. Su idea central consiste en transformar los datos originales hacia un espacio de características de mayor dimensión, donde relaciones que no son linealmente separables en el espacio original pueden representarse mediante fronteras lineales en el espacio transformado. Esta lógica se relaciona con la motivación subyacente de la expansión polinomial: aumentar la capacidad de </w:t>
      </w:r>
      <w:r w:rsidRPr="009C6DD1">
        <w:lastRenderedPageBreak/>
        <w:t>representación del modelo mediante transformaciones del espacio de entrada (</w:t>
      </w:r>
      <w:proofErr w:type="spellStart"/>
      <w:r w:rsidRPr="009C6DD1">
        <w:t>Schölkopf</w:t>
      </w:r>
      <w:proofErr w:type="spellEnd"/>
      <w:r w:rsidRPr="009C6DD1">
        <w:t xml:space="preserve"> &amp; Smola, 2002).</w:t>
      </w:r>
    </w:p>
    <w:p w14:paraId="3E74E11A" w14:textId="52075991" w:rsidR="009C6DD1" w:rsidRPr="0065644D" w:rsidRDefault="009C6DD1" w:rsidP="009C6DD1">
      <w:pPr>
        <w:pStyle w:val="Ttulo3"/>
      </w:pPr>
      <w:r w:rsidRPr="0065644D">
        <w:t>2.</w:t>
      </w:r>
      <w:r>
        <w:t>6</w:t>
      </w:r>
      <w:r w:rsidRPr="0065644D">
        <w:t>.</w:t>
      </w:r>
      <w:r>
        <w:t>1</w:t>
      </w:r>
      <w:r w:rsidRPr="0065644D">
        <w:t xml:space="preserve"> </w:t>
      </w:r>
      <w:r>
        <w:t xml:space="preserve">Truco </w:t>
      </w:r>
      <w:proofErr w:type="spellStart"/>
      <w:r>
        <w:t>Kernel</w:t>
      </w:r>
      <w:proofErr w:type="spellEnd"/>
      <w:r>
        <w:t xml:space="preserve"> y funciones </w:t>
      </w:r>
      <w:proofErr w:type="spellStart"/>
      <w:r>
        <w:t>kernel</w:t>
      </w:r>
      <w:proofErr w:type="spellEnd"/>
    </w:p>
    <w:p w14:paraId="2FC148F3" w14:textId="77777777" w:rsidR="009C6DD1" w:rsidRDefault="009C6DD1" w:rsidP="009C6DD1">
      <w:pPr>
        <w:pStyle w:val="Prrafobase"/>
      </w:pPr>
    </w:p>
    <w:p w14:paraId="52B80AAF" w14:textId="6D92CBDE" w:rsidR="009C6DD1" w:rsidRPr="009C6DD1" w:rsidRDefault="009C6DD1" w:rsidP="009C6DD1">
      <w:pPr>
        <w:pStyle w:val="Prrafobase"/>
      </w:pPr>
      <w:r w:rsidRPr="009C6DD1">
        <w:t xml:space="preserve">Sea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9C6DD1">
        <w:t xml:space="preserve"> un vector de entrada. Un método </w:t>
      </w:r>
      <w:proofErr w:type="spellStart"/>
      <w:r w:rsidRPr="009C6DD1">
        <w:t>kernel</w:t>
      </w:r>
      <w:proofErr w:type="spellEnd"/>
      <w:r w:rsidRPr="009C6DD1">
        <w:t xml:space="preserve"> asume la existencia de una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que proyecta las observaciones desde el espacio original hacia un espacio de características</w:t>
      </w:r>
      <w:r w:rsidR="002C4605">
        <w:t xml:space="preserve"> </w:t>
      </w:r>
      <w:r w:rsidR="002C4605" w:rsidRPr="002C4605">
        <w:rPr>
          <w:lang w:val="es-MX"/>
        </w:rPr>
        <w:t>posiblemente de alta o incluso infinita dimensión</w:t>
      </w:r>
      <w:r w:rsidRPr="009C6DD1">
        <w:t>. En principio, el producto interno en dicho espacio transformado se define como:</w:t>
      </w:r>
    </w:p>
    <w:p w14:paraId="797EAEAB" w14:textId="77777777" w:rsidR="009C6DD1" w:rsidRDefault="009C6DD1" w:rsidP="009C6DD1">
      <w:pPr>
        <w:pStyle w:val="Prrafobase"/>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m:oMathPara>
    </w:p>
    <w:p w14:paraId="39CDCE26" w14:textId="77777777" w:rsidR="002C4605" w:rsidRDefault="009C6DD1" w:rsidP="009C6DD1">
      <w:pPr>
        <w:pStyle w:val="Prrafobase"/>
      </w:pPr>
      <w:r w:rsidRPr="009C6DD1">
        <w:t xml:space="preserve">La ventaja computacional fundamental de los métodos </w:t>
      </w:r>
      <w:proofErr w:type="spellStart"/>
      <w:r w:rsidRPr="009C6DD1">
        <w:t>kernel</w:t>
      </w:r>
      <w:proofErr w:type="spellEnd"/>
      <w:r w:rsidRPr="009C6DD1">
        <w:t xml:space="preserve"> consiste en que no es necesario calcular explícitamente las coordenadas proyectadas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xml:space="preserve">. En su lugar, se define una función kernel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rsidRPr="009C6DD1">
        <w:t xml:space="preserve"> que evalúa directamente el producto interno entre dos observaciones en el espacio transformado. Este procedimiento algorítmico se conoce como el kernel trick y permite trabajar con espacios de características de </w:t>
      </w:r>
      <w:r w:rsidR="002C4605">
        <w:t>alta</w:t>
      </w:r>
      <w:r w:rsidRPr="009C6DD1">
        <w:t xml:space="preserve"> dimensionalidad sin incurrir en el costo de construirlos de forma explícita (Bishop, 2006).</w:t>
      </w:r>
      <w:r w:rsidR="002C4605">
        <w:t xml:space="preserve"> </w:t>
      </w:r>
    </w:p>
    <w:p w14:paraId="320FE3BD" w14:textId="77777777" w:rsidR="002C4605" w:rsidRDefault="009C6DD1" w:rsidP="009C6DD1">
      <w:pPr>
        <w:pStyle w:val="Prrafobase"/>
      </w:pPr>
      <w:r w:rsidRPr="009C6DD1">
        <w:t xml:space="preserve">Entre las funciones </w:t>
      </w:r>
      <w:proofErr w:type="spellStart"/>
      <w:r w:rsidRPr="009C6DD1">
        <w:t>kernel</w:t>
      </w:r>
      <w:proofErr w:type="spellEnd"/>
      <w:r w:rsidRPr="009C6DD1">
        <w:t xml:space="preserve"> más estandarizadas en la literatura se encuentran el kernel lineal, el kernel polinomial y el kernel de función de base radial (RBF). El kernel lineal equivale al producto interno ordinario, mientras que el </w:t>
      </w:r>
      <w:proofErr w:type="spellStart"/>
      <w:r w:rsidRPr="009C6DD1">
        <w:t>kernel</w:t>
      </w:r>
      <w:proofErr w:type="spellEnd"/>
      <w:r w:rsidRPr="009C6DD1">
        <w:t xml:space="preserve"> polinomial permite incorporar interacciones de orden superior de forma implícita. Por su parte, el </w:t>
      </w:r>
      <w:proofErr w:type="spellStart"/>
      <w:r w:rsidRPr="009C6DD1">
        <w:t>kernel</w:t>
      </w:r>
      <w:proofErr w:type="spellEnd"/>
      <w:r w:rsidRPr="009C6DD1">
        <w:t xml:space="preserve"> RBF mide la similitud local entre observaciones e induce fronteras de decisión altamente flexibles. </w:t>
      </w:r>
      <w:r>
        <w:t>Matemáticamente, se expresan de la siguiente manera:</w:t>
      </w:r>
    </w:p>
    <w:p w14:paraId="0BFFC0D3" w14:textId="26A0A320" w:rsidR="009C6DD1" w:rsidRDefault="009C6DD1" w:rsidP="009C6DD1">
      <w:pPr>
        <w:pStyle w:val="Prrafobase"/>
      </w:pPr>
      <w:proofErr w:type="spellStart"/>
      <w:r>
        <w:t>Kernel</w:t>
      </w:r>
      <w:proofErr w:type="spellEnd"/>
      <w:r>
        <w:t xml:space="preserve"> lineal:</w:t>
      </w:r>
    </w:p>
    <w:p w14:paraId="6D9504F0" w14:textId="77777777" w:rsidR="009C6DD1" w:rsidRDefault="009C6DD1" w:rsidP="009C6DD1">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oMath>
      </m:oMathPara>
    </w:p>
    <w:p w14:paraId="08EB646D" w14:textId="77777777" w:rsidR="009C6DD1" w:rsidRDefault="009C6DD1" w:rsidP="009C6DD1">
      <w:pPr>
        <w:pStyle w:val="Prrafobase"/>
      </w:pPr>
      <w:r>
        <w:t>Kernel polinomial:</w:t>
      </w:r>
    </w:p>
    <w:p w14:paraId="4978592D" w14:textId="77777777" w:rsidR="009C6DD1" w:rsidRDefault="009C6DD1" w:rsidP="009C6DD1">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γ</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r>
                    <m:rPr>
                      <m:sty m:val="p"/>
                    </m:rPr>
                    <w:rPr>
                      <w:rFonts w:ascii="Cambria Math" w:hAnsi="Cambria Math"/>
                    </w:rPr>
                    <m:t>+</m:t>
                  </m:r>
                  <m:r>
                    <w:rPr>
                      <w:rFonts w:ascii="Cambria Math" w:hAnsi="Cambria Math"/>
                    </w:rPr>
                    <m:t>c</m:t>
                  </m:r>
                </m:e>
              </m:d>
            </m:e>
            <m:sup>
              <m:r>
                <w:rPr>
                  <w:rFonts w:ascii="Cambria Math" w:hAnsi="Cambria Math"/>
                </w:rPr>
                <m:t>r</m:t>
              </m:r>
            </m:sup>
          </m:sSup>
        </m:oMath>
      </m:oMathPara>
    </w:p>
    <w:p w14:paraId="2901FA4D" w14:textId="77777777" w:rsidR="009C6DD1" w:rsidRDefault="009C6DD1" w:rsidP="009C6DD1">
      <w:pPr>
        <w:pStyle w:val="Prrafobase"/>
      </w:pPr>
      <w:r>
        <w:t>Kernel RBF:</w:t>
      </w:r>
    </w:p>
    <w:p w14:paraId="4BEC257A" w14:textId="77777777" w:rsidR="009C6DD1" w:rsidRDefault="009C6DD1" w:rsidP="009C6DD1">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oMath>
      </m:oMathPara>
    </w:p>
    <w:p w14:paraId="1C8B3BA6" w14:textId="5F1BA456" w:rsidR="009C6DD1" w:rsidRDefault="009C6DD1" w:rsidP="009C6DD1">
      <w:pPr>
        <w:pStyle w:val="Prrafobase"/>
      </w:pPr>
      <w:r w:rsidRPr="009C6DD1">
        <w:t xml:space="preserve">En el contexto de esta tesis, el </w:t>
      </w:r>
      <w:proofErr w:type="spellStart"/>
      <w:r w:rsidRPr="009C6DD1">
        <w:t>kernel</w:t>
      </w:r>
      <w:proofErr w:type="spellEnd"/>
      <w:r w:rsidRPr="009C6DD1">
        <w:t xml:space="preserve"> polinomial resulta particularmente relevante por su vinculación teórica con la expansión polinomial explícita. La diferencia </w:t>
      </w:r>
      <w:r w:rsidR="002C4605">
        <w:t>principal</w:t>
      </w:r>
      <w:r w:rsidRPr="009C6DD1">
        <w:t xml:space="preserve"> radica en que, mientras la expansión polinomial </w:t>
      </w:r>
      <w:r w:rsidR="002C4605" w:rsidRPr="002C4605">
        <w:rPr>
          <w:lang w:val="es-MX"/>
        </w:rPr>
        <w:t>construye explícitamente</w:t>
      </w:r>
      <w:r w:rsidR="002C4605">
        <w:rPr>
          <w:lang w:val="es-MX"/>
        </w:rPr>
        <w:t xml:space="preserve"> </w:t>
      </w:r>
      <w:r w:rsidRPr="009C6DD1">
        <w:t xml:space="preserve">los términos cuadráticos y </w:t>
      </w:r>
      <w:r w:rsidRPr="009C6DD1">
        <w:lastRenderedPageBreak/>
        <w:t xml:space="preserve">las interacciones cruzadas, el </w:t>
      </w:r>
      <w:proofErr w:type="spellStart"/>
      <w:r w:rsidRPr="009C6DD1">
        <w:t>kernel</w:t>
      </w:r>
      <w:proofErr w:type="spellEnd"/>
      <w:r w:rsidRPr="009C6DD1">
        <w:t xml:space="preserve"> polinomial opera sobre un espacio expandido de forma implícita. Esta distinción es crítica porque el enfoque propuesto en esta investigación </w:t>
      </w:r>
      <w:r w:rsidR="004E6F87">
        <w:t>busca</w:t>
      </w:r>
      <w:r w:rsidRPr="009C6DD1">
        <w:t xml:space="preserve"> conservar una relación directa y auditable con los términos generados, </w:t>
      </w:r>
      <w:r w:rsidR="002C4605">
        <w:t>favoreciendo</w:t>
      </w:r>
      <w:r w:rsidRPr="009C6DD1">
        <w:t xml:space="preserve"> la trazabilidad analítica de las variables seleccionadas.</w:t>
      </w:r>
    </w:p>
    <w:p w14:paraId="4535BC4F" w14:textId="77777777" w:rsidR="009C6DD1" w:rsidRDefault="009C6DD1" w:rsidP="009C6DD1">
      <w:pPr>
        <w:pStyle w:val="Prrafobase"/>
        <w:rPr>
          <w:color w:val="EE0000"/>
        </w:rPr>
      </w:pPr>
    </w:p>
    <w:p w14:paraId="7A6C5FB2" w14:textId="7CDE458F" w:rsidR="009C6DD1" w:rsidRPr="0065644D" w:rsidRDefault="009C6DD1" w:rsidP="009C6DD1">
      <w:pPr>
        <w:pStyle w:val="Ttulo3"/>
      </w:pPr>
      <w:r w:rsidRPr="0065644D">
        <w:t>2.</w:t>
      </w:r>
      <w:r>
        <w:t>6</w:t>
      </w:r>
      <w:r w:rsidRPr="0065644D">
        <w:t>.</w:t>
      </w:r>
      <w:r>
        <w:t>2</w:t>
      </w:r>
      <w:r w:rsidRPr="0065644D">
        <w:t xml:space="preserve"> </w:t>
      </w:r>
      <w:r>
        <w:t>KFDA y SVM como enfoques no lineales de referencia</w:t>
      </w:r>
    </w:p>
    <w:p w14:paraId="186BCB8B" w14:textId="77777777" w:rsidR="009C6DD1" w:rsidRPr="009C6DD1" w:rsidRDefault="009C6DD1" w:rsidP="009C6DD1"/>
    <w:p w14:paraId="6AE99C5C" w14:textId="77777777" w:rsidR="009C6DD1" w:rsidRDefault="009C6DD1" w:rsidP="009C6DD1"/>
    <w:p w14:paraId="2F7D3BEF" w14:textId="77777777" w:rsidR="004E6F87" w:rsidRPr="004E6F87" w:rsidRDefault="004E6F87" w:rsidP="004E6F87">
      <w:pPr>
        <w:pStyle w:val="Prrafobase"/>
        <w:rPr>
          <w:lang w:val="es-MX"/>
        </w:rPr>
      </w:pPr>
      <w:r w:rsidRPr="004E6F87">
        <w:rPr>
          <w:lang w:val="es-MX"/>
        </w:rPr>
        <w:t xml:space="preserve">El Análisis Discriminante de Fisher con </w:t>
      </w:r>
      <w:proofErr w:type="spellStart"/>
      <w:r w:rsidRPr="004E6F87">
        <w:rPr>
          <w:lang w:val="es-MX"/>
        </w:rPr>
        <w:t>Kernel</w:t>
      </w:r>
      <w:proofErr w:type="spellEnd"/>
      <w:r w:rsidRPr="004E6F87">
        <w:rPr>
          <w:lang w:val="es-MX"/>
        </w:rPr>
        <w:t xml:space="preserve"> (KFDA) se concibe como una extensión no lineal del criterio de Fisher clásico. Mientras que LDA busca direcciones discriminantes en el espacio original mediante combinaciones lineales, KFDA traslada el problema de optimización al espacio de características inducido por el </w:t>
      </w:r>
      <w:proofErr w:type="spellStart"/>
      <w:r w:rsidRPr="004E6F87">
        <w:rPr>
          <w:lang w:val="es-MX"/>
        </w:rPr>
        <w:t>kernel</w:t>
      </w:r>
      <w:proofErr w:type="spellEnd"/>
      <w:r w:rsidRPr="004E6F87">
        <w:rPr>
          <w:lang w:val="es-MX"/>
        </w:rPr>
        <w:t xml:space="preserve">. En dicho espacio, el objetivo se mantiene: maximizar la separación </w:t>
      </w:r>
      <w:proofErr w:type="spellStart"/>
      <w:r w:rsidRPr="004E6F87">
        <w:rPr>
          <w:lang w:val="es-MX"/>
        </w:rPr>
        <w:t>interclase</w:t>
      </w:r>
      <w:proofErr w:type="spellEnd"/>
      <w:r w:rsidRPr="004E6F87">
        <w:rPr>
          <w:lang w:val="es-MX"/>
        </w:rPr>
        <w:t xml:space="preserve"> y minimizar la dispersión intraclase; no obstante, la solución algebraica se reformula en términos de productos </w:t>
      </w:r>
      <w:proofErr w:type="spellStart"/>
      <w:r w:rsidRPr="004E6F87">
        <w:rPr>
          <w:lang w:val="es-MX"/>
        </w:rPr>
        <w:t>kernel</w:t>
      </w:r>
      <w:proofErr w:type="spellEnd"/>
      <w:r w:rsidRPr="004E6F87">
        <w:rPr>
          <w:lang w:val="es-MX"/>
        </w:rPr>
        <w:t xml:space="preserve"> y matrices de Gram (Mika et al., 1999).</w:t>
      </w:r>
    </w:p>
    <w:p w14:paraId="72711B62" w14:textId="77777777" w:rsidR="004E6F87" w:rsidRPr="004E6F87" w:rsidRDefault="004E6F87" w:rsidP="004E6F87">
      <w:pPr>
        <w:pStyle w:val="Prrafobase"/>
        <w:rPr>
          <w:lang w:val="es-MX"/>
        </w:rPr>
      </w:pPr>
      <w:r w:rsidRPr="004E6F87">
        <w:rPr>
          <w:lang w:val="es-MX"/>
        </w:rPr>
        <w:t xml:space="preserve">Una diferencia relevante entre KFDA y otros clasificadores </w:t>
      </w:r>
      <w:proofErr w:type="spellStart"/>
      <w:r w:rsidRPr="004E6F87">
        <w:rPr>
          <w:lang w:val="es-MX"/>
        </w:rPr>
        <w:t>kernel</w:t>
      </w:r>
      <w:proofErr w:type="spellEnd"/>
      <w:r w:rsidRPr="004E6F87">
        <w:rPr>
          <w:lang w:val="es-MX"/>
        </w:rPr>
        <w:t xml:space="preserve"> radica en su relación con la reducción de dimensionalidad supervisada. Al heredar la lógica del criterio de Fisher, KFDA puede formularse como un método orientado a obtener ejes o proyecciones discriminantes en el espacio de características inducido por el </w:t>
      </w:r>
      <w:proofErr w:type="spellStart"/>
      <w:r w:rsidRPr="004E6F87">
        <w:rPr>
          <w:lang w:val="es-MX"/>
        </w:rPr>
        <w:t>kernel</w:t>
      </w:r>
      <w:proofErr w:type="spellEnd"/>
      <w:r w:rsidRPr="004E6F87">
        <w:rPr>
          <w:lang w:val="es-MX"/>
        </w:rPr>
        <w:t xml:space="preserve">. En este sentido, mantiene una relación conceptual más cercana con LDA, aunque opera mediante una formulación dual basada en productos </w:t>
      </w:r>
      <w:proofErr w:type="spellStart"/>
      <w:r w:rsidRPr="004E6F87">
        <w:rPr>
          <w:lang w:val="es-MX"/>
        </w:rPr>
        <w:t>kernel</w:t>
      </w:r>
      <w:proofErr w:type="spellEnd"/>
      <w:r w:rsidRPr="004E6F87">
        <w:rPr>
          <w:lang w:val="es-MX"/>
        </w:rPr>
        <w:t xml:space="preserve">. Por el contrario, aunque SVM también puede utilizar funciones </w:t>
      </w:r>
      <w:proofErr w:type="spellStart"/>
      <w:r w:rsidRPr="004E6F87">
        <w:rPr>
          <w:lang w:val="es-MX"/>
        </w:rPr>
        <w:t>kernel</w:t>
      </w:r>
      <w:proofErr w:type="spellEnd"/>
      <w:r w:rsidRPr="004E6F87">
        <w:rPr>
          <w:lang w:val="es-MX"/>
        </w:rPr>
        <w:t xml:space="preserve"> para inducir fronteras no lineales, su objetivo principal no es construir una proyección discriminante de baja dimensión, sino estimar una frontera de decisión con margen máximo para clasificar nuevas observaciones.</w:t>
      </w:r>
    </w:p>
    <w:p w14:paraId="0D89DF47" w14:textId="77777777" w:rsidR="004E6F87" w:rsidRDefault="004E6F87" w:rsidP="009C6DD1">
      <w:pPr>
        <w:pStyle w:val="Prrafobase"/>
        <w:rPr>
          <w:lang w:val="es-MX"/>
        </w:rPr>
      </w:pPr>
    </w:p>
    <w:p w14:paraId="3D669A6E" w14:textId="5052B8A1" w:rsidR="009C6DD1" w:rsidRPr="009C6DD1" w:rsidRDefault="009C6DD1" w:rsidP="009C6DD1">
      <w:pPr>
        <w:pStyle w:val="Prrafobase"/>
      </w:pPr>
      <w:r w:rsidRPr="009C6DD1">
        <w:t xml:space="preserve">De manera análoga, las Máquinas de Vectores de Soporte (SVM) emplean el </w:t>
      </w:r>
      <w:proofErr w:type="spellStart"/>
      <w:r w:rsidRPr="009C6DD1">
        <w:t>kernel</w:t>
      </w:r>
      <w:proofErr w:type="spellEnd"/>
      <w:r w:rsidRPr="009C6DD1">
        <w:t xml:space="preserve"> </w:t>
      </w:r>
      <w:proofErr w:type="spellStart"/>
      <w:r w:rsidRPr="009C6DD1">
        <w:t>trick</w:t>
      </w:r>
      <w:proofErr w:type="spellEnd"/>
      <w:r w:rsidRPr="009C6DD1">
        <w:t xml:space="preserve"> para </w:t>
      </w:r>
      <w:r>
        <w:t>construir</w:t>
      </w:r>
      <w:r w:rsidRPr="009C6DD1">
        <w:t xml:space="preserve"> fronteras de decisión no lineales. En su formulación </w:t>
      </w:r>
      <w:r w:rsidR="004E6F87">
        <w:t>clásica</w:t>
      </w:r>
      <w:r w:rsidRPr="009C6DD1">
        <w:t xml:space="preserve">, SVM busca un hiperplano de separación que maximice el margen geométrico entre las clases, apoyándose en las observaciones más </w:t>
      </w:r>
      <w:r w:rsidR="004E6F87">
        <w:t>relevantes</w:t>
      </w:r>
      <w:r w:rsidRPr="009C6DD1">
        <w:t xml:space="preserve">, denominadas vectores de soporte (Cortes &amp; </w:t>
      </w:r>
      <w:proofErr w:type="spellStart"/>
      <w:r w:rsidRPr="009C6DD1">
        <w:t>Vapnik</w:t>
      </w:r>
      <w:proofErr w:type="spellEnd"/>
      <w:r w:rsidRPr="009C6DD1">
        <w:t xml:space="preserve">, </w:t>
      </w:r>
      <w:r w:rsidRPr="009C6DD1">
        <w:lastRenderedPageBreak/>
        <w:t xml:space="preserve">1995). Al integrar funciones </w:t>
      </w:r>
      <w:proofErr w:type="spellStart"/>
      <w:r w:rsidRPr="009C6DD1">
        <w:t>kernel</w:t>
      </w:r>
      <w:proofErr w:type="spellEnd"/>
      <w:r w:rsidRPr="009C6DD1">
        <w:t xml:space="preserve">, la función de decisión para una nueva observación </w:t>
      </w:r>
      <m:oMath>
        <m:r>
          <m:rPr>
            <m:sty m:val="b"/>
          </m:rPr>
          <w:rPr>
            <w:rFonts w:ascii="Cambria Math" w:hAnsi="Cambria Math"/>
          </w:rPr>
          <m:t>x</m:t>
        </m:r>
      </m:oMath>
      <w:r w:rsidRPr="009C6DD1">
        <w:t xml:space="preserve"> se formula de la siguiente manera general:</w:t>
      </w:r>
    </w:p>
    <w:p w14:paraId="243F3106" w14:textId="77777777" w:rsidR="009C6DD1" w:rsidRDefault="009C6DD1" w:rsidP="009C6DD1">
      <w:pPr>
        <w:pStyle w:val="Prrafobase"/>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b</m:t>
          </m:r>
        </m:oMath>
      </m:oMathPara>
    </w:p>
    <w:p w14:paraId="150BE79B" w14:textId="77777777" w:rsidR="009C6DD1" w:rsidRDefault="009C6DD1" w:rsidP="009C6DD1">
      <w:pPr>
        <w:pStyle w:val="Prrafobase"/>
      </w:pPr>
    </w:p>
    <w:p w14:paraId="005E192A" w14:textId="177264E2" w:rsidR="002C4605" w:rsidRDefault="009C6DD1" w:rsidP="009C6DD1">
      <w:pPr>
        <w:pStyle w:val="Prrafobase"/>
      </w:pPr>
      <w:r w:rsidRPr="009C6DD1">
        <w:t xml:space="preserve">Para el marco experimental de esta investigación, SVM con </w:t>
      </w:r>
      <w:proofErr w:type="spellStart"/>
      <w:r w:rsidRPr="009C6DD1">
        <w:t>kernel</w:t>
      </w:r>
      <w:proofErr w:type="spellEnd"/>
      <w:r w:rsidRPr="009C6DD1">
        <w:t xml:space="preserve"> polinomial y SVM con </w:t>
      </w:r>
      <w:proofErr w:type="spellStart"/>
      <w:r w:rsidRPr="009C6DD1">
        <w:t>kernel</w:t>
      </w:r>
      <w:proofErr w:type="spellEnd"/>
      <w:r w:rsidRPr="009C6DD1">
        <w:t xml:space="preserve"> RBF se </w:t>
      </w:r>
      <w:r w:rsidR="002C4605">
        <w:t>consideran</w:t>
      </w:r>
      <w:r w:rsidR="004E6F87">
        <w:t xml:space="preserve"> </w:t>
      </w:r>
      <w:r w:rsidRPr="009C6DD1">
        <w:t xml:space="preserve">los clasificadores no lineales de referencia. Ambos enfoques, sin embargo, presentan una alta sensibilidad a la parametrización, dependiendo de la correcta sintonización de </w:t>
      </w:r>
      <w:proofErr w:type="spellStart"/>
      <w:r w:rsidRPr="009C6DD1">
        <w:t>hiperparámetros</w:t>
      </w:r>
      <w:proofErr w:type="spellEnd"/>
      <w:r w:rsidRPr="009C6DD1">
        <w:t xml:space="preserve"> estructurales como el grado del polinomio </w:t>
      </w:r>
      <m:oMath>
        <m:r>
          <w:rPr>
            <w:rFonts w:ascii="Cambria Math" w:hAnsi="Cambria Math"/>
          </w:rPr>
          <m:t>r</m:t>
        </m:r>
      </m:oMath>
      <w:r w:rsidRPr="009C6DD1">
        <w:t xml:space="preserve">, el coeficiente </w:t>
      </w:r>
      <m:oMath>
        <m:r>
          <w:rPr>
            <w:rFonts w:ascii="Cambria Math" w:hAnsi="Cambria Math"/>
          </w:rPr>
          <m:t>γ</m:t>
        </m:r>
      </m:oMath>
      <w:r w:rsidRPr="009C6DD1">
        <w:t>, o la constante de regularización</w:t>
      </w:r>
      <w:r w:rsidR="004E6F87">
        <w:t xml:space="preserve"> (</w:t>
      </w:r>
      <m:oMath>
        <m:r>
          <w:rPr>
            <w:rFonts w:ascii="Cambria Math" w:hAnsi="Cambria Math"/>
          </w:rPr>
          <m:t>C</m:t>
        </m:r>
      </m:oMath>
      <w:r w:rsidR="004E6F87">
        <w:t>)</w:t>
      </w:r>
      <w:r w:rsidRPr="009C6DD1">
        <w:t xml:space="preserve"> (Chapelle et al., 2002).</w:t>
      </w:r>
    </w:p>
    <w:p w14:paraId="2BD4E813" w14:textId="77777777" w:rsidR="002C4605" w:rsidRDefault="002C4605" w:rsidP="009C6DD1">
      <w:pPr>
        <w:pStyle w:val="Prrafobase"/>
      </w:pPr>
    </w:p>
    <w:p w14:paraId="7564E092" w14:textId="77777777" w:rsidR="002C4605" w:rsidRDefault="002C4605" w:rsidP="009C6DD1">
      <w:pPr>
        <w:pStyle w:val="Prrafobase"/>
      </w:pPr>
    </w:p>
    <w:p w14:paraId="6BE131BF" w14:textId="1A94E4AE" w:rsidR="002C4605" w:rsidRDefault="002C4605" w:rsidP="009C6DD1">
      <w:pPr>
        <w:pStyle w:val="Prrafobase"/>
      </w:pPr>
      <w:r w:rsidRPr="0065644D">
        <w:t>2.</w:t>
      </w:r>
      <w:r>
        <w:t>6</w:t>
      </w:r>
      <w:r w:rsidRPr="0065644D">
        <w:t>.</w:t>
      </w:r>
      <w:r>
        <w:t>3</w:t>
      </w:r>
      <w:r w:rsidRPr="0065644D">
        <w:t xml:space="preserve"> </w:t>
      </w:r>
      <w:r>
        <w:t>Ventajas, limitaciones e interpretabilidad</w:t>
      </w:r>
    </w:p>
    <w:p w14:paraId="66DEDD2A" w14:textId="77777777" w:rsidR="002C4605" w:rsidRDefault="002C4605" w:rsidP="009C6DD1">
      <w:pPr>
        <w:pStyle w:val="Prrafobase"/>
      </w:pPr>
    </w:p>
    <w:p w14:paraId="16D03ECE" w14:textId="77777777" w:rsidR="002C4605" w:rsidRPr="002C4605" w:rsidRDefault="002C4605" w:rsidP="002C4605">
      <w:pPr>
        <w:pStyle w:val="Prrafobase"/>
        <w:rPr>
          <w:lang w:val="es-MX"/>
        </w:rPr>
      </w:pPr>
      <w:r w:rsidRPr="002C4605">
        <w:rPr>
          <w:lang w:val="es-MX"/>
        </w:rPr>
        <w:t xml:space="preserve">Los métodos </w:t>
      </w:r>
      <w:proofErr w:type="spellStart"/>
      <w:r w:rsidRPr="002C4605">
        <w:rPr>
          <w:lang w:val="es-MX"/>
        </w:rPr>
        <w:t>kernel</w:t>
      </w:r>
      <w:proofErr w:type="spellEnd"/>
      <w:r w:rsidRPr="002C4605">
        <w:rPr>
          <w:lang w:val="es-MX"/>
        </w:rPr>
        <w:t xml:space="preserve"> presentan una ventaja importante: permiten introducir capacidad de modelado no lineal sin construir explícitamente todas las variables transformadas. En lugar de generar de manera directa los términos del espacio de características, estos métodos operan mediante productos internos definidos por una función </w:t>
      </w:r>
      <w:proofErr w:type="spellStart"/>
      <w:r w:rsidRPr="002C4605">
        <w:rPr>
          <w:lang w:val="es-MX"/>
        </w:rPr>
        <w:t>kernel</w:t>
      </w:r>
      <w:proofErr w:type="spellEnd"/>
      <w:r w:rsidRPr="002C4605">
        <w:rPr>
          <w:lang w:val="es-MX"/>
        </w:rPr>
        <w:t>. Esta propiedad reduce la necesidad de manipular explícitamente espacios expandidos de alta dimensión y permite modelar estructuras de separación complejas en el espacio original.</w:t>
      </w:r>
    </w:p>
    <w:p w14:paraId="4E061E4E" w14:textId="77777777" w:rsidR="002C4605" w:rsidRPr="002C4605" w:rsidRDefault="002C4605" w:rsidP="002C4605">
      <w:pPr>
        <w:pStyle w:val="Prrafobase"/>
        <w:rPr>
          <w:lang w:val="es-MX"/>
        </w:rPr>
      </w:pPr>
      <w:r w:rsidRPr="002C4605">
        <w:rPr>
          <w:lang w:val="es-MX"/>
        </w:rPr>
        <w:t xml:space="preserve">No obstante, esta formulación también introduce limitaciones. Al permanecer el espacio transformado de forma implícita, la interpretación directa de las variables originales y de sus interacciones puede volverse menos transparente. En consecuencia, aunque el modelo puede alcanzar buen desempeño predictivo, puede ser más difícil identificar qué variables o combinaciones de variables explican la separación entre clases. Además, el desempeño de los métodos </w:t>
      </w:r>
      <w:proofErr w:type="spellStart"/>
      <w:r w:rsidRPr="002C4605">
        <w:rPr>
          <w:lang w:val="es-MX"/>
        </w:rPr>
        <w:t>kernel</w:t>
      </w:r>
      <w:proofErr w:type="spellEnd"/>
      <w:r w:rsidRPr="002C4605">
        <w:rPr>
          <w:lang w:val="es-MX"/>
        </w:rPr>
        <w:t xml:space="preserve"> depende de la elección de la función </w:t>
      </w:r>
      <w:proofErr w:type="spellStart"/>
      <w:r w:rsidRPr="002C4605">
        <w:rPr>
          <w:lang w:val="es-MX"/>
        </w:rPr>
        <w:t>kernel</w:t>
      </w:r>
      <w:proofErr w:type="spellEnd"/>
      <w:r w:rsidRPr="002C4605">
        <w:rPr>
          <w:lang w:val="es-MX"/>
        </w:rPr>
        <w:t xml:space="preserve"> y de la adecuada sintonización de sus </w:t>
      </w:r>
      <w:proofErr w:type="spellStart"/>
      <w:r w:rsidRPr="002C4605">
        <w:rPr>
          <w:lang w:val="es-MX"/>
        </w:rPr>
        <w:t>hiperparámetros</w:t>
      </w:r>
      <w:proofErr w:type="spellEnd"/>
      <w:r w:rsidRPr="002C4605">
        <w:rPr>
          <w:lang w:val="es-MX"/>
        </w:rPr>
        <w:t>, lo cual puede afectar la capacidad de generalización, especialmente en escenarios de tamaño muestral reducido (Chapelle et al., 2002; Rudin, 2019).</w:t>
      </w:r>
    </w:p>
    <w:p w14:paraId="5BC57C63" w14:textId="77777777" w:rsidR="002C4605" w:rsidRPr="002C4605" w:rsidRDefault="002C4605" w:rsidP="002C4605">
      <w:pPr>
        <w:pStyle w:val="Prrafobase"/>
        <w:rPr>
          <w:lang w:val="es-MX"/>
        </w:rPr>
      </w:pPr>
      <w:r w:rsidRPr="002C4605">
        <w:rPr>
          <w:lang w:val="es-MX"/>
        </w:rPr>
        <w:t xml:space="preserve">En contraste, la expansión polinomial explícita permite observar directamente los términos generados, como variables originales, términos cuadrados e interacciones. Esta característica favorece la trazabilidad de la representación transformada y permite identificar qué términos </w:t>
      </w:r>
      <w:r w:rsidRPr="002C4605">
        <w:rPr>
          <w:lang w:val="es-MX"/>
        </w:rPr>
        <w:lastRenderedPageBreak/>
        <w:t>son conservados después del proceso de selección. Sin embargo, dicha ventaja tiene como costo el crecimiento combinatorio del número de características. Por ello, la arquitectura propuesta en esta investigación combina expansión polinomial explícita con selección evolutiva, buscando conservar términos informativos y controlar la dimensionalidad antes de aplicar el análisis discriminante.</w:t>
      </w:r>
    </w:p>
    <w:p w14:paraId="4241CAF1" w14:textId="77777777" w:rsidR="002C4605" w:rsidRPr="002C4605" w:rsidRDefault="002C4605" w:rsidP="002C4605">
      <w:pPr>
        <w:pStyle w:val="Prrafobase"/>
        <w:rPr>
          <w:lang w:val="es-MX"/>
        </w:rPr>
      </w:pPr>
      <w:r w:rsidRPr="002C4605">
        <w:rPr>
          <w:lang w:val="es-MX"/>
        </w:rPr>
        <w:t xml:space="preserve">En síntesis, los métodos </w:t>
      </w:r>
      <w:proofErr w:type="spellStart"/>
      <w:r w:rsidRPr="002C4605">
        <w:rPr>
          <w:lang w:val="es-MX"/>
        </w:rPr>
        <w:t>kernel</w:t>
      </w:r>
      <w:proofErr w:type="spellEnd"/>
      <w:r w:rsidRPr="002C4605">
        <w:rPr>
          <w:lang w:val="es-MX"/>
        </w:rPr>
        <w:t xml:space="preserve"> y las SVM proporcionan un marco de referencia relevante para el modelado no lineal. Su inclusión en este Marco Teórico permite contrastar dos estrategias distintas: la no linealidad implícita inducida por funciones </w:t>
      </w:r>
      <w:proofErr w:type="spellStart"/>
      <w:r w:rsidRPr="002C4605">
        <w:rPr>
          <w:lang w:val="es-MX"/>
        </w:rPr>
        <w:t>kernel</w:t>
      </w:r>
      <w:proofErr w:type="spellEnd"/>
      <w:r w:rsidRPr="002C4605">
        <w:rPr>
          <w:lang w:val="es-MX"/>
        </w:rPr>
        <w:t xml:space="preserve"> y la no linealidad explícita mediante expansión polinomial y selección de características. Esta diferencia resulta central para ubicar la propuesta de esta tesis frente a enfoques </w:t>
      </w:r>
      <w:proofErr w:type="spellStart"/>
      <w:r w:rsidRPr="002C4605">
        <w:rPr>
          <w:lang w:val="es-MX"/>
        </w:rPr>
        <w:t>kernel</w:t>
      </w:r>
      <w:proofErr w:type="spellEnd"/>
      <w:r w:rsidRPr="002C4605">
        <w:rPr>
          <w:lang w:val="es-MX"/>
        </w:rPr>
        <w:t xml:space="preserve"> tradicionales.</w:t>
      </w:r>
    </w:p>
    <w:p w14:paraId="31C5516E" w14:textId="77777777" w:rsidR="009C6DD1" w:rsidRPr="002C4605" w:rsidRDefault="009C6DD1" w:rsidP="009C6DD1">
      <w:pPr>
        <w:pStyle w:val="Prrafobase"/>
        <w:rPr>
          <w:lang w:val="es-MX"/>
        </w:rPr>
      </w:pPr>
    </w:p>
    <w:p w14:paraId="15501B24" w14:textId="77777777" w:rsidR="009C6DD1" w:rsidRDefault="009C6DD1" w:rsidP="009C6DD1">
      <w:pPr>
        <w:pStyle w:val="Prrafobase"/>
      </w:pPr>
    </w:p>
    <w:p w14:paraId="156AD291" w14:textId="77777777" w:rsidR="009C6DD1" w:rsidRDefault="009C6DD1" w:rsidP="009C6DD1">
      <w:pPr>
        <w:pStyle w:val="Prrafobase"/>
      </w:pPr>
    </w:p>
    <w:p w14:paraId="2E74DF23" w14:textId="77777777" w:rsidR="009C6DD1" w:rsidRDefault="009C6DD1" w:rsidP="009C6DD1">
      <w:pPr>
        <w:pStyle w:val="Prrafoconsangra"/>
      </w:pPr>
    </w:p>
    <w:p w14:paraId="70EB765A" w14:textId="77777777" w:rsidR="009C6DD1" w:rsidRDefault="009C6DD1" w:rsidP="009C6DD1">
      <w:pPr>
        <w:pStyle w:val="Prrafoconsangra"/>
      </w:pPr>
    </w:p>
    <w:p w14:paraId="5C8896D9" w14:textId="77777777" w:rsidR="009C6DD1" w:rsidRDefault="009C6DD1" w:rsidP="009C6DD1">
      <w:pPr>
        <w:pStyle w:val="Prrafoconsangra"/>
      </w:pPr>
    </w:p>
    <w:p w14:paraId="586CC156" w14:textId="77777777" w:rsidR="009C6DD1" w:rsidRDefault="009C6DD1" w:rsidP="009C6DD1">
      <w:pPr>
        <w:pStyle w:val="Prrafoconsangra"/>
      </w:pPr>
    </w:p>
    <w:p w14:paraId="5E261016" w14:textId="77777777" w:rsidR="009C6DD1" w:rsidRPr="009C6DD1" w:rsidRDefault="009C6DD1" w:rsidP="009C6DD1">
      <w:pPr>
        <w:pStyle w:val="Prrafoconsangra"/>
      </w:pPr>
    </w:p>
    <w:p w14:paraId="53CC5325" w14:textId="77777777" w:rsidR="004E195A" w:rsidRDefault="004E195A" w:rsidP="004E195A">
      <w:pPr>
        <w:pStyle w:val="Ttulo1"/>
      </w:pPr>
      <w:bookmarkStart w:id="9" w:name="referencias"/>
      <w:r>
        <w:t>Referencias</w:t>
      </w:r>
    </w:p>
    <w:p w14:paraId="609E86F5" w14:textId="77777777" w:rsidR="004E195A" w:rsidRDefault="004E195A" w:rsidP="004E195A">
      <w:pPr>
        <w:pStyle w:val="Bibliografa"/>
      </w:pPr>
      <w:bookmarkStart w:id="10" w:name="ref-belhumeur2002eigenfaces"/>
      <w:bookmarkStart w:id="11" w:name="refs"/>
      <w:r w:rsidRPr="004E195A">
        <w:rPr>
          <w:lang w:val="es-MX"/>
        </w:rPr>
        <w:t xml:space="preserve">Belhumeur, P. N., Hespanha, J. P., &amp; Kriegman, D. J. (2002). </w:t>
      </w:r>
      <w:r>
        <w:t xml:space="preserve">Eigenfaces vs. </w:t>
      </w:r>
      <w:proofErr w:type="spellStart"/>
      <w:r>
        <w:t>Fisherfaces</w:t>
      </w:r>
      <w:proofErr w:type="spellEnd"/>
      <w:r>
        <w:t xml:space="preserve">: Recognition using class specific linear projection. </w:t>
      </w:r>
      <w:r>
        <w:rPr>
          <w:i/>
          <w:iCs/>
        </w:rPr>
        <w:t>IEEE Transactions on Pattern Analysis and Machine Intelligence</w:t>
      </w:r>
      <w:r>
        <w:t xml:space="preserve">, </w:t>
      </w:r>
      <w:r>
        <w:rPr>
          <w:i/>
          <w:iCs/>
        </w:rPr>
        <w:t>19</w:t>
      </w:r>
      <w:r>
        <w:t>(7), 711–720.</w:t>
      </w:r>
    </w:p>
    <w:p w14:paraId="3CAC6103" w14:textId="77777777" w:rsidR="004E195A" w:rsidRDefault="004E195A" w:rsidP="004E195A">
      <w:pPr>
        <w:pStyle w:val="Bibliografa"/>
      </w:pPr>
      <w:bookmarkStart w:id="12" w:name="ref-bishop2006pattern"/>
      <w:bookmarkEnd w:id="10"/>
      <w:r>
        <w:t xml:space="preserve">Bishop, C. M., &amp; </w:t>
      </w:r>
      <w:proofErr w:type="spellStart"/>
      <w:r>
        <w:t>Nasrabadi</w:t>
      </w:r>
      <w:proofErr w:type="spellEnd"/>
      <w:r>
        <w:t xml:space="preserve">, N. M. (2006). </w:t>
      </w:r>
      <w:r>
        <w:rPr>
          <w:i/>
          <w:iCs/>
        </w:rPr>
        <w:t>Pattern recognition and machine learning</w:t>
      </w:r>
      <w:r>
        <w:t xml:space="preserve"> (Vol. 4). Springer.</w:t>
      </w:r>
    </w:p>
    <w:p w14:paraId="3C127B2B" w14:textId="77777777" w:rsidR="004E195A" w:rsidRDefault="004E195A" w:rsidP="004E195A">
      <w:pPr>
        <w:pStyle w:val="Bibliografa"/>
      </w:pPr>
      <w:bookmarkStart w:id="13" w:name="ref-chandrashekar2014survey"/>
      <w:bookmarkEnd w:id="12"/>
      <w:r>
        <w:t xml:space="preserve">Chandrashekar, G., &amp; Sahin, F. (2014). A survey on feature selection methods. </w:t>
      </w:r>
      <w:r>
        <w:rPr>
          <w:i/>
          <w:iCs/>
        </w:rPr>
        <w:t>Computers &amp; Electrical Engineering</w:t>
      </w:r>
      <w:r>
        <w:t xml:space="preserve">, </w:t>
      </w:r>
      <w:r>
        <w:rPr>
          <w:i/>
          <w:iCs/>
        </w:rPr>
        <w:t>40</w:t>
      </w:r>
      <w:r>
        <w:t>(1), 16–28.</w:t>
      </w:r>
    </w:p>
    <w:p w14:paraId="2C0BFA9D" w14:textId="77777777" w:rsidR="004E195A" w:rsidRDefault="004E195A" w:rsidP="004E195A">
      <w:pPr>
        <w:pStyle w:val="Bibliografa"/>
      </w:pPr>
      <w:bookmarkStart w:id="14" w:name="ref-cover1965"/>
      <w:bookmarkEnd w:id="13"/>
      <w:r>
        <w:t xml:space="preserve">Cover, T. M. (1965). Geometrical and statistical properties of systems of linear inequalities with applications in pattern recognition. </w:t>
      </w:r>
      <w:r>
        <w:rPr>
          <w:i/>
          <w:iCs/>
        </w:rPr>
        <w:t>IEEE Transactions on Electronic Computers</w:t>
      </w:r>
      <w:r>
        <w:t>, (3), 326–334.</w:t>
      </w:r>
    </w:p>
    <w:p w14:paraId="629A1247" w14:textId="77777777" w:rsidR="004E195A" w:rsidRDefault="004E195A" w:rsidP="004E195A">
      <w:pPr>
        <w:pStyle w:val="Bibliografa"/>
      </w:pPr>
      <w:bookmarkStart w:id="15" w:name="ref-duda2000pattern"/>
      <w:bookmarkEnd w:id="14"/>
      <w:r>
        <w:t xml:space="preserve">Duda, R., Hart, P., Stork, D., &amp; Ionescu, A. (2000). </w:t>
      </w:r>
      <w:r>
        <w:rPr>
          <w:i/>
          <w:iCs/>
        </w:rPr>
        <w:t>Pattern classification</w:t>
      </w:r>
      <w:r>
        <w:t>. Wiley-Interscience Publication.</w:t>
      </w:r>
    </w:p>
    <w:p w14:paraId="4BBC254E" w14:textId="77777777" w:rsidR="004E195A" w:rsidRDefault="004E195A" w:rsidP="004E195A">
      <w:pPr>
        <w:pStyle w:val="Bibliografa"/>
      </w:pPr>
      <w:bookmarkStart w:id="16" w:name="ref-fisher1936use"/>
      <w:bookmarkEnd w:id="15"/>
      <w:r>
        <w:lastRenderedPageBreak/>
        <w:t xml:space="preserve">Fisher, R. A. (1936). The use of multiple measurements in taxonomic problems. </w:t>
      </w:r>
      <w:r>
        <w:rPr>
          <w:i/>
          <w:iCs/>
        </w:rPr>
        <w:t>Annals of Eugenics</w:t>
      </w:r>
      <w:r>
        <w:t xml:space="preserve">, </w:t>
      </w:r>
      <w:r>
        <w:rPr>
          <w:i/>
          <w:iCs/>
        </w:rPr>
        <w:t>7</w:t>
      </w:r>
      <w:r>
        <w:t>(2), 179–188.</w:t>
      </w:r>
    </w:p>
    <w:p w14:paraId="0BEFF050" w14:textId="77777777" w:rsidR="004E195A" w:rsidRDefault="004E195A" w:rsidP="004E195A">
      <w:pPr>
        <w:pStyle w:val="Bibliografa"/>
      </w:pPr>
      <w:bookmarkStart w:id="17" w:name="ref-friedman1989regularized"/>
      <w:bookmarkEnd w:id="16"/>
      <w:r>
        <w:t xml:space="preserve">Friedman, J. H. (1989). Regularized discriminant analysis. </w:t>
      </w:r>
      <w:r>
        <w:rPr>
          <w:i/>
          <w:iCs/>
        </w:rPr>
        <w:t>Journal of the American Statistical Association</w:t>
      </w:r>
      <w:r>
        <w:t xml:space="preserve">, </w:t>
      </w:r>
      <w:r>
        <w:rPr>
          <w:i/>
          <w:iCs/>
        </w:rPr>
        <w:t>84</w:t>
      </w:r>
      <w:r>
        <w:t>(405), 165–175.</w:t>
      </w:r>
    </w:p>
    <w:p w14:paraId="0EE2F1C6" w14:textId="77777777" w:rsidR="004E195A" w:rsidRDefault="004E195A" w:rsidP="004E195A">
      <w:pPr>
        <w:pStyle w:val="Bibliografa"/>
      </w:pPr>
      <w:bookmarkStart w:id="18" w:name="ref-fukunaga2013introduction"/>
      <w:bookmarkEnd w:id="17"/>
      <w:r>
        <w:t xml:space="preserve">Fukunaga, K. (2013). </w:t>
      </w:r>
      <w:r>
        <w:rPr>
          <w:i/>
          <w:iCs/>
        </w:rPr>
        <w:t>Introduction to statistical pattern recognition</w:t>
      </w:r>
      <w:r>
        <w:t>. Elsevier.</w:t>
      </w:r>
    </w:p>
    <w:p w14:paraId="33620210" w14:textId="77777777" w:rsidR="004E195A" w:rsidRDefault="004E195A" w:rsidP="004E195A">
      <w:pPr>
        <w:pStyle w:val="Bibliografa"/>
      </w:pPr>
      <w:bookmarkStart w:id="19" w:name="ref-gao2006direct"/>
      <w:bookmarkEnd w:id="18"/>
      <w:r>
        <w:t xml:space="preserve">Gao, H., &amp; Davis, J. W. (2006). Why </w:t>
      </w:r>
      <w:proofErr w:type="gramStart"/>
      <w:r>
        <w:t>direct LDA is</w:t>
      </w:r>
      <w:proofErr w:type="gramEnd"/>
      <w:r>
        <w:t xml:space="preserve"> not equivalent to LDA. </w:t>
      </w:r>
      <w:r>
        <w:rPr>
          <w:i/>
          <w:iCs/>
        </w:rPr>
        <w:t>Pattern Recognition</w:t>
      </w:r>
      <w:r>
        <w:t xml:space="preserve">, </w:t>
      </w:r>
      <w:r>
        <w:rPr>
          <w:i/>
          <w:iCs/>
        </w:rPr>
        <w:t>39</w:t>
      </w:r>
      <w:r>
        <w:t>(5), 1002–1006.</w:t>
      </w:r>
    </w:p>
    <w:p w14:paraId="51F5DE14" w14:textId="77777777" w:rsidR="004E195A" w:rsidRDefault="004E195A" w:rsidP="004E195A">
      <w:pPr>
        <w:pStyle w:val="Bibliografa"/>
      </w:pPr>
      <w:bookmarkStart w:id="20" w:name="ref-golub2013matrix"/>
      <w:bookmarkEnd w:id="19"/>
      <w:r>
        <w:t xml:space="preserve">Golub, G. H., &amp; Van Loan, C. F. (2013). </w:t>
      </w:r>
      <w:r>
        <w:rPr>
          <w:i/>
          <w:iCs/>
        </w:rPr>
        <w:t>Matrix computations</w:t>
      </w:r>
      <w:r>
        <w:t>. JHU press.</w:t>
      </w:r>
    </w:p>
    <w:p w14:paraId="60557CEE" w14:textId="77777777" w:rsidR="004E195A" w:rsidRDefault="004E195A" w:rsidP="004E195A">
      <w:pPr>
        <w:pStyle w:val="Bibliografa"/>
      </w:pPr>
      <w:bookmarkStart w:id="21" w:name="ref-guyon2003introduction"/>
      <w:bookmarkEnd w:id="20"/>
      <w:r>
        <w:t xml:space="preserve">Guyon, I., &amp; Elisseeff, A. (2003). An introduction to variable and feature selection. </w:t>
      </w:r>
      <w:r>
        <w:rPr>
          <w:i/>
          <w:iCs/>
        </w:rPr>
        <w:t>Journal of Machine Learning Research</w:t>
      </w:r>
      <w:r>
        <w:t xml:space="preserve">, </w:t>
      </w:r>
      <w:r>
        <w:rPr>
          <w:i/>
          <w:iCs/>
        </w:rPr>
        <w:t>3</w:t>
      </w:r>
      <w:r>
        <w:t>(Mar), 1157–1182.</w:t>
      </w:r>
    </w:p>
    <w:p w14:paraId="4AA6A43B" w14:textId="77777777" w:rsidR="004E195A" w:rsidRDefault="004E195A" w:rsidP="004E195A">
      <w:pPr>
        <w:pStyle w:val="Bibliografa"/>
      </w:pPr>
      <w:bookmarkStart w:id="22" w:name="ref-hastie2009elements"/>
      <w:bookmarkEnd w:id="21"/>
      <w:r>
        <w:t xml:space="preserve">Hastie, T., </w:t>
      </w:r>
      <w:proofErr w:type="spellStart"/>
      <w:r>
        <w:t>Tibshirani</w:t>
      </w:r>
      <w:proofErr w:type="spellEnd"/>
      <w:r>
        <w:t xml:space="preserve">, R., Friedman, J., et al. (2009). </w:t>
      </w:r>
      <w:r>
        <w:rPr>
          <w:i/>
          <w:iCs/>
        </w:rPr>
        <w:t>The elements of statistical learning</w:t>
      </w:r>
      <w:r>
        <w:t>. Springer series in statistics New-York.</w:t>
      </w:r>
    </w:p>
    <w:p w14:paraId="75F7493E" w14:textId="77777777" w:rsidR="004E195A" w:rsidRDefault="004E195A" w:rsidP="004E195A">
      <w:pPr>
        <w:pStyle w:val="Bibliografa"/>
      </w:pPr>
      <w:bookmarkStart w:id="23" w:name="ref-jain2000statistical"/>
      <w:bookmarkEnd w:id="22"/>
      <w:r>
        <w:t xml:space="preserve">Jain, A. K., Duin, R. P. W., &amp; Mao, J. (2000). Statistical pattern recognition: A review. </w:t>
      </w:r>
      <w:r>
        <w:rPr>
          <w:i/>
          <w:iCs/>
        </w:rPr>
        <w:t>IEEE Transactions on Pattern Analysis and Machine Intelligence</w:t>
      </w:r>
      <w:r>
        <w:t xml:space="preserve">, </w:t>
      </w:r>
      <w:r>
        <w:rPr>
          <w:i/>
          <w:iCs/>
        </w:rPr>
        <w:t>22</w:t>
      </w:r>
      <w:r>
        <w:t>(1), 4–37.</w:t>
      </w:r>
    </w:p>
    <w:p w14:paraId="2AC1B940" w14:textId="77777777" w:rsidR="004E195A" w:rsidRDefault="004E195A" w:rsidP="004E195A">
      <w:pPr>
        <w:pStyle w:val="Bibliografa"/>
      </w:pPr>
      <w:bookmarkStart w:id="24" w:name="ref-kanade2016"/>
      <w:bookmarkEnd w:id="23"/>
      <w:r>
        <w:t xml:space="preserve">Kanade, V. (2016). </w:t>
      </w:r>
      <w:r>
        <w:rPr>
          <w:i/>
          <w:iCs/>
        </w:rPr>
        <w:t>Machine Learning – Michaelmas Term 2016: Lectures 4, 5: Basis Expansion, Regularization, Validation</w:t>
      </w:r>
      <w:r>
        <w:t xml:space="preserve">. Lecture notes, Department of Computer Science, University of Oxford. </w:t>
      </w:r>
      <w:hyperlink r:id="rId8">
        <w:r>
          <w:rPr>
            <w:rStyle w:val="Hipervnculo"/>
          </w:rPr>
          <w:t>https://www.cs.ox.ac.uk/people/varun.kanade/teaching/ML-MT2016/lectures/lecture04.pdf</w:t>
        </w:r>
      </w:hyperlink>
    </w:p>
    <w:p w14:paraId="64EC8B1D" w14:textId="77777777" w:rsidR="004E195A" w:rsidRDefault="004E195A" w:rsidP="004E195A">
      <w:pPr>
        <w:pStyle w:val="Bibliografa"/>
      </w:pPr>
      <w:bookmarkStart w:id="25" w:name="ref-kohavi1997wrappers"/>
      <w:bookmarkEnd w:id="24"/>
      <w:proofErr w:type="spellStart"/>
      <w:r>
        <w:t>Kohavi</w:t>
      </w:r>
      <w:proofErr w:type="spellEnd"/>
      <w:r>
        <w:t xml:space="preserve">, R., &amp; John, G. H. (1997). Wrappers for feature subset selection. </w:t>
      </w:r>
      <w:r>
        <w:rPr>
          <w:i/>
          <w:iCs/>
        </w:rPr>
        <w:t>Artificial Intelligence</w:t>
      </w:r>
      <w:r>
        <w:t xml:space="preserve">, </w:t>
      </w:r>
      <w:r>
        <w:rPr>
          <w:i/>
          <w:iCs/>
        </w:rPr>
        <w:t>97</w:t>
      </w:r>
      <w:r>
        <w:t>(1-2), 273–324.</w:t>
      </w:r>
    </w:p>
    <w:p w14:paraId="61A1C095" w14:textId="77777777" w:rsidR="004E195A" w:rsidRDefault="004E195A" w:rsidP="004E195A">
      <w:pPr>
        <w:pStyle w:val="Bibliografa"/>
      </w:pPr>
      <w:bookmarkStart w:id="26" w:name="ref-krzanowski1995discriminant"/>
      <w:bookmarkEnd w:id="25"/>
      <w:r>
        <w:t xml:space="preserve">Krzanowski, W. J., Jonathan, P., McCarthy, W., &amp; Thomas, M. R. (1995). Discriminant analysis with singular covariance matrices: Methods and applications to spectroscopic data. </w:t>
      </w:r>
      <w:r>
        <w:rPr>
          <w:i/>
          <w:iCs/>
        </w:rPr>
        <w:t>Journal of the Royal Statistical Society Series C: Applied Statistics</w:t>
      </w:r>
      <w:r>
        <w:t xml:space="preserve">, </w:t>
      </w:r>
      <w:r>
        <w:rPr>
          <w:i/>
          <w:iCs/>
        </w:rPr>
        <w:t>44</w:t>
      </w:r>
      <w:r>
        <w:t>(1), 101–115.</w:t>
      </w:r>
    </w:p>
    <w:p w14:paraId="1566074C" w14:textId="77777777" w:rsidR="004E195A" w:rsidRDefault="004E195A" w:rsidP="004E195A">
      <w:pPr>
        <w:pStyle w:val="Bibliografa"/>
      </w:pPr>
      <w:bookmarkStart w:id="27" w:name="ref-martinez2001pca"/>
      <w:bookmarkEnd w:id="26"/>
      <w:r>
        <w:t xml:space="preserve">Martinez, A. M., &amp; Kak, A. C. (2001). </w:t>
      </w:r>
      <w:proofErr w:type="spellStart"/>
      <w:r>
        <w:t>Pca</w:t>
      </w:r>
      <w:proofErr w:type="spellEnd"/>
      <w:r>
        <w:t xml:space="preserve"> versus </w:t>
      </w:r>
      <w:proofErr w:type="spellStart"/>
      <w:r>
        <w:t>lda</w:t>
      </w:r>
      <w:proofErr w:type="spellEnd"/>
      <w:r>
        <w:t xml:space="preserve">. </w:t>
      </w:r>
      <w:r>
        <w:rPr>
          <w:i/>
          <w:iCs/>
        </w:rPr>
        <w:t>IEEE Transactions on Pattern Analysis and Machine Intelligence</w:t>
      </w:r>
      <w:r>
        <w:t xml:space="preserve">, </w:t>
      </w:r>
      <w:r>
        <w:rPr>
          <w:i/>
          <w:iCs/>
        </w:rPr>
        <w:t>23</w:t>
      </w:r>
      <w:r>
        <w:t>(2), 228–233.</w:t>
      </w:r>
    </w:p>
    <w:p w14:paraId="0632A90F" w14:textId="77777777" w:rsidR="004E195A" w:rsidRDefault="004E195A" w:rsidP="004E195A">
      <w:pPr>
        <w:pStyle w:val="Bibliografa"/>
      </w:pPr>
      <w:bookmarkStart w:id="28" w:name="ref-mclachlan2004discriminant"/>
      <w:bookmarkEnd w:id="27"/>
      <w:r>
        <w:t xml:space="preserve">McLachlan, G. J. (2004). </w:t>
      </w:r>
      <w:r>
        <w:rPr>
          <w:i/>
          <w:iCs/>
        </w:rPr>
        <w:t>Discriminant analysis and statistical pattern recognition</w:t>
      </w:r>
      <w:r>
        <w:t>. John Wiley &amp; Sons.</w:t>
      </w:r>
    </w:p>
    <w:p w14:paraId="608C4BA3" w14:textId="77777777" w:rsidR="004E195A" w:rsidRDefault="004E195A" w:rsidP="004E195A">
      <w:pPr>
        <w:pStyle w:val="Bibliografa"/>
      </w:pPr>
      <w:bookmarkStart w:id="29" w:name="ref-medina2025genetic"/>
      <w:bookmarkEnd w:id="28"/>
      <w:r>
        <w:t xml:space="preserve">Medina, V. D. G., Mesa, H. G. A., Lobato, A. L. L., &amp; Montes, E. M. (2025). Genetic projective discriminant analysis. </w:t>
      </w:r>
      <w:r>
        <w:rPr>
          <w:i/>
          <w:iCs/>
        </w:rPr>
        <w:t>2025 IEEE Latin American Conference on Computational Intelligence (LA-CCI)</w:t>
      </w:r>
      <w:r>
        <w:t>, 1–6.</w:t>
      </w:r>
    </w:p>
    <w:p w14:paraId="013E85FC" w14:textId="77777777" w:rsidR="004E195A" w:rsidRDefault="004E195A" w:rsidP="004E195A">
      <w:pPr>
        <w:pStyle w:val="Bibliografa"/>
      </w:pPr>
      <w:bookmarkStart w:id="30" w:name="ref-mika1999fisher"/>
      <w:bookmarkEnd w:id="29"/>
      <w:r>
        <w:t xml:space="preserve">Mika, S., Ratsch, G., Weston, J., </w:t>
      </w:r>
      <w:proofErr w:type="spellStart"/>
      <w:r>
        <w:t>Scholkopf</w:t>
      </w:r>
      <w:proofErr w:type="spellEnd"/>
      <w:r>
        <w:t xml:space="preserve">, B., &amp; Mullers, K.-R. (1999). Fisher discriminant analysis with kernels. </w:t>
      </w:r>
      <w:r>
        <w:rPr>
          <w:i/>
          <w:iCs/>
        </w:rPr>
        <w:t xml:space="preserve">Neural Networks for Signal Processing IX: </w:t>
      </w:r>
      <w:r>
        <w:rPr>
          <w:i/>
          <w:iCs/>
        </w:rPr>
        <w:lastRenderedPageBreak/>
        <w:t>Proceedings of the 1999 IEEE Signal Processing Society Workshop (Cat. No. 98th8468)</w:t>
      </w:r>
      <w:r>
        <w:t>, 41–48.</w:t>
      </w:r>
    </w:p>
    <w:p w14:paraId="56A6B8E3" w14:textId="77777777" w:rsidR="004E195A" w:rsidRDefault="004E195A" w:rsidP="004E195A">
      <w:pPr>
        <w:pStyle w:val="Bibliografa"/>
      </w:pPr>
      <w:bookmarkStart w:id="31" w:name="ref-montgomery2021introduction"/>
      <w:bookmarkEnd w:id="30"/>
      <w:r>
        <w:t xml:space="preserve">Montgomery, D. C., Peck, E. A., &amp; Vining, G. G. (2021). </w:t>
      </w:r>
      <w:r>
        <w:rPr>
          <w:i/>
          <w:iCs/>
        </w:rPr>
        <w:t>Introduction to linear regression analysis</w:t>
      </w:r>
      <w:r>
        <w:t>. John Wiley &amp; Sons.</w:t>
      </w:r>
    </w:p>
    <w:p w14:paraId="550FB9FA" w14:textId="77777777" w:rsidR="004E195A" w:rsidRDefault="004E195A" w:rsidP="004E195A">
      <w:pPr>
        <w:pStyle w:val="Bibliografa"/>
      </w:pPr>
      <w:bookmarkStart w:id="32" w:name="ref-raudys1991small"/>
      <w:bookmarkEnd w:id="31"/>
      <w:r>
        <w:t xml:space="preserve">Raudys, S. J., Jain, A. K., et al. (1991). Small sample size effects in statistical pattern recognition: Recommendations for practitioners. </w:t>
      </w:r>
      <w:r>
        <w:rPr>
          <w:i/>
          <w:iCs/>
        </w:rPr>
        <w:t>IEEE Transactions on Pattern Analysis and Machine Intelligence</w:t>
      </w:r>
      <w:r>
        <w:t xml:space="preserve">, </w:t>
      </w:r>
      <w:r>
        <w:rPr>
          <w:i/>
          <w:iCs/>
        </w:rPr>
        <w:t>13</w:t>
      </w:r>
      <w:r>
        <w:t>(3), 252–264.</w:t>
      </w:r>
    </w:p>
    <w:p w14:paraId="575E8522" w14:textId="77777777" w:rsidR="004E195A" w:rsidRDefault="004E195A" w:rsidP="004E195A">
      <w:pPr>
        <w:pStyle w:val="Bibliografa"/>
      </w:pPr>
      <w:bookmarkStart w:id="33" w:name="ref-sorzano2014"/>
      <w:bookmarkEnd w:id="32"/>
      <w:r>
        <w:t xml:space="preserve">Sorzano, C. O. S., Vargas, J., &amp; Montano, A. P. (2014). A survey of dimensionality reduction techniques. </w:t>
      </w:r>
      <w:proofErr w:type="spellStart"/>
      <w:r>
        <w:rPr>
          <w:i/>
          <w:iCs/>
        </w:rPr>
        <w:t>arXiv</w:t>
      </w:r>
      <w:proofErr w:type="spellEnd"/>
      <w:r>
        <w:rPr>
          <w:i/>
          <w:iCs/>
        </w:rPr>
        <w:t xml:space="preserve"> Preprint arXiv:1403.2877</w:t>
      </w:r>
      <w:r>
        <w:t>.</w:t>
      </w:r>
    </w:p>
    <w:p w14:paraId="602656F8" w14:textId="77777777" w:rsidR="004E195A" w:rsidRDefault="004E195A" w:rsidP="004E195A">
      <w:pPr>
        <w:pStyle w:val="Bibliografa"/>
      </w:pPr>
      <w:bookmarkStart w:id="34" w:name="ref-tang2014feature"/>
      <w:bookmarkEnd w:id="33"/>
      <w:r>
        <w:t xml:space="preserve">Tang, J., </w:t>
      </w:r>
      <w:proofErr w:type="spellStart"/>
      <w:r>
        <w:t>Alelyani</w:t>
      </w:r>
      <w:proofErr w:type="spellEnd"/>
      <w:r>
        <w:t xml:space="preserve">, S., &amp; Liu, H. (2014). Feature selection for classification: A review. </w:t>
      </w:r>
      <w:r>
        <w:rPr>
          <w:i/>
          <w:iCs/>
        </w:rPr>
        <w:t>Data Classification: Algorithms and Applications</w:t>
      </w:r>
      <w:r>
        <w:t>, 37.</w:t>
      </w:r>
    </w:p>
    <w:p w14:paraId="39E35E55" w14:textId="77777777" w:rsidR="004E195A" w:rsidRDefault="004E195A" w:rsidP="004E195A">
      <w:pPr>
        <w:pStyle w:val="Bibliografa"/>
      </w:pPr>
      <w:bookmarkStart w:id="35" w:name="ref-venables2013modern"/>
      <w:bookmarkEnd w:id="34"/>
      <w:r>
        <w:t xml:space="preserve">Venables, W. N., &amp; Ripley, B. D. (2013). </w:t>
      </w:r>
      <w:r>
        <w:rPr>
          <w:i/>
          <w:iCs/>
        </w:rPr>
        <w:t>Modern applied statistics with s</w:t>
      </w:r>
      <w:r>
        <w:t>. Springer Science &amp; Business Media.</w:t>
      </w:r>
    </w:p>
    <w:bookmarkEnd w:id="9"/>
    <w:bookmarkEnd w:id="11"/>
    <w:bookmarkEnd w:id="35"/>
    <w:p w14:paraId="3ABF311F" w14:textId="77777777" w:rsidR="004E195A" w:rsidRPr="004E195A" w:rsidRDefault="004E195A" w:rsidP="004E195A">
      <w:pPr>
        <w:rPr>
          <w:lang w:val="en-US"/>
        </w:rPr>
      </w:pPr>
    </w:p>
    <w:sectPr w:rsidR="004E195A" w:rsidRPr="004E19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0112"/>
    <w:multiLevelType w:val="multilevel"/>
    <w:tmpl w:val="74F445E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292485B"/>
    <w:multiLevelType w:val="hybridMultilevel"/>
    <w:tmpl w:val="F8628A84"/>
    <w:lvl w:ilvl="0" w:tplc="C7C0A478">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1101994658">
    <w:abstractNumId w:val="0"/>
  </w:num>
  <w:num w:numId="2" w16cid:durableId="59179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2"/>
    <w:rsid w:val="00042A80"/>
    <w:rsid w:val="000B5EBD"/>
    <w:rsid w:val="00176024"/>
    <w:rsid w:val="001C2629"/>
    <w:rsid w:val="001D3760"/>
    <w:rsid w:val="00232D3E"/>
    <w:rsid w:val="0025285D"/>
    <w:rsid w:val="00260554"/>
    <w:rsid w:val="002C4605"/>
    <w:rsid w:val="002E281B"/>
    <w:rsid w:val="003428CF"/>
    <w:rsid w:val="00350BF1"/>
    <w:rsid w:val="00401169"/>
    <w:rsid w:val="004C6D34"/>
    <w:rsid w:val="004E195A"/>
    <w:rsid w:val="004E6F87"/>
    <w:rsid w:val="005452D5"/>
    <w:rsid w:val="005A4B7C"/>
    <w:rsid w:val="005B33F5"/>
    <w:rsid w:val="005E3E7A"/>
    <w:rsid w:val="005F7477"/>
    <w:rsid w:val="00601CD3"/>
    <w:rsid w:val="00701E07"/>
    <w:rsid w:val="00761A31"/>
    <w:rsid w:val="00803324"/>
    <w:rsid w:val="00891B1C"/>
    <w:rsid w:val="009C6DD1"/>
    <w:rsid w:val="009F7CDB"/>
    <w:rsid w:val="00A96505"/>
    <w:rsid w:val="00BE438A"/>
    <w:rsid w:val="00BE59DB"/>
    <w:rsid w:val="00C3466C"/>
    <w:rsid w:val="00C35B92"/>
    <w:rsid w:val="00C40742"/>
    <w:rsid w:val="00C517F4"/>
    <w:rsid w:val="00C939AF"/>
    <w:rsid w:val="00CD28D4"/>
    <w:rsid w:val="00D03ECD"/>
    <w:rsid w:val="00DB2E3C"/>
    <w:rsid w:val="00DC6F5B"/>
    <w:rsid w:val="00E02EE2"/>
    <w:rsid w:val="00E242B7"/>
    <w:rsid w:val="00E338A3"/>
    <w:rsid w:val="00E651E6"/>
    <w:rsid w:val="00F13CB9"/>
    <w:rsid w:val="00F7048C"/>
    <w:rsid w:val="00FE00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639"/>
  <w15:chartTrackingRefBased/>
  <w15:docId w15:val="{1D4A1224-C1AD-47CC-B9A4-362F1C0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E0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2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02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02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EE2"/>
    <w:rPr>
      <w:rFonts w:eastAsiaTheme="majorEastAsia" w:cstheme="majorBidi"/>
      <w:color w:val="272727" w:themeColor="text1" w:themeTint="D8"/>
    </w:rPr>
  </w:style>
  <w:style w:type="paragraph" w:styleId="Ttulo">
    <w:name w:val="Title"/>
    <w:basedOn w:val="Normal"/>
    <w:next w:val="Normal"/>
    <w:link w:val="TtuloCar"/>
    <w:uiPriority w:val="10"/>
    <w:qFormat/>
    <w:rsid w:val="00E0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EE2"/>
    <w:pPr>
      <w:spacing w:before="160"/>
      <w:jc w:val="center"/>
    </w:pPr>
    <w:rPr>
      <w:i/>
      <w:iCs/>
      <w:color w:val="404040" w:themeColor="text1" w:themeTint="BF"/>
    </w:rPr>
  </w:style>
  <w:style w:type="character" w:customStyle="1" w:styleId="CitaCar">
    <w:name w:val="Cita Car"/>
    <w:basedOn w:val="Fuentedeprrafopredeter"/>
    <w:link w:val="Cita"/>
    <w:uiPriority w:val="29"/>
    <w:rsid w:val="00E02EE2"/>
    <w:rPr>
      <w:i/>
      <w:iCs/>
      <w:color w:val="404040" w:themeColor="text1" w:themeTint="BF"/>
    </w:rPr>
  </w:style>
  <w:style w:type="paragraph" w:styleId="Prrafodelista">
    <w:name w:val="List Paragraph"/>
    <w:basedOn w:val="Normal"/>
    <w:uiPriority w:val="34"/>
    <w:qFormat/>
    <w:rsid w:val="00E02EE2"/>
    <w:pPr>
      <w:ind w:left="720"/>
      <w:contextualSpacing/>
    </w:pPr>
  </w:style>
  <w:style w:type="character" w:styleId="nfasisintenso">
    <w:name w:val="Intense Emphasis"/>
    <w:basedOn w:val="Fuentedeprrafopredeter"/>
    <w:uiPriority w:val="21"/>
    <w:qFormat/>
    <w:rsid w:val="00E02EE2"/>
    <w:rPr>
      <w:i/>
      <w:iCs/>
      <w:color w:val="0F4761" w:themeColor="accent1" w:themeShade="BF"/>
    </w:rPr>
  </w:style>
  <w:style w:type="paragraph" w:styleId="Citadestacada">
    <w:name w:val="Intense Quote"/>
    <w:basedOn w:val="Normal"/>
    <w:next w:val="Normal"/>
    <w:link w:val="CitadestacadaCar"/>
    <w:uiPriority w:val="30"/>
    <w:qFormat/>
    <w:rsid w:val="00E0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EE2"/>
    <w:rPr>
      <w:i/>
      <w:iCs/>
      <w:color w:val="0F4761" w:themeColor="accent1" w:themeShade="BF"/>
    </w:rPr>
  </w:style>
  <w:style w:type="character" w:styleId="Referenciaintensa">
    <w:name w:val="Intense Reference"/>
    <w:basedOn w:val="Fuentedeprrafopredeter"/>
    <w:uiPriority w:val="32"/>
    <w:qFormat/>
    <w:rsid w:val="00E02EE2"/>
    <w:rPr>
      <w:b/>
      <w:bCs/>
      <w:smallCaps/>
      <w:color w:val="0F4761" w:themeColor="accent1" w:themeShade="BF"/>
      <w:spacing w:val="5"/>
    </w:rPr>
  </w:style>
  <w:style w:type="paragraph" w:customStyle="1" w:styleId="Prrafobase">
    <w:name w:val="Párrafo base"/>
    <w:basedOn w:val="Normal"/>
    <w:next w:val="Prrafoconsangra"/>
    <w:qFormat/>
    <w:rsid w:val="005452D5"/>
    <w:pPr>
      <w:autoSpaceDE w:val="0"/>
      <w:autoSpaceDN w:val="0"/>
      <w:adjustRightInd w:val="0"/>
      <w:spacing w:after="0" w:line="360" w:lineRule="auto"/>
      <w:jc w:val="both"/>
      <w:textAlignment w:val="center"/>
    </w:pPr>
    <w:rPr>
      <w:rFonts w:ascii="Times New Roman" w:eastAsiaTheme="minorEastAsia" w:hAnsi="Times New Roman" w:cs="Times New Roman"/>
      <w:color w:val="000000"/>
      <w:kern w:val="0"/>
      <w:szCs w:val="26"/>
      <w:lang w:val="es-ES_tradnl" w:eastAsia="es-MX"/>
      <w14:ligatures w14:val="none"/>
    </w:rPr>
  </w:style>
  <w:style w:type="paragraph" w:customStyle="1" w:styleId="Prrafoconsangra">
    <w:name w:val="Párrafo con sangría"/>
    <w:basedOn w:val="Prrafobase"/>
    <w:qFormat/>
    <w:rsid w:val="005452D5"/>
    <w:pPr>
      <w:ind w:firstLine="709"/>
    </w:pPr>
  </w:style>
  <w:style w:type="character" w:styleId="Textodelmarcadordeposicin">
    <w:name w:val="Placeholder Text"/>
    <w:basedOn w:val="Fuentedeprrafopredeter"/>
    <w:uiPriority w:val="99"/>
    <w:semiHidden/>
    <w:rsid w:val="00BE438A"/>
    <w:rPr>
      <w:color w:val="666666"/>
    </w:rPr>
  </w:style>
  <w:style w:type="paragraph" w:customStyle="1" w:styleId="FirstParagraph">
    <w:name w:val="First Paragraph"/>
    <w:basedOn w:val="Textoindependiente"/>
    <w:next w:val="Textoindependiente"/>
    <w:qFormat/>
    <w:rsid w:val="00042A80"/>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042A80"/>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042A80"/>
    <w:rPr>
      <w:kern w:val="0"/>
      <w:sz w:val="22"/>
      <w:szCs w:val="22"/>
      <w14:ligatures w14:val="none"/>
    </w:rPr>
  </w:style>
  <w:style w:type="character" w:styleId="Fuerte">
    <w:name w:val="Strong"/>
    <w:basedOn w:val="Fuentedeprrafopredeter"/>
    <w:uiPriority w:val="22"/>
    <w:qFormat/>
    <w:rsid w:val="00042A80"/>
    <w:rPr>
      <w:b/>
      <w:bCs/>
    </w:rPr>
  </w:style>
  <w:style w:type="paragraph" w:styleId="Bibliografa">
    <w:name w:val="Bibliography"/>
    <w:basedOn w:val="Normal"/>
    <w:qFormat/>
    <w:rsid w:val="00260554"/>
    <w:pPr>
      <w:spacing w:after="200" w:line="240" w:lineRule="auto"/>
    </w:pPr>
    <w:rPr>
      <w:kern w:val="0"/>
      <w:lang w:val="en-US"/>
      <w14:ligatures w14:val="none"/>
    </w:rPr>
  </w:style>
  <w:style w:type="paragraph" w:styleId="HTMLconformatoprevio">
    <w:name w:val="HTML Preformatted"/>
    <w:basedOn w:val="Normal"/>
    <w:link w:val="HTMLconformatoprevioCar"/>
    <w:uiPriority w:val="99"/>
    <w:semiHidden/>
    <w:unhideWhenUsed/>
    <w:rsid w:val="00A9650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96505"/>
    <w:rPr>
      <w:rFonts w:ascii="Consolas" w:hAnsi="Consolas"/>
      <w:sz w:val="20"/>
      <w:szCs w:val="20"/>
    </w:rPr>
  </w:style>
  <w:style w:type="paragraph" w:styleId="Textodebloque">
    <w:name w:val="Block Text"/>
    <w:basedOn w:val="Textoindependiente"/>
    <w:next w:val="Textoindependiente"/>
    <w:uiPriority w:val="9"/>
    <w:unhideWhenUsed/>
    <w:qFormat/>
    <w:rsid w:val="00F13CB9"/>
    <w:pPr>
      <w:spacing w:before="100" w:after="100" w:line="240" w:lineRule="auto"/>
      <w:ind w:left="480" w:right="480"/>
    </w:pPr>
    <w:rPr>
      <w:sz w:val="24"/>
      <w:szCs w:val="24"/>
      <w:lang w:val="en-US"/>
    </w:rPr>
  </w:style>
  <w:style w:type="character" w:styleId="Hipervnculo">
    <w:name w:val="Hyperlink"/>
    <w:basedOn w:val="Fuentedeprrafopredeter"/>
    <w:rsid w:val="004E195A"/>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ox.ac.uk/people/varun.kanade/teaching/ML-MT2016/lectures/lecture04.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TotalTime>
  <Pages>23</Pages>
  <Words>6784</Words>
  <Characters>37318</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22</cp:revision>
  <dcterms:created xsi:type="dcterms:W3CDTF">2026-06-23T20:14:00Z</dcterms:created>
  <dcterms:modified xsi:type="dcterms:W3CDTF">2026-06-25T13:57:00Z</dcterms:modified>
</cp:coreProperties>
</file>