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3E58" w14:textId="77777777" w:rsidR="005452D5" w:rsidRDefault="005452D5" w:rsidP="005452D5">
      <w:pPr>
        <w:pStyle w:val="Ttulo2"/>
        <w:rPr>
          <w:rStyle w:val="Ttulo1Car"/>
          <w:rFonts w:ascii="Times New Roman" w:hAnsi="Times New Roman"/>
          <w:b/>
          <w:bCs/>
          <w:sz w:val="30"/>
          <w:szCs w:val="26"/>
        </w:rPr>
      </w:pPr>
      <w:bookmarkStart w:id="0" w:name="_Toc218775661"/>
      <w:r>
        <w:rPr>
          <w:rStyle w:val="Ttulo1Car"/>
          <w:rFonts w:ascii="Times New Roman" w:hAnsi="Times New Roman"/>
          <w:b/>
          <w:sz w:val="30"/>
          <w:szCs w:val="26"/>
        </w:rPr>
        <w:t>2</w:t>
      </w:r>
      <w:r w:rsidRPr="009A76F9">
        <w:rPr>
          <w:rStyle w:val="Ttulo1Car"/>
          <w:rFonts w:ascii="Times New Roman" w:hAnsi="Times New Roman"/>
          <w:b/>
          <w:sz w:val="30"/>
          <w:szCs w:val="26"/>
        </w:rPr>
        <w:t>.</w:t>
      </w:r>
      <w:r>
        <w:rPr>
          <w:rStyle w:val="Ttulo1Car"/>
          <w:rFonts w:ascii="Times New Roman" w:hAnsi="Times New Roman"/>
          <w:b/>
          <w:sz w:val="30"/>
          <w:szCs w:val="26"/>
        </w:rPr>
        <w:t>3</w:t>
      </w:r>
      <w:r w:rsidRPr="009A76F9">
        <w:rPr>
          <w:rStyle w:val="Ttulo1Car"/>
          <w:rFonts w:ascii="Times New Roman" w:hAnsi="Times New Roman"/>
          <w:b/>
          <w:sz w:val="30"/>
          <w:szCs w:val="26"/>
        </w:rPr>
        <w:t xml:space="preserve"> </w:t>
      </w:r>
      <w:r>
        <w:rPr>
          <w:rStyle w:val="Ttulo1Car"/>
          <w:rFonts w:ascii="Times New Roman" w:hAnsi="Times New Roman"/>
          <w:b/>
          <w:sz w:val="30"/>
          <w:szCs w:val="26"/>
        </w:rPr>
        <w:t>Análisis discriminante lineal (LDA)</w:t>
      </w:r>
      <w:bookmarkEnd w:id="0"/>
    </w:p>
    <w:p w14:paraId="629A8E86" w14:textId="77777777" w:rsidR="004C6D34" w:rsidRDefault="004C6D34" w:rsidP="005452D5">
      <w:pPr>
        <w:pStyle w:val="Prrafobase"/>
      </w:pPr>
    </w:p>
    <w:p w14:paraId="56439E51" w14:textId="77777777" w:rsidR="004C6D34" w:rsidRDefault="004C6D34" w:rsidP="005452D5">
      <w:pPr>
        <w:pStyle w:val="Prrafobase"/>
      </w:pPr>
    </w:p>
    <w:p w14:paraId="0260BA26" w14:textId="38D82F7A" w:rsidR="004C6D34" w:rsidRDefault="004C6D34" w:rsidP="004C6D34">
      <w:pPr>
        <w:pStyle w:val="Prrafobase"/>
      </w:pPr>
      <w:r w:rsidRPr="004C6D34">
        <w:t>El Análisis Discriminante Lineal, comúnmente referido como LDA por sus siglas en inglés, es una técnica estadística multivariante clásica propuesta originalmente por Fisher (1936), cuyo propósito es encontrar combinaciones lineales de las características originales que permitan favorecer la separación entre dos o más clases. En el contexto de la reducción de dimensionalidad supervisada, LDA busca proyectar los datos desde un espacio original de dimensión (</w:t>
      </w:r>
      <m:oMath>
        <m:r>
          <m:rPr>
            <m:sty m:val="bi"/>
          </m:rPr>
          <w:rPr>
            <w:rFonts w:ascii="Cambria Math" w:hAnsi="Cambria Math"/>
          </w:rPr>
          <m:t>d</m:t>
        </m:r>
      </m:oMath>
      <w:r w:rsidRPr="004C6D34">
        <w:t>) hacia un subespacio de menor dimensión (</w:t>
      </w:r>
      <m:oMath>
        <m:r>
          <m:rPr>
            <m:sty m:val="bi"/>
          </m:rPr>
          <w:rPr>
            <w:rFonts w:ascii="Cambria Math" w:hAnsi="Cambria Math"/>
          </w:rPr>
          <m:t>p</m:t>
        </m:r>
      </m:oMath>
      <w:r w:rsidRPr="004C6D34">
        <w:t>), procurando que las observaciones pertenecientes a una misma clase permanezcan compactas, mientras que las clases distintas se encuentren lo más separadas posible.</w:t>
      </w:r>
    </w:p>
    <w:p w14:paraId="35720858" w14:textId="77777777" w:rsidR="004C6D34" w:rsidRDefault="004C6D34" w:rsidP="00E242B7">
      <w:pPr>
        <w:pStyle w:val="Prrafoconsangra"/>
        <w:rPr>
          <w:lang w:val="es-MX"/>
        </w:rPr>
      </w:pPr>
      <w:r w:rsidRPr="004C6D34">
        <w:rPr>
          <w:lang w:val="es-MX"/>
        </w:rPr>
        <w:t xml:space="preserve">A diferencia del Análisis de Componentes Principales (PCA), que identifica direcciones de máxima varianza sin considerar las etiquetas de clase, LDA incorpora explícitamente la información supervisada del problema. Por ello, mientras PCA puede conservar direcciones con alta variabilidad global pero poca utilidad discriminante, LDA orienta la proyección hacia la separación entre grupos previamente definidos. En términos generales, esta separación se plantea como un compromiso entre maximizar la dispersión entre clases y minimizar la dispersión dentro de cada clase (Bishop &amp; </w:t>
      </w:r>
      <w:proofErr w:type="spellStart"/>
      <w:r w:rsidRPr="004C6D34">
        <w:rPr>
          <w:lang w:val="es-MX"/>
        </w:rPr>
        <w:t>Nasrabadi</w:t>
      </w:r>
      <w:proofErr w:type="spellEnd"/>
      <w:r w:rsidRPr="004C6D34">
        <w:rPr>
          <w:lang w:val="es-MX"/>
        </w:rPr>
        <w:t>, 2006).</w:t>
      </w:r>
    </w:p>
    <w:p w14:paraId="32838166" w14:textId="77777777" w:rsidR="004C6D34" w:rsidRDefault="004C6D34" w:rsidP="004C6D34">
      <w:pPr>
        <w:pStyle w:val="Prrafoconsangra"/>
      </w:pPr>
      <w:bookmarkStart w:id="1" w:name="_Toc218775662"/>
      <w:bookmarkStart w:id="2" w:name="criterio-de-fisher-para-dos-clases"/>
      <w:r w:rsidRPr="004C6D34">
        <w:t>Desde una perspectiva probabilística, LDA suele asociarse con el supuesto de que las densidades condicionales de las clases siguen distribuciones normales multivariantes con una matriz de covarianza común, es decir, bajo una condición de homocedasticidad (</w:t>
      </w:r>
      <w:proofErr w:type="spellStart"/>
      <w:r w:rsidRPr="004C6D34">
        <w:t>Silalahi</w:t>
      </w:r>
      <w:proofErr w:type="spellEnd"/>
      <w:r w:rsidRPr="004C6D34">
        <w:t xml:space="preserve"> et al., </w:t>
      </w:r>
      <w:proofErr w:type="spellStart"/>
      <w:r w:rsidRPr="004C6D34">
        <w:t>n.d</w:t>
      </w:r>
      <w:proofErr w:type="spellEnd"/>
      <w:r w:rsidRPr="004C6D34">
        <w:t>.). Sin embargo, desde la formulación geométrica de Fisher, el método también puede entenderse como la búsqueda de una proyección lineal que maximiza una razón de separabilidad entre clases. Esta distinción es importante, ya que en aplicaciones prácticas LDA puede mantener un desempeño razonable aun cuando los supuestos distribucionales no se satisfacen de manera estricta, siempre que las desviaciones no sean excesivas (McLachlan, 2005).</w:t>
      </w:r>
    </w:p>
    <w:bookmarkEnd w:id="1"/>
    <w:p w14:paraId="4C58041B" w14:textId="77777777" w:rsidR="00BE438A" w:rsidRDefault="00BE438A" w:rsidP="005452D5">
      <w:pPr>
        <w:pStyle w:val="Prrafobase"/>
      </w:pPr>
    </w:p>
    <w:p w14:paraId="5BBA76F0" w14:textId="77777777" w:rsidR="00BE438A" w:rsidRDefault="00BE438A" w:rsidP="00BE438A">
      <w:pPr>
        <w:pStyle w:val="Prrafoconsangra"/>
      </w:pPr>
    </w:p>
    <w:p w14:paraId="772B84FB" w14:textId="77777777" w:rsidR="00BE438A" w:rsidRPr="00BE438A" w:rsidRDefault="00BE438A" w:rsidP="00BE438A">
      <w:pPr>
        <w:pStyle w:val="Prrafoconsangra"/>
      </w:pPr>
    </w:p>
    <w:p w14:paraId="2EDB4429" w14:textId="77777777" w:rsidR="00BE438A" w:rsidRDefault="00BE438A" w:rsidP="005452D5">
      <w:pPr>
        <w:pStyle w:val="Prrafobase"/>
      </w:pPr>
    </w:p>
    <w:p w14:paraId="1F588D0D" w14:textId="7FB2F6E3" w:rsidR="00BE438A" w:rsidRPr="00BE438A" w:rsidRDefault="00BE438A" w:rsidP="005452D5">
      <w:pPr>
        <w:pStyle w:val="Prrafobase"/>
        <w:rPr>
          <w:lang w:val="es-MX"/>
        </w:rPr>
      </w:pPr>
      <w:r w:rsidRPr="00BE438A">
        <w:rPr>
          <w:lang w:val="es-MX"/>
        </w:rPr>
        <w:lastRenderedPageBreak/>
        <w:t xml:space="preserve">Para introducir la formulación básica, considérese primero un problema de clasificación binaria con dos clases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65644D">
        <w:t xml:space="preserve"> y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65644D">
        <w:t xml:space="preserve">, con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65644D">
        <w:t xml:space="preserve"> y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BE438A">
        <w:rPr>
          <w:lang w:val="es-MX"/>
        </w:rPr>
        <w:t xml:space="preserve"> observaciones respectivamente. El objetivo consiste en encontrar un vector de proyección (</w:t>
      </w:r>
      <m:oMath>
        <m:r>
          <m:rPr>
            <m:sty m:val="b"/>
          </m:rPr>
          <w:rPr>
            <w:rFonts w:ascii="Cambria Math" w:hAnsi="Cambria Math"/>
          </w:rPr>
          <m:t>w</m:t>
        </m:r>
      </m:oMath>
      <w:r w:rsidRPr="00BE438A">
        <w:rPr>
          <w:lang w:val="es-MX"/>
        </w:rPr>
        <w:t>) que transforme cada observación (</w:t>
      </w:r>
      <m:oMath>
        <m:r>
          <m:rPr>
            <m:sty m:val="bi"/>
          </m:rPr>
          <w:rPr>
            <w:rFonts w:ascii="Cambria Math" w:hAnsi="Cambria Math"/>
            <w:lang w:val="es-MX"/>
          </w:rPr>
          <m:t>x</m:t>
        </m:r>
      </m:oMath>
      <w:r w:rsidRPr="00BE438A">
        <w:rPr>
          <w:lang w:val="es-MX"/>
        </w:rPr>
        <w:t>) del espacio original en un valor escalar (</w:t>
      </w:r>
      <m:oMath>
        <m:r>
          <m:rPr>
            <m:sty m:val="bi"/>
          </m:rPr>
          <w:rPr>
            <w:rFonts w:ascii="Cambria Math" w:hAnsi="Cambria Math"/>
            <w:lang w:val="es-MX"/>
          </w:rPr>
          <m:t>y</m:t>
        </m:r>
      </m:oMath>
      <w:r w:rsidRPr="00BE438A">
        <w:rPr>
          <w:lang w:val="es-MX"/>
        </w:rPr>
        <w:t>), mediante una combinación lineal de sus características.</w:t>
      </w:r>
    </w:p>
    <w:p w14:paraId="0445EEAD" w14:textId="77777777" w:rsidR="005452D5" w:rsidRDefault="005452D5" w:rsidP="00BE438A">
      <w:pPr>
        <w:pStyle w:val="Prrafoconsangra"/>
        <w:ind w:firstLine="0"/>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oMath>
      </m:oMathPara>
    </w:p>
    <w:p w14:paraId="235587E8" w14:textId="56BA9F43" w:rsidR="00BE438A" w:rsidRDefault="00BE438A" w:rsidP="005452D5">
      <w:pPr>
        <w:pStyle w:val="Prrafoconsangra"/>
        <w:rPr>
          <w:lang w:val="es-MX"/>
        </w:rPr>
      </w:pPr>
      <w:r w:rsidRPr="00BE438A">
        <w:rPr>
          <w:lang w:val="es-MX"/>
        </w:rPr>
        <w:t>La orientación óptima del vector (</w:t>
      </w:r>
      <m:oMath>
        <m:r>
          <m:rPr>
            <m:sty m:val="b"/>
          </m:rPr>
          <w:rPr>
            <w:rFonts w:ascii="Cambria Math" w:hAnsi="Cambria Math"/>
          </w:rPr>
          <m:t>w</m:t>
        </m:r>
      </m:oMath>
      <w:r w:rsidRPr="00BE438A">
        <w:rPr>
          <w:lang w:val="es-MX"/>
        </w:rPr>
        <w:t>) se determina buscando que las medias de las clases proyectadas queden suficientemente separadas, al mismo tiempo que se controla la variabilidad interna de cada clase. Para ello, se definen primero los vectores de medias muestrales o centroides de cada clase en el espacio original de dimensión (</w:t>
      </w:r>
      <m:oMath>
        <m:r>
          <m:rPr>
            <m:sty m:val="bi"/>
          </m:rPr>
          <w:rPr>
            <w:rFonts w:ascii="Cambria Math" w:hAnsi="Cambria Math"/>
            <w:lang w:val="es-MX"/>
          </w:rPr>
          <m:t>d</m:t>
        </m:r>
      </m:oMath>
      <w:r w:rsidRPr="00BE438A">
        <w:rPr>
          <w:lang w:val="es-MX"/>
        </w:rPr>
        <w:t>) (Härdle &amp; Simar, 2007).</w:t>
      </w:r>
    </w:p>
    <w:p w14:paraId="24A484FA" w14:textId="5FD5ACDD" w:rsidR="005452D5" w:rsidRDefault="00000000" w:rsidP="005452D5">
      <w:pPr>
        <w:pStyle w:val="Prrafoconsangra"/>
      </w:pPr>
      <m:oMathPara>
        <m:oMathParaPr>
          <m:jc m:val="center"/>
        </m:oMathParaPr>
        <m:oMath>
          <m:sSub>
            <m:sSubPr>
              <m:ctrlPr>
                <w:rPr>
                  <w:rFonts w:ascii="Cambria Math" w:hAnsi="Cambria Math"/>
                </w:rPr>
              </m:ctrlPr>
            </m:sSubPr>
            <m:e>
              <m:r>
                <m:rPr>
                  <m:sty m:val="b"/>
                </m:rPr>
                <w:rPr>
                  <w:rFonts w:ascii="Cambria Math" w:hAnsi="Cambria Math"/>
                </w:rPr>
                <m:t>m</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ub>
            <m:sup>
              <m:r>
                <w:rPr>
                  <w:rFonts w:ascii="Cambria Math" w:hAnsi="Cambria Math"/>
                </w:rPr>
                <m:t>​</m:t>
              </m:r>
            </m:sup>
            <m:e>
              <m:sSub>
                <m:sSubPr>
                  <m:ctrlPr>
                    <w:rPr>
                      <w:rFonts w:ascii="Cambria Math" w:hAnsi="Cambria Math"/>
                    </w:rPr>
                  </m:ctrlPr>
                </m:sSubPr>
                <m:e>
                  <m:r>
                    <m:rPr>
                      <m:sty m:val="b"/>
                    </m:rPr>
                    <w:rPr>
                      <w:rFonts w:ascii="Cambria Math" w:hAnsi="Cambria Math"/>
                    </w:rPr>
                    <m:t>x</m:t>
                  </m:r>
                </m:e>
                <m:sub>
                  <m:r>
                    <w:rPr>
                      <w:rFonts w:ascii="Cambria Math" w:hAnsi="Cambria Math"/>
                    </w:rPr>
                    <m:t>n</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2</m:t>
                  </m:r>
                </m:sub>
              </m:sSub>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ub>
            <m:sup>
              <m:r>
                <w:rPr>
                  <w:rFonts w:ascii="Cambria Math" w:hAnsi="Cambria Math"/>
                </w:rPr>
                <m:t>​</m:t>
              </m:r>
            </m:sup>
            <m:e>
              <m:sSub>
                <m:sSubPr>
                  <m:ctrlPr>
                    <w:rPr>
                      <w:rFonts w:ascii="Cambria Math" w:hAnsi="Cambria Math"/>
                    </w:rPr>
                  </m:ctrlPr>
                </m:sSubPr>
                <m:e>
                  <m:r>
                    <m:rPr>
                      <m:sty m:val="b"/>
                    </m:rPr>
                    <w:rPr>
                      <w:rFonts w:ascii="Cambria Math" w:hAnsi="Cambria Math"/>
                    </w:rPr>
                    <m:t>x</m:t>
                  </m:r>
                </m:e>
                <m:sub>
                  <m:r>
                    <w:rPr>
                      <w:rFonts w:ascii="Cambria Math" w:hAnsi="Cambria Math"/>
                    </w:rPr>
                    <m:t>n</m:t>
                  </m:r>
                </m:sub>
              </m:sSub>
            </m:e>
          </m:nary>
        </m:oMath>
      </m:oMathPara>
    </w:p>
    <w:p w14:paraId="568E21F7" w14:textId="77777777" w:rsidR="005452D5" w:rsidRPr="0065644D" w:rsidRDefault="005452D5" w:rsidP="005452D5">
      <w:pPr>
        <w:pStyle w:val="Prrafoconsangra"/>
      </w:pPr>
      <w:r w:rsidRPr="0065644D">
        <w:t xml:space="preserve">La medida de separación entre las clases se define mediante la </w:t>
      </w:r>
      <w:r w:rsidRPr="0065644D">
        <w:rPr>
          <w:b/>
          <w:bCs/>
        </w:rPr>
        <w:t xml:space="preserve">Matriz de Dispersión </w:t>
      </w:r>
      <w:proofErr w:type="spellStart"/>
      <w:r w:rsidRPr="0065644D">
        <w:rPr>
          <w:b/>
          <w:bCs/>
        </w:rPr>
        <w:t>Inter-clases</w:t>
      </w:r>
      <w:proofErr w:type="spellEnd"/>
      <w:r w:rsidRPr="0065644D">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oMath>
      <w:r w:rsidRPr="0065644D">
        <w:t>), que cuantifica la distancia entre los centroides:</w:t>
      </w:r>
    </w:p>
    <w:p w14:paraId="25B9F4F2" w14:textId="77777777" w:rsidR="005452D5" w:rsidRDefault="00000000" w:rsidP="005452D5">
      <w:pPr>
        <w:pStyle w:val="Prrafoconsangra"/>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e>
            <m:sup>
              <m:r>
                <w:rPr>
                  <w:rFonts w:ascii="Cambria Math" w:hAnsi="Cambria Math"/>
                </w:rPr>
                <m:t>T</m:t>
              </m:r>
            </m:sup>
          </m:sSup>
        </m:oMath>
      </m:oMathPara>
    </w:p>
    <w:p w14:paraId="69F6B730" w14:textId="77777777" w:rsidR="005452D5" w:rsidRPr="0065644D" w:rsidRDefault="005452D5" w:rsidP="005452D5">
      <w:pPr>
        <w:pStyle w:val="Prrafoconsangra"/>
      </w:pPr>
      <w:r w:rsidRPr="0065644D">
        <w:t xml:space="preserve">Por otro lado, para medir la compacidad de los datos, se define la </w:t>
      </w:r>
      <w:r w:rsidRPr="0065644D">
        <w:rPr>
          <w:b/>
          <w:bCs/>
        </w:rPr>
        <w:t xml:space="preserve">Matriz de Dispersión </w:t>
      </w:r>
      <w:proofErr w:type="spellStart"/>
      <w:r w:rsidRPr="0065644D">
        <w:rPr>
          <w:b/>
          <w:bCs/>
        </w:rPr>
        <w:t>Intra-clases</w:t>
      </w:r>
      <w:proofErr w:type="spellEnd"/>
      <w:r w:rsidRPr="0065644D">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oMath>
      <w:r w:rsidRPr="0065644D">
        <w:t>), a menudo referida como la matriz de covarianza mancomunada (</w:t>
      </w:r>
      <w:proofErr w:type="spellStart"/>
      <w:r w:rsidRPr="0065644D">
        <w:rPr>
          <w:i/>
          <w:iCs/>
        </w:rPr>
        <w:t>pooled</w:t>
      </w:r>
      <w:proofErr w:type="spellEnd"/>
      <w:r w:rsidRPr="0065644D">
        <w:rPr>
          <w:i/>
          <w:iCs/>
        </w:rPr>
        <w:t xml:space="preserve"> </w:t>
      </w:r>
      <w:proofErr w:type="spellStart"/>
      <w:r w:rsidRPr="0065644D">
        <w:rPr>
          <w:i/>
          <w:iCs/>
        </w:rPr>
        <w:t>covariance</w:t>
      </w:r>
      <w:proofErr w:type="spellEnd"/>
      <w:r w:rsidRPr="0065644D">
        <w:rPr>
          <w:i/>
          <w:iCs/>
        </w:rPr>
        <w:t xml:space="preserve"> </w:t>
      </w:r>
      <w:proofErr w:type="spellStart"/>
      <w:r w:rsidRPr="0065644D">
        <w:rPr>
          <w:i/>
          <w:iCs/>
        </w:rPr>
        <w:t>matrix</w:t>
      </w:r>
      <w:proofErr w:type="spellEnd"/>
      <w:r w:rsidRPr="0065644D">
        <w:t>) en la literatura estadística (</w:t>
      </w:r>
      <w:proofErr w:type="spellStart"/>
      <w:r w:rsidRPr="0065644D">
        <w:t>Härdle</w:t>
      </w:r>
      <w:proofErr w:type="spellEnd"/>
      <w:r w:rsidRPr="0065644D">
        <w:t xml:space="preserve"> &amp; Simar, 2007):</w:t>
      </w:r>
    </w:p>
    <w:p w14:paraId="38DE8D05" w14:textId="77777777" w:rsidR="005452D5" w:rsidRDefault="00000000" w:rsidP="005452D5">
      <w:pPr>
        <w:pStyle w:val="Prrafoconsangra"/>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1</m:t>
                      </m:r>
                    </m:sub>
                  </m:sSub>
                </m:e>
              </m:d>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1</m:t>
                      </m:r>
                    </m:sub>
                  </m:sSub>
                </m:e>
              </m:d>
            </m:e>
            <m:sup>
              <m:r>
                <w:rPr>
                  <w:rFonts w:ascii="Cambria Math" w:hAnsi="Cambria Math"/>
                </w:rPr>
                <m:t>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e>
            <m:sup>
              <m:r>
                <w:rPr>
                  <w:rFonts w:ascii="Cambria Math" w:hAnsi="Cambria Math"/>
                </w:rPr>
                <m:t>T</m:t>
              </m:r>
            </m:sup>
          </m:sSup>
        </m:oMath>
      </m:oMathPara>
    </w:p>
    <w:p w14:paraId="4CD4D7D3" w14:textId="77777777" w:rsidR="005452D5" w:rsidRPr="0065644D" w:rsidRDefault="005452D5" w:rsidP="005452D5">
      <w:pPr>
        <w:pStyle w:val="Prrafoconsangra"/>
      </w:pPr>
      <w:r w:rsidRPr="0065644D">
        <w:t xml:space="preserve">El Criterio de Fisher </w:t>
      </w:r>
      <m:oMath>
        <m:r>
          <w:rPr>
            <w:rFonts w:ascii="Cambria Math" w:hAnsi="Cambria Math"/>
          </w:rPr>
          <m:t>J</m:t>
        </m:r>
        <m:d>
          <m:dPr>
            <m:ctrlPr>
              <w:rPr>
                <w:rFonts w:ascii="Cambria Math" w:hAnsi="Cambria Math"/>
              </w:rPr>
            </m:ctrlPr>
          </m:dPr>
          <m:e>
            <m:r>
              <m:rPr>
                <m:sty m:val="b"/>
              </m:rPr>
              <w:rPr>
                <w:rFonts w:ascii="Cambria Math" w:hAnsi="Cambria Math"/>
              </w:rPr>
              <m:t>w</m:t>
            </m:r>
          </m:e>
        </m:d>
      </m:oMath>
      <w:r w:rsidRPr="0065644D">
        <w:t xml:space="preserve"> se define entonces como el cociente de Rayleigh, el cual debe ser maximizado:</w:t>
      </w:r>
    </w:p>
    <w:p w14:paraId="18F721BF" w14:textId="2DB80191" w:rsidR="00BE438A" w:rsidRPr="00BE438A" w:rsidRDefault="005452D5" w:rsidP="00BE438A">
      <w:pPr>
        <w:pStyle w:val="Prrafoconsangra"/>
      </w:pPr>
      <m:oMathPara>
        <m:oMath>
          <m:r>
            <w:rPr>
              <w:rFonts w:ascii="Cambria Math" w:hAnsi="Cambria Math"/>
            </w:rPr>
            <m:t>J</m:t>
          </m:r>
          <m:d>
            <m:dPr>
              <m:ctrlPr>
                <w:rPr>
                  <w:rFonts w:ascii="Cambria Math" w:hAnsi="Cambria Math"/>
                </w:rPr>
              </m:ctrlPr>
            </m:dPr>
            <m:e>
              <m:r>
                <m:rPr>
                  <m:sty m:val="b"/>
                </m:rPr>
                <w:rPr>
                  <w:rFonts w:ascii="Cambria Math" w:hAnsi="Cambria Math"/>
                </w:rPr>
                <m:t>w</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b"/>
                </m:rPr>
                <w:rPr>
                  <w:rFonts w:ascii="Cambria Math" w:hAnsi="Cambria Math"/>
                </w:rPr>
                <m:t>w</m:t>
              </m:r>
            </m:num>
            <m:den>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b"/>
                </m:rPr>
                <w:rPr>
                  <w:rFonts w:ascii="Cambria Math" w:hAnsi="Cambria Math"/>
                </w:rPr>
                <m:t>w</m:t>
              </m:r>
            </m:den>
          </m:f>
        </m:oMath>
      </m:oMathPara>
    </w:p>
    <w:p w14:paraId="20D83AE2" w14:textId="2257AF91" w:rsidR="00BE438A" w:rsidRDefault="00BE438A" w:rsidP="005452D5">
      <w:pPr>
        <w:pStyle w:val="Prrafoconsangra"/>
        <w:rPr>
          <w:lang w:val="es-MX"/>
        </w:rPr>
      </w:pPr>
      <w:r w:rsidRPr="00BE438A">
        <w:rPr>
          <w:lang w:val="es-MX"/>
        </w:rPr>
        <w:t xml:space="preserve">La solución analítica de este problema conduce a una dirección de proyección proporcional al producto entre la inversa de la matriz de dispersión intraclase y la diferencia entre los vectores de medias de ambas clases (Bishop &amp; </w:t>
      </w:r>
      <w:proofErr w:type="spellStart"/>
      <w:r w:rsidRPr="00BE438A">
        <w:rPr>
          <w:lang w:val="es-MX"/>
        </w:rPr>
        <w:t>Nasrabadi</w:t>
      </w:r>
      <w:proofErr w:type="spellEnd"/>
      <w:r w:rsidRPr="00BE438A">
        <w:rPr>
          <w:lang w:val="es-MX"/>
        </w:rPr>
        <w:t>, 2006).</w:t>
      </w:r>
    </w:p>
    <w:p w14:paraId="4C5D2DEF" w14:textId="77777777" w:rsidR="00BE438A" w:rsidRDefault="00BE438A" w:rsidP="005452D5">
      <w:pPr>
        <w:pStyle w:val="Prrafoconsangra"/>
        <w:rPr>
          <w:lang w:val="es-MX"/>
        </w:rPr>
      </w:pPr>
    </w:p>
    <w:p w14:paraId="7EF236DE" w14:textId="761BBABF" w:rsidR="005452D5" w:rsidRDefault="00000000" w:rsidP="005452D5">
      <w:pPr>
        <w:pStyle w:val="Prrafoconsangra"/>
      </w:pPr>
      <m:oMathPara>
        <m:oMathParaPr>
          <m:jc m:val="center"/>
        </m:oMathParaPr>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S</m:t>
              </m:r>
            </m:e>
            <m:sub>
              <m:r>
                <w:rPr>
                  <w:rFonts w:ascii="Cambria Math" w:hAnsi="Cambria Math"/>
                </w:rPr>
                <m:t>W</m:t>
              </m:r>
            </m:sub>
            <m:sup>
              <m:r>
                <m:rPr>
                  <m:sty m:val="p"/>
                </m:rPr>
                <w:rPr>
                  <w:rFonts w:ascii="Cambria Math" w:hAnsi="Cambria Math"/>
                </w:rPr>
                <m:t>-</m:t>
              </m:r>
              <m:r>
                <w:rPr>
                  <w:rFonts w:ascii="Cambria Math" w:hAnsi="Cambria Math"/>
                </w:rPr>
                <m:t>1</m:t>
              </m:r>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oMath>
      </m:oMathPara>
    </w:p>
    <w:p w14:paraId="14265A6A" w14:textId="55C9B349" w:rsidR="00BE438A" w:rsidRDefault="00BE438A" w:rsidP="005452D5">
      <w:pPr>
        <w:pStyle w:val="Prrafoconsangra"/>
        <w:rPr>
          <w:lang w:val="es-MX"/>
        </w:rPr>
      </w:pPr>
      <w:r w:rsidRPr="00BE438A">
        <w:rPr>
          <w:lang w:val="es-MX"/>
        </w:rPr>
        <w:lastRenderedPageBreak/>
        <w:t>Una vez obtenido el vector de proyección</w:t>
      </w:r>
      <w:r>
        <w:rPr>
          <w:lang w:val="es-MX"/>
        </w:rPr>
        <w:t xml:space="preserve"> </w:t>
      </w:r>
      <m:oMath>
        <m:r>
          <m:rPr>
            <m:sty m:val="b"/>
          </m:rPr>
          <w:rPr>
            <w:rFonts w:ascii="Cambria Math" w:hAnsi="Cambria Math"/>
          </w:rPr>
          <m:t>w</m:t>
        </m:r>
      </m:oMath>
      <w:r w:rsidRPr="00BE438A">
        <w:rPr>
          <w:lang w:val="es-MX"/>
        </w:rPr>
        <w:t>, una nueva observación</w:t>
      </w:r>
      <w:r>
        <w:rPr>
          <w:lang w:val="es-MX"/>
        </w:rPr>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new</m:t>
            </m:r>
          </m:sub>
        </m:sSub>
      </m:oMath>
      <w:r w:rsidRPr="00BE438A">
        <w:rPr>
          <w:lang w:val="es-MX"/>
        </w:rPr>
        <w:t xml:space="preserve"> puede clasificarse </w:t>
      </w:r>
      <w:proofErr w:type="gramStart"/>
      <w:r w:rsidRPr="00BE438A">
        <w:rPr>
          <w:lang w:val="es-MX"/>
        </w:rPr>
        <w:t>a</w:t>
      </w:r>
      <w:proofErr w:type="gramEnd"/>
      <w:r w:rsidRPr="00BE438A">
        <w:rPr>
          <w:lang w:val="es-MX"/>
        </w:rPr>
        <w:t xml:space="preserve"> partir de su valor proyectado, comparándolo con un umbral de decisión. Si bien esta formulación binaria permite entender la intuición geométrica del método, muchos problemas reales involucran más de dos clases, por lo que se requiere una extensión multiclase.</w:t>
      </w:r>
    </w:p>
    <w:p w14:paraId="7AD1AAC4" w14:textId="77777777" w:rsidR="00BE438A" w:rsidRDefault="00BE438A" w:rsidP="005452D5">
      <w:pPr>
        <w:pStyle w:val="Prrafoconsangra"/>
        <w:rPr>
          <w:lang w:val="es-MX"/>
        </w:rPr>
      </w:pPr>
      <w:bookmarkStart w:id="3" w:name="extensión-al-caso-multiclase-k-ge-3"/>
      <w:bookmarkStart w:id="4" w:name="definición-de-matrices-generalizadas"/>
      <w:bookmarkEnd w:id="2"/>
    </w:p>
    <w:p w14:paraId="7B9A27C8" w14:textId="5267FFEB" w:rsidR="005452D5" w:rsidRPr="0065644D" w:rsidRDefault="005452D5" w:rsidP="005452D5">
      <w:pPr>
        <w:pStyle w:val="Prrafoconsangra"/>
      </w:pPr>
      <w:r w:rsidRPr="0065644D">
        <w:t xml:space="preserve">Para formalizar esto, primero se define la </w:t>
      </w:r>
      <w:r w:rsidRPr="0065644D">
        <w:rPr>
          <w:b/>
          <w:bCs/>
        </w:rPr>
        <w:t>media global</w:t>
      </w:r>
      <w:r w:rsidRPr="0065644D">
        <w:t xml:space="preserve"> del conjunto de datos </w:t>
      </w:r>
      <m:oMath>
        <m:r>
          <m:rPr>
            <m:sty m:val="b"/>
          </m:rPr>
          <w:rPr>
            <w:rFonts w:ascii="Cambria Math" w:hAnsi="Cambria Math"/>
          </w:rPr>
          <m:t>m</m:t>
        </m:r>
      </m:oMath>
      <w:r w:rsidRPr="0065644D">
        <w:t>, que representa el centroide de toda la distribución sin considerar etiquetas (Li et al., 2006):</w:t>
      </w:r>
    </w:p>
    <w:p w14:paraId="63F52A3A" w14:textId="77777777" w:rsidR="005452D5" w:rsidRDefault="005452D5" w:rsidP="005452D5">
      <w:pPr>
        <w:pStyle w:val="Prrafoconsangra"/>
      </w:pPr>
      <m:oMathPara>
        <m:oMathParaPr>
          <m:jc m:val="center"/>
        </m:oMathParaPr>
        <m:oMath>
          <m:r>
            <m:rPr>
              <m:sty m:val="b"/>
            </m:rP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sSub>
            <m:sSubPr>
              <m:ctrlPr>
                <w:rPr>
                  <w:rFonts w:ascii="Cambria Math" w:hAnsi="Cambria Math"/>
                </w:rPr>
              </m:ctrlPr>
            </m:sSubPr>
            <m:e>
              <m:r>
                <m:rPr>
                  <m:sty m:val="b"/>
                </m:rPr>
                <w:rPr>
                  <w:rFonts w:ascii="Cambria Math" w:hAnsi="Cambria Math"/>
                </w:rPr>
                <m:t>m</m:t>
              </m:r>
            </m:e>
            <m:sub>
              <m:r>
                <w:rPr>
                  <w:rFonts w:ascii="Cambria Math" w:hAnsi="Cambria Math"/>
                </w:rPr>
                <m:t>k</m:t>
              </m:r>
            </m:sub>
          </m:sSub>
        </m:oMath>
      </m:oMathPara>
    </w:p>
    <w:p w14:paraId="4F61E124" w14:textId="77777777" w:rsidR="005452D5" w:rsidRPr="0065644D" w:rsidRDefault="005452D5" w:rsidP="005452D5">
      <w:pPr>
        <w:pStyle w:val="Prrafoconsangra"/>
      </w:pPr>
      <w:r w:rsidRPr="0065644D">
        <w:t xml:space="preserve">Donde </w:t>
      </w:r>
      <m:oMath>
        <m:r>
          <w:rPr>
            <w:rFonts w:ascii="Cambria Math" w:hAnsi="Cambria Math"/>
          </w:rPr>
          <m:t>N</m:t>
        </m:r>
      </m:oMath>
      <w:r w:rsidRPr="0065644D">
        <w:t xml:space="preserve"> es el número total de observaciones, </w:t>
      </w:r>
      <m:oMath>
        <m:r>
          <w:rPr>
            <w:rFonts w:ascii="Cambria Math" w:hAnsi="Cambria Math"/>
          </w:rPr>
          <m:t>K</m:t>
        </m:r>
      </m:oMath>
      <w:r w:rsidRPr="0065644D">
        <w:t xml:space="preserve"> el número de clases,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65644D">
        <w:t xml:space="preserve"> la cantidad de datos en la clase </w:t>
      </w:r>
      <m:oMath>
        <m:r>
          <w:rPr>
            <w:rFonts w:ascii="Cambria Math" w:hAnsi="Cambria Math"/>
          </w:rPr>
          <m:t>k</m:t>
        </m:r>
      </m:oMath>
      <w:r w:rsidRPr="0065644D">
        <w:t xml:space="preserve">, y </w:t>
      </w:r>
      <m:oMath>
        <m:sSub>
          <m:sSubPr>
            <m:ctrlPr>
              <w:rPr>
                <w:rFonts w:ascii="Cambria Math" w:hAnsi="Cambria Math"/>
              </w:rPr>
            </m:ctrlPr>
          </m:sSubPr>
          <m:e>
            <m:r>
              <m:rPr>
                <m:sty m:val="b"/>
              </m:rPr>
              <w:rPr>
                <w:rFonts w:ascii="Cambria Math" w:hAnsi="Cambria Math"/>
              </w:rPr>
              <m:t>m</m:t>
            </m:r>
          </m:e>
          <m:sub>
            <m:r>
              <w:rPr>
                <w:rFonts w:ascii="Cambria Math" w:hAnsi="Cambria Math"/>
              </w:rPr>
              <m:t>k</m:t>
            </m:r>
          </m:sub>
        </m:sSub>
      </m:oMath>
      <w:r w:rsidRPr="0065644D">
        <w:t xml:space="preserve"> el vector de medias de dicha clase.</w:t>
      </w:r>
    </w:p>
    <w:p w14:paraId="7906F565" w14:textId="77777777" w:rsidR="005452D5" w:rsidRPr="0065644D" w:rsidRDefault="005452D5" w:rsidP="005452D5">
      <w:pPr>
        <w:pStyle w:val="Prrafoconsangra"/>
      </w:pPr>
      <w:r w:rsidRPr="0065644D">
        <w:t xml:space="preserve">Las matrices de dispersión se redefinen para acumular la varianza de los </w:t>
      </w:r>
      <m:oMath>
        <m:r>
          <w:rPr>
            <w:rFonts w:ascii="Cambria Math" w:hAnsi="Cambria Math"/>
          </w:rPr>
          <m:t>K</m:t>
        </m:r>
      </m:oMath>
      <w:r w:rsidRPr="0065644D">
        <w:t xml:space="preserve"> grupos:</w:t>
      </w:r>
    </w:p>
    <w:p w14:paraId="1B01234C" w14:textId="77777777" w:rsidR="005452D5" w:rsidRPr="0065644D" w:rsidRDefault="005452D5" w:rsidP="005452D5">
      <w:pPr>
        <w:pStyle w:val="Prrafoconsangra"/>
      </w:pPr>
      <w:r w:rsidRPr="0065644D">
        <w:rPr>
          <w:b/>
          <w:bCs/>
        </w:rPr>
        <w:t xml:space="preserve">Matriz de Dispersión </w:t>
      </w:r>
      <w:proofErr w:type="spellStart"/>
      <w:r w:rsidRPr="0065644D">
        <w:rPr>
          <w:b/>
          <w:bCs/>
        </w:rPr>
        <w:t>Intra-clases</w:t>
      </w:r>
      <w:proofErr w:type="spellEnd"/>
      <w:r w:rsidRPr="0065644D">
        <w:rPr>
          <w:b/>
          <w:bCs/>
        </w:rPr>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oMath>
      <w:r w:rsidRPr="0065644D">
        <w:rPr>
          <w:b/>
          <w:bCs/>
        </w:rPr>
        <w:t>):</w:t>
      </w:r>
      <w:r w:rsidRPr="0065644D">
        <w:t xml:space="preserve"> Es la suma de las matrices de covarianza de cada clase individual, representando el “ruido” o variabilidad que queremos minimizar.</w:t>
      </w:r>
    </w:p>
    <w:p w14:paraId="15B3DAFA" w14:textId="77777777" w:rsidR="005452D5" w:rsidRDefault="00000000" w:rsidP="005452D5">
      <w:pPr>
        <w:pStyle w:val="Prrafoconsangra"/>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m:rPr>
                      <m:sty m:val="b"/>
                    </m:rPr>
                    <w:rPr>
                      <w:rFonts w:ascii="Cambria Math" w:hAnsi="Cambria Math"/>
                    </w:rPr>
                    <m:t>S</m:t>
                  </m:r>
                </m:e>
                <m:sub>
                  <m:r>
                    <w:rPr>
                      <w:rFonts w:ascii="Cambria Math" w:hAnsi="Cambria Math"/>
                    </w:rPr>
                    <m:t>k</m:t>
                  </m:r>
                </m:sub>
              </m:sSub>
            </m:e>
          </m:nary>
        </m:oMath>
      </m:oMathPara>
    </w:p>
    <w:p w14:paraId="2FE45D6C" w14:textId="77777777" w:rsidR="005452D5" w:rsidRPr="0065644D" w:rsidRDefault="005452D5" w:rsidP="005452D5">
      <w:pPr>
        <w:pStyle w:val="Prrafoconsangra"/>
      </w:pPr>
      <w:r w:rsidRPr="0065644D">
        <w:rPr>
          <w:b/>
          <w:bCs/>
        </w:rPr>
        <w:t xml:space="preserve">Matriz de Dispersión </w:t>
      </w:r>
      <w:proofErr w:type="spellStart"/>
      <w:r w:rsidRPr="0065644D">
        <w:rPr>
          <w:b/>
          <w:bCs/>
        </w:rPr>
        <w:t>Inter-clases</w:t>
      </w:r>
      <w:proofErr w:type="spellEnd"/>
      <w:r w:rsidRPr="0065644D">
        <w:rPr>
          <w:b/>
          <w:bCs/>
        </w:rPr>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oMath>
      <w:r w:rsidRPr="0065644D">
        <w:rPr>
          <w:b/>
          <w:bCs/>
        </w:rPr>
        <w:t>):</w:t>
      </w:r>
      <w:r w:rsidRPr="0065644D">
        <w:t xml:space="preserve"> Ahora se calcula como la suma ponderada de las desviaciones de cada centroide de clase respecto a la media global.</w:t>
      </w:r>
    </w:p>
    <w:p w14:paraId="66E0BF57" w14:textId="77777777" w:rsidR="005452D5" w:rsidRDefault="00000000" w:rsidP="005452D5">
      <w:pPr>
        <w:pStyle w:val="Prrafoconsangra"/>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k</m:t>
                  </m:r>
                </m:sub>
              </m:sSub>
              <m:r>
                <m:rPr>
                  <m:sty m:val="p"/>
                </m:rPr>
                <w:rPr>
                  <w:rFonts w:ascii="Cambria Math" w:hAnsi="Cambria Math"/>
                </w:rPr>
                <m:t>-</m:t>
              </m:r>
              <m:r>
                <m:rPr>
                  <m:sty m:val="b"/>
                </m:rP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k</m:t>
                      </m:r>
                    </m:sub>
                  </m:sSub>
                  <m:r>
                    <m:rPr>
                      <m:sty m:val="p"/>
                    </m:rPr>
                    <w:rPr>
                      <w:rFonts w:ascii="Cambria Math" w:hAnsi="Cambria Math"/>
                    </w:rPr>
                    <m:t>-</m:t>
                  </m:r>
                  <m:r>
                    <m:rPr>
                      <m:sty m:val="b"/>
                    </m:rPr>
                    <w:rPr>
                      <w:rFonts w:ascii="Cambria Math" w:hAnsi="Cambria Math"/>
                    </w:rPr>
                    <m:t>m</m:t>
                  </m:r>
                </m:e>
              </m:d>
            </m:e>
            <m:sup>
              <m:r>
                <w:rPr>
                  <w:rFonts w:ascii="Cambria Math" w:hAnsi="Cambria Math"/>
                </w:rPr>
                <m:t>T</m:t>
              </m:r>
            </m:sup>
          </m:sSup>
        </m:oMath>
      </m:oMathPara>
    </w:p>
    <w:p w14:paraId="5228CB0C" w14:textId="77777777" w:rsidR="00BE438A" w:rsidRDefault="00BE438A" w:rsidP="005452D5">
      <w:pPr>
        <w:pStyle w:val="Prrafobase"/>
      </w:pPr>
      <w:bookmarkStart w:id="5" w:name="X256a3971dcd11aa3632f98a7060184de34d4705"/>
      <w:bookmarkEnd w:id="4"/>
    </w:p>
    <w:p w14:paraId="25A07A46" w14:textId="6FF5E2A1" w:rsidR="00BE438A" w:rsidRDefault="00BE438A" w:rsidP="005452D5">
      <w:pPr>
        <w:pStyle w:val="Prrafoconsangra"/>
        <w:rPr>
          <w:lang w:val="es-MX"/>
        </w:rPr>
      </w:pPr>
      <w:r w:rsidRPr="00BE438A">
        <w:rPr>
          <w:lang w:val="es-MX"/>
        </w:rPr>
        <w:t xml:space="preserve">En esta formulación, el criterio de optimización busca maximizar la razón entre la dispersión </w:t>
      </w:r>
      <w:proofErr w:type="spellStart"/>
      <w:r w:rsidRPr="00BE438A">
        <w:rPr>
          <w:lang w:val="es-MX"/>
        </w:rPr>
        <w:t>interclase</w:t>
      </w:r>
      <w:proofErr w:type="spellEnd"/>
      <w:r w:rsidRPr="00BE438A">
        <w:rPr>
          <w:lang w:val="es-MX"/>
        </w:rPr>
        <w:t xml:space="preserve"> y la dispersión intraclase en el espacio proyectado. Una forma común de expresar este criterio es mediante la razón entre los determinantes de las matrices de dispersión proyectadas</w:t>
      </w:r>
      <w:r>
        <w:rPr>
          <w:lang w:val="es-MX"/>
        </w:rPr>
        <w:t>:</w:t>
      </w:r>
    </w:p>
    <w:p w14:paraId="4DD2DB47" w14:textId="5A31052D" w:rsidR="005452D5" w:rsidRDefault="005452D5" w:rsidP="005452D5">
      <w:pPr>
        <w:pStyle w:val="Prrafoconsangra"/>
      </w:pPr>
      <m:oMathPara>
        <m:oMathParaPr>
          <m:jc m:val="center"/>
        </m:oMathParaPr>
        <m:oMath>
          <m:r>
            <w:rPr>
              <w:rFonts w:ascii="Cambria Math" w:hAnsi="Cambria Math"/>
            </w:rPr>
            <m:t>J</m:t>
          </m:r>
          <m:d>
            <m:dPr>
              <m:ctrlPr>
                <w:rPr>
                  <w:rFonts w:ascii="Cambria Math" w:hAnsi="Cambria Math"/>
                </w:rPr>
              </m:ctrlPr>
            </m:dPr>
            <m:e>
              <m:r>
                <m:rPr>
                  <m:sty m:val="b"/>
                </m:rPr>
                <w:rPr>
                  <w:rFonts w:ascii="Cambria Math" w:hAnsi="Cambria Math"/>
                </w:rPr>
                <m:t>W</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b"/>
                    </m:rPr>
                    <w:rPr>
                      <w:rFonts w:ascii="Cambria Math" w:hAnsi="Cambria Math"/>
                    </w:rPr>
                    <m:t>W</m:t>
                  </m:r>
                </m:e>
              </m:d>
            </m:num>
            <m:den>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b"/>
                    </m:rPr>
                    <w:rPr>
                      <w:rFonts w:ascii="Cambria Math" w:hAnsi="Cambria Math"/>
                    </w:rPr>
                    <m:t>W</m:t>
                  </m:r>
                </m:e>
              </m:d>
            </m:den>
          </m:f>
        </m:oMath>
      </m:oMathPara>
    </w:p>
    <w:p w14:paraId="020FDB35" w14:textId="77777777" w:rsidR="00176024" w:rsidRDefault="00176024" w:rsidP="005452D5">
      <w:pPr>
        <w:pStyle w:val="Prrafoconsangra"/>
      </w:pPr>
    </w:p>
    <w:p w14:paraId="399B44B0" w14:textId="77777777" w:rsidR="00176024" w:rsidRDefault="00176024" w:rsidP="005452D5">
      <w:pPr>
        <w:pStyle w:val="Prrafoconsangra"/>
      </w:pPr>
    </w:p>
    <w:p w14:paraId="60E61505" w14:textId="77777777" w:rsidR="00176024" w:rsidRDefault="00176024" w:rsidP="005452D5">
      <w:pPr>
        <w:pStyle w:val="Prrafoconsangra"/>
      </w:pPr>
    </w:p>
    <w:p w14:paraId="2D3322F7" w14:textId="36F9C93E" w:rsidR="005452D5" w:rsidRPr="0065644D" w:rsidRDefault="00176024" w:rsidP="00176024">
      <w:pPr>
        <w:pStyle w:val="Prrafoconsangra"/>
      </w:pPr>
      <w:r w:rsidRPr="00176024">
        <w:rPr>
          <w:lang w:val="es-MX"/>
        </w:rPr>
        <w:t xml:space="preserve">La maximización de este criterio conduce a un problema de </w:t>
      </w:r>
      <w:r w:rsidRPr="0065644D">
        <w:rPr>
          <w:b/>
          <w:bCs/>
        </w:rPr>
        <w:t>Valores Propios Generalizado</w:t>
      </w:r>
      <w:r w:rsidRPr="0065644D">
        <w:t xml:space="preserve"> (</w:t>
      </w:r>
      <w:proofErr w:type="spellStart"/>
      <w:r w:rsidRPr="0065644D">
        <w:rPr>
          <w:i/>
          <w:iCs/>
        </w:rPr>
        <w:t>Generalized</w:t>
      </w:r>
      <w:proofErr w:type="spellEnd"/>
      <w:r w:rsidRPr="0065644D">
        <w:rPr>
          <w:i/>
          <w:iCs/>
        </w:rPr>
        <w:t xml:space="preserve"> </w:t>
      </w:r>
      <w:proofErr w:type="spellStart"/>
      <w:r w:rsidRPr="0065644D">
        <w:rPr>
          <w:i/>
          <w:iCs/>
        </w:rPr>
        <w:t>Eigenvalue</w:t>
      </w:r>
      <w:proofErr w:type="spellEnd"/>
      <w:r w:rsidRPr="0065644D">
        <w:rPr>
          <w:i/>
          <w:iCs/>
        </w:rPr>
        <w:t xml:space="preserve"> </w:t>
      </w:r>
      <w:proofErr w:type="spellStart"/>
      <w:r w:rsidRPr="0065644D">
        <w:rPr>
          <w:i/>
          <w:iCs/>
        </w:rPr>
        <w:t>Problem</w:t>
      </w:r>
      <w:proofErr w:type="spellEnd"/>
      <w:r w:rsidRPr="0065644D">
        <w:t>)</w:t>
      </w:r>
      <w:r w:rsidRPr="00176024">
        <w:rPr>
          <w:lang w:val="es-MX"/>
        </w:rPr>
        <w:t>, donde los vectores propios definen las direcciones discriminantes y los valores propios asociados indican la relevancia discriminante de cada dirección</w:t>
      </w:r>
      <w:r>
        <w:rPr>
          <w:lang w:val="es-MX"/>
        </w:rPr>
        <w:t xml:space="preserve"> </w:t>
      </w:r>
      <w:r w:rsidRPr="0065644D">
        <w:t>(</w:t>
      </w:r>
      <w:proofErr w:type="spellStart"/>
      <w:r w:rsidRPr="0065644D">
        <w:t>Martinez</w:t>
      </w:r>
      <w:proofErr w:type="spellEnd"/>
      <w:r w:rsidRPr="0065644D">
        <w:t xml:space="preserve"> &amp; Kak, 2001)</w:t>
      </w:r>
      <w:r w:rsidR="005452D5" w:rsidRPr="0065644D">
        <w:t>:</w:t>
      </w:r>
    </w:p>
    <w:p w14:paraId="1DD124FD" w14:textId="77777777" w:rsidR="005452D5" w:rsidRDefault="00000000" w:rsidP="005452D5">
      <w:pPr>
        <w:pStyle w:val="Prrafoconsangra"/>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sSub>
            <m:sSubPr>
              <m:ctrlPr>
                <w:rPr>
                  <w:rFonts w:ascii="Cambria Math" w:hAnsi="Cambria Math"/>
                </w:rPr>
              </m:ctrlPr>
            </m:sSubPr>
            <m:e>
              <m:r>
                <m:rPr>
                  <m:sty m:val="b"/>
                </m:rP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m:rPr>
                  <m:sty m:val="b"/>
                </m:rPr>
                <w:rPr>
                  <w:rFonts w:ascii="Cambria Math" w:hAnsi="Cambria Math"/>
                </w:rPr>
                <m:t>S</m:t>
              </m:r>
            </m:e>
            <m:sub>
              <m:r>
                <w:rPr>
                  <w:rFonts w:ascii="Cambria Math" w:hAnsi="Cambria Math"/>
                </w:rPr>
                <m:t>W</m:t>
              </m:r>
            </m:sub>
          </m:sSub>
          <m:sSub>
            <m:sSubPr>
              <m:ctrlPr>
                <w:rPr>
                  <w:rFonts w:ascii="Cambria Math" w:hAnsi="Cambria Math"/>
                </w:rPr>
              </m:ctrlPr>
            </m:sSubPr>
            <m:e>
              <m:r>
                <m:rPr>
                  <m:sty m:val="b"/>
                </m:rPr>
                <w:rPr>
                  <w:rFonts w:ascii="Cambria Math" w:hAnsi="Cambria Math"/>
                </w:rPr>
                <m:t>w</m:t>
              </m:r>
            </m:e>
            <m:sub>
              <m:r>
                <w:rPr>
                  <w:rFonts w:ascii="Cambria Math" w:hAnsi="Cambria Math"/>
                </w:rPr>
                <m:t>i</m:t>
              </m:r>
            </m:sub>
          </m:sSub>
        </m:oMath>
      </m:oMathPara>
    </w:p>
    <w:p w14:paraId="7B84CDC8" w14:textId="77777777" w:rsidR="005452D5" w:rsidRPr="0065644D" w:rsidRDefault="005452D5" w:rsidP="005452D5">
      <w:pPr>
        <w:pStyle w:val="Prrafoconsangra"/>
      </w:pPr>
      <w:r w:rsidRPr="0065644D">
        <w:t xml:space="preserve">Donde: * </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65644D">
        <w:t xml:space="preserve"> son los </w:t>
      </w:r>
      <w:r w:rsidRPr="0065644D">
        <w:rPr>
          <w:b/>
          <w:bCs/>
        </w:rPr>
        <w:t>valores propios</w:t>
      </w:r>
      <w:r w:rsidRPr="0065644D">
        <w:t xml:space="preserve"> (</w:t>
      </w:r>
      <w:proofErr w:type="spellStart"/>
      <w:r w:rsidRPr="0065644D">
        <w:t>eigenvalues</w:t>
      </w:r>
      <w:proofErr w:type="spellEnd"/>
      <w:r w:rsidRPr="0065644D">
        <w:t xml:space="preserve">), cuya magnitud indica la cantidad de varianza discriminante capturada por esa dirección. * </w:t>
      </w:r>
      <m:oMath>
        <m:sSub>
          <m:sSubPr>
            <m:ctrlPr>
              <w:rPr>
                <w:rFonts w:ascii="Cambria Math" w:hAnsi="Cambria Math"/>
              </w:rPr>
            </m:ctrlPr>
          </m:sSubPr>
          <m:e>
            <m:r>
              <m:rPr>
                <m:sty m:val="b"/>
              </m:rPr>
              <w:rPr>
                <w:rFonts w:ascii="Cambria Math" w:hAnsi="Cambria Math"/>
              </w:rPr>
              <m:t>w</m:t>
            </m:r>
          </m:e>
          <m:sub>
            <m:r>
              <w:rPr>
                <w:rFonts w:ascii="Cambria Math" w:hAnsi="Cambria Math"/>
              </w:rPr>
              <m:t>i</m:t>
            </m:r>
          </m:sub>
        </m:sSub>
      </m:oMath>
      <w:r w:rsidRPr="0065644D">
        <w:t xml:space="preserve"> son los </w:t>
      </w:r>
      <w:r w:rsidRPr="0065644D">
        <w:rPr>
          <w:b/>
          <w:bCs/>
        </w:rPr>
        <w:t>vectores propios</w:t>
      </w:r>
      <w:r w:rsidRPr="0065644D">
        <w:t xml:space="preserve"> (</w:t>
      </w:r>
      <w:proofErr w:type="spellStart"/>
      <w:r w:rsidRPr="0065644D">
        <w:t>eigenvectors</w:t>
      </w:r>
      <w:proofErr w:type="spellEnd"/>
      <w:r w:rsidRPr="0065644D">
        <w:t>) correspondientes, que definen los nuevos ejes del espacio transformado.</w:t>
      </w:r>
    </w:p>
    <w:p w14:paraId="30D763A0" w14:textId="77777777" w:rsidR="005452D5" w:rsidRPr="007F78CF" w:rsidRDefault="005452D5" w:rsidP="005452D5">
      <w:pPr>
        <w:pStyle w:val="Ttulo4"/>
      </w:pPr>
      <w:bookmarkStart w:id="6" w:name="X66588349c84259ce9eac8931335568a53b1556b"/>
      <w:bookmarkEnd w:id="5"/>
      <w:r w:rsidRPr="007F78CF">
        <w:t>2.3.2.3 Selección de Componentes y Reducción Dimensional</w:t>
      </w:r>
    </w:p>
    <w:p w14:paraId="5215AF3D" w14:textId="77777777" w:rsidR="005452D5" w:rsidRPr="0065644D" w:rsidRDefault="005452D5" w:rsidP="005452D5">
      <w:pPr>
        <w:pStyle w:val="Prrafoconsangra"/>
      </w:pPr>
      <w:r w:rsidRPr="0065644D">
        <w:t xml:space="preserve">Para obtener la proyección final, se seleccionan los vectores propios correspondientes a los </w:t>
      </w:r>
      <m:oMath>
        <m:r>
          <w:rPr>
            <w:rFonts w:ascii="Cambria Math" w:hAnsi="Cambria Math"/>
          </w:rPr>
          <m:t>L</m:t>
        </m:r>
      </m:oMath>
      <w:r w:rsidRPr="0065644D">
        <w:t xml:space="preserve"> valores propios más grandes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&gt;…&gt;</m:t>
        </m:r>
        <m:sSub>
          <m:sSubPr>
            <m:ctrlPr>
              <w:rPr>
                <w:rFonts w:ascii="Cambria Math" w:hAnsi="Cambria Math"/>
              </w:rPr>
            </m:ctrlPr>
          </m:sSubPr>
          <m:e>
            <m:r>
              <w:rPr>
                <w:rFonts w:ascii="Cambria Math" w:hAnsi="Cambria Math"/>
              </w:rPr>
              <m:t>λ</m:t>
            </m:r>
          </m:e>
          <m:sub>
            <m:r>
              <w:rPr>
                <w:rFonts w:ascii="Cambria Math" w:hAnsi="Cambria Math"/>
              </w:rPr>
              <m:t>L</m:t>
            </m:r>
          </m:sub>
        </m:sSub>
      </m:oMath>
      <w:r w:rsidRPr="0065644D">
        <w:t xml:space="preserve">). Es importante notar que el rango de la matriz </w:t>
      </w:r>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oMath>
      <w:r w:rsidRPr="0065644D">
        <w:t xml:space="preserve"> es a lo sumo </w:t>
      </w:r>
      <m:oMath>
        <m:r>
          <w:rPr>
            <w:rFonts w:ascii="Cambria Math" w:hAnsi="Cambria Math"/>
          </w:rPr>
          <m:t>K</m:t>
        </m:r>
        <m:r>
          <m:rPr>
            <m:sty m:val="p"/>
          </m:rPr>
          <w:rPr>
            <w:rFonts w:ascii="Cambria Math" w:hAnsi="Cambria Math"/>
          </w:rPr>
          <m:t>-</m:t>
        </m:r>
        <m:r>
          <w:rPr>
            <w:rFonts w:ascii="Cambria Math" w:hAnsi="Cambria Math"/>
          </w:rPr>
          <m:t>1</m:t>
        </m:r>
      </m:oMath>
      <w:r w:rsidRPr="0065644D">
        <w:t>, lo que impone una restricción física al número máximo de dimensiones discriminantes que se pueden extraer (Martinez &amp; Kak, 2001):</w:t>
      </w:r>
    </w:p>
    <w:p w14:paraId="24F0A741" w14:textId="77777777" w:rsidR="005452D5" w:rsidRDefault="005452D5" w:rsidP="005452D5">
      <w:pPr>
        <w:pStyle w:val="Prrafoconsangra"/>
      </w:pPr>
      <m:oMathPara>
        <m:oMathParaPr>
          <m:jc m:val="center"/>
        </m:oMathParaPr>
        <m:oMath>
          <m:r>
            <w:rPr>
              <w:rFonts w:ascii="Cambria Math" w:hAnsi="Cambria Math"/>
            </w:rPr>
            <m:t>L</m:t>
          </m:r>
          <m:r>
            <m:rPr>
              <m:sty m:val="p"/>
            </m:rPr>
            <w:rPr>
              <w:rFonts w:ascii="Cambria Math" w:hAnsi="Cambria Math"/>
            </w:rPr>
            <m:t>≤min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e>
          </m:d>
        </m:oMath>
      </m:oMathPara>
    </w:p>
    <w:p w14:paraId="3F4D3843" w14:textId="77777777" w:rsidR="005452D5" w:rsidRPr="0065644D" w:rsidRDefault="005452D5" w:rsidP="005452D5">
      <w:pPr>
        <w:pStyle w:val="Ttulo3"/>
      </w:pPr>
      <w:bookmarkStart w:id="7" w:name="_Toc218775664"/>
      <w:bookmarkEnd w:id="3"/>
      <w:bookmarkEnd w:id="6"/>
      <w:r w:rsidRPr="0065644D">
        <w:t>2.3.3 Limitaciones y Desafíos Técnicos</w:t>
      </w:r>
      <w:bookmarkEnd w:id="7"/>
    </w:p>
    <w:p w14:paraId="10743F67" w14:textId="77777777" w:rsidR="005452D5" w:rsidRPr="0065644D" w:rsidRDefault="005452D5" w:rsidP="005452D5">
      <w:pPr>
        <w:pStyle w:val="Prrafoconsangra"/>
      </w:pPr>
      <w:r w:rsidRPr="0065644D">
        <w:t>Si bien el Análisis Discriminante Lineal ofrece una solución cerrada y eficiente para la reducción de dimensionalidad, su formulación clásica enfrenta barreras críticas que degradan severamente su desempeño en escenarios de datos complejos. Estas limitaciones se agrupan en tres categorías principales: rigidez geométrica, inestabilidad numérica y restricciones de muestreo.</w:t>
      </w:r>
    </w:p>
    <w:p w14:paraId="56B11CD2" w14:textId="77777777" w:rsidR="005452D5" w:rsidRPr="007F78CF" w:rsidRDefault="005452D5" w:rsidP="005452D5">
      <w:pPr>
        <w:pStyle w:val="Ttulo4"/>
      </w:pPr>
      <w:bookmarkStart w:id="8" w:name="X4b37788978a307d26e2dac43cc305975b1c3b49"/>
      <w:r w:rsidRPr="007F78CF">
        <w:t>2.3.3.1 Incapacidad ante la No Linealidad (Rigidez Geométrica)</w:t>
      </w:r>
    </w:p>
    <w:p w14:paraId="63AB8C4A" w14:textId="77777777" w:rsidR="005452D5" w:rsidRPr="0065644D" w:rsidRDefault="005452D5" w:rsidP="005452D5">
      <w:pPr>
        <w:pStyle w:val="Prrafoconsangra"/>
      </w:pPr>
      <w:r w:rsidRPr="0065644D">
        <w:t xml:space="preserve">La limitación más evidente del LDA, tanto en su versión binaria como multiclase, es la asunción de que las fronteras de decisión óptimas son hiperplanos (líneas rectas en 2D, planos en 3D). Como se ilustra en la literatura, cuando las clases presentan distribuciones no convexas, multimodales o concéntricas (como el problema de las “esferas anidadas”), la matriz de dispersión </w:t>
      </w:r>
      <w:proofErr w:type="spellStart"/>
      <w:r w:rsidRPr="0065644D">
        <w:t>inter-clases</w:t>
      </w:r>
      <w:proofErr w:type="spellEnd"/>
      <w:r w:rsidRPr="0065644D">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oMath>
      <w:r w:rsidRPr="0065644D">
        <w:t xml:space="preserve"> colapsa o no refleja la verdadera separabilidad topológica. En estos casos, proyectar los datos sobre una base lineal resulta en una superposición masiva de las clases, haciendo imposible la clasificación (Bishop &amp; Nasrabadi, 2006).</w:t>
      </w:r>
    </w:p>
    <w:p w14:paraId="4731D138" w14:textId="77777777" w:rsidR="005452D5" w:rsidRPr="0065644D" w:rsidRDefault="005452D5" w:rsidP="005452D5">
      <w:pPr>
        <w:pStyle w:val="Ttulo4"/>
      </w:pPr>
      <w:bookmarkStart w:id="9" w:name="X2d82a4ee462c809caaa9e48b62e87004b5ee271"/>
      <w:bookmarkEnd w:id="8"/>
      <w:r w:rsidRPr="0065644D">
        <w:lastRenderedPageBreak/>
        <w:t>2</w:t>
      </w:r>
      <w:r>
        <w:t>.3.3.2</w:t>
      </w:r>
      <w:r w:rsidRPr="0065644D">
        <w:t xml:space="preserve">. El Problema del Pequeño Tamaño de Muestra (SSS </w:t>
      </w:r>
      <w:proofErr w:type="spellStart"/>
      <w:r w:rsidRPr="0065644D">
        <w:t>Problem</w:t>
      </w:r>
      <w:proofErr w:type="spellEnd"/>
      <w:r w:rsidRPr="0065644D">
        <w:t>)</w:t>
      </w:r>
    </w:p>
    <w:p w14:paraId="5D341F1E" w14:textId="77777777" w:rsidR="005452D5" w:rsidRPr="0065644D" w:rsidRDefault="005452D5" w:rsidP="005452D5">
      <w:pPr>
        <w:pStyle w:val="Prrafoconsangra"/>
      </w:pPr>
      <w:r w:rsidRPr="0065644D">
        <w:t xml:space="preserve">Un desafío fundamental en el análisis discriminante es el conocido </w:t>
      </w:r>
      <w:r w:rsidRPr="0065644D">
        <w:rPr>
          <w:b/>
          <w:bCs/>
        </w:rPr>
        <w:t xml:space="preserve">“Small Sample Size (SSS) </w:t>
      </w:r>
      <w:proofErr w:type="spellStart"/>
      <w:r w:rsidRPr="0065644D">
        <w:rPr>
          <w:b/>
          <w:bCs/>
        </w:rPr>
        <w:t>problem</w:t>
      </w:r>
      <w:proofErr w:type="spellEnd"/>
      <w:r w:rsidRPr="0065644D">
        <w:rPr>
          <w:b/>
          <w:bCs/>
        </w:rPr>
        <w:t>”</w:t>
      </w:r>
      <w:r w:rsidRPr="0065644D">
        <w:t xml:space="preserve">. Para que el LDA funcione, se requiere calcular la inversa de la matriz de dispersión </w:t>
      </w:r>
      <w:proofErr w:type="spellStart"/>
      <w:r w:rsidRPr="0065644D">
        <w:t>intra-clases</w:t>
      </w:r>
      <w:proofErr w:type="spellEnd"/>
      <w:r w:rsidRPr="0065644D">
        <w:t xml:space="preserve"> (</w:t>
      </w:r>
      <m:oMath>
        <m:sSubSup>
          <m:sSubSupPr>
            <m:ctrlPr>
              <w:rPr>
                <w:rFonts w:ascii="Cambria Math" w:hAnsi="Cambria Math"/>
              </w:rPr>
            </m:ctrlPr>
          </m:sSubSupPr>
          <m:e>
            <m:r>
              <m:rPr>
                <m:sty m:val="b"/>
              </m:rPr>
              <w:rPr>
                <w:rFonts w:ascii="Cambria Math" w:hAnsi="Cambria Math"/>
              </w:rPr>
              <m:t>S</m:t>
            </m:r>
          </m:e>
          <m:sub>
            <m:r>
              <w:rPr>
                <w:rFonts w:ascii="Cambria Math" w:hAnsi="Cambria Math"/>
              </w:rPr>
              <m:t>W</m:t>
            </m:r>
          </m:sub>
          <m:sup>
            <m:r>
              <m:rPr>
                <m:sty m:val="p"/>
              </m:rPr>
              <w:rPr>
                <w:rFonts w:ascii="Cambria Math" w:hAnsi="Cambria Math"/>
              </w:rPr>
              <m:t>-</m:t>
            </m:r>
            <m:r>
              <w:rPr>
                <w:rFonts w:ascii="Cambria Math" w:hAnsi="Cambria Math"/>
              </w:rPr>
              <m:t>1</m:t>
            </m:r>
          </m:sup>
        </m:sSubSup>
      </m:oMath>
      <w:r w:rsidRPr="0065644D">
        <w:t xml:space="preserve">). Sin embargo, la teoría de matrices establece que </w:t>
      </w: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oMath>
      <w:r w:rsidRPr="0065644D">
        <w:t xml:space="preserve"> será singular (no invertible) si el número de observaciones de entrenamiento </w:t>
      </w:r>
      <m:oMath>
        <m:r>
          <w:rPr>
            <w:rFonts w:ascii="Cambria Math" w:hAnsi="Cambria Math"/>
          </w:rPr>
          <m:t>N</m:t>
        </m:r>
      </m:oMath>
      <w:r w:rsidRPr="0065644D">
        <w:t xml:space="preserve"> es menor que la dimensión del espacio de características </w:t>
      </w:r>
      <m:oMath>
        <m:r>
          <w:rPr>
            <w:rFonts w:ascii="Cambria Math" w:hAnsi="Cambria Math"/>
          </w:rPr>
          <m:t>d</m:t>
        </m:r>
      </m:oMath>
      <w:r w:rsidRPr="0065644D">
        <w:t xml:space="preserve"> (</w:t>
      </w:r>
      <m:oMath>
        <m:r>
          <w:rPr>
            <w:rFonts w:ascii="Cambria Math" w:hAnsi="Cambria Math"/>
          </w:rPr>
          <m:t>N</m:t>
        </m:r>
        <m:r>
          <m:rPr>
            <m:sty m:val="p"/>
          </m:rPr>
          <w:rPr>
            <w:rFonts w:ascii="Cambria Math" w:hAnsi="Cambria Math"/>
          </w:rPr>
          <m:t>&lt;</m:t>
        </m:r>
        <m:r>
          <w:rPr>
            <w:rFonts w:ascii="Cambria Math" w:hAnsi="Cambria Math"/>
          </w:rPr>
          <m:t>d</m:t>
        </m:r>
      </m:oMath>
      <w:r w:rsidRPr="0065644D">
        <w:t>).</w:t>
      </w:r>
    </w:p>
    <w:p w14:paraId="339AB092" w14:textId="77777777" w:rsidR="005452D5" w:rsidRPr="0065644D" w:rsidRDefault="005452D5" w:rsidP="005452D5">
      <w:pPr>
        <w:pStyle w:val="Prrafoconsangra"/>
      </w:pPr>
      <w:r w:rsidRPr="0065644D">
        <w:t>En contextos de alta dimensionalidad (como en datos genómicos o expansiones polinomiales masivas), es común tener muchas variables y pocas muestras. Esto provoca que la matriz sea deficiente de rango, impidiendo el cálculo directo de los vectores propios y generando inestabilidad numérica extrema (Gao &amp; Davis, 2006).</w:t>
      </w:r>
    </w:p>
    <w:bookmarkEnd w:id="9"/>
    <w:p w14:paraId="50748F61" w14:textId="77777777" w:rsidR="005452D5" w:rsidRPr="0065644D" w:rsidRDefault="005452D5" w:rsidP="005452D5">
      <w:pPr>
        <w:pStyle w:val="Ttulo4"/>
      </w:pPr>
      <w:r>
        <w:t>2.3.3</w:t>
      </w:r>
      <w:r w:rsidRPr="0065644D">
        <w:t>.</w:t>
      </w:r>
      <w:r>
        <w:t>3</w:t>
      </w:r>
      <w:r w:rsidRPr="0065644D">
        <w:t xml:space="preserve"> Singularidad e </w:t>
      </w:r>
      <w:proofErr w:type="spellStart"/>
      <w:r w:rsidRPr="0065644D">
        <w:t>Invertibilidad</w:t>
      </w:r>
      <w:proofErr w:type="spellEnd"/>
      <w:r w:rsidRPr="0065644D">
        <w:t xml:space="preserve"> de Matrices</w:t>
      </w:r>
    </w:p>
    <w:p w14:paraId="22AD5AE0" w14:textId="77777777" w:rsidR="005452D5" w:rsidRPr="0065644D" w:rsidRDefault="005452D5" w:rsidP="005452D5">
      <w:pPr>
        <w:pStyle w:val="Prrafoconsangra"/>
      </w:pPr>
      <w:r w:rsidRPr="0065644D">
        <w:t xml:space="preserve">Incluso cuando </w:t>
      </w:r>
      <m:oMath>
        <m:r>
          <w:rPr>
            <w:rFonts w:ascii="Cambria Math" w:hAnsi="Cambria Math"/>
          </w:rPr>
          <m:t>N</m:t>
        </m:r>
        <m:r>
          <m:rPr>
            <m:sty m:val="p"/>
          </m:rPr>
          <w:rPr>
            <w:rFonts w:ascii="Cambria Math" w:hAnsi="Cambria Math"/>
          </w:rPr>
          <m:t>&gt;</m:t>
        </m:r>
        <m:r>
          <w:rPr>
            <w:rFonts w:ascii="Cambria Math" w:hAnsi="Cambria Math"/>
          </w:rPr>
          <m:t>d</m:t>
        </m:r>
      </m:oMath>
      <w:r w:rsidRPr="0065644D">
        <w:t xml:space="preserve">, la matriz </w:t>
      </w: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oMath>
      <w:r w:rsidRPr="0065644D">
        <w:t xml:space="preserve"> puede volverse mal condicionada (cercana a ser singular) si existen variables altamente correlacionadas (colinealidad). En el contexto de esta investigación, la expansión polinomial genera intrínsecamente una alta colinealidad (ej. </w:t>
      </w:r>
      <m:oMath>
        <m:r>
          <w:rPr>
            <w:rFonts w:ascii="Cambria Math" w:hAnsi="Cambria Math"/>
          </w:rPr>
          <m:t>x</m:t>
        </m:r>
      </m:oMath>
      <w:r w:rsidRPr="0065644D">
        <w:t xml:space="preserve"> y </w:t>
      </w:r>
      <m:oMath>
        <m:sSup>
          <m:sSupPr>
            <m:ctrlPr>
              <w:rPr>
                <w:rFonts w:ascii="Cambria Math" w:hAnsi="Cambria Math"/>
              </w:rPr>
            </m:ctrlPr>
          </m:sSupPr>
          <m:e>
            <m:r>
              <w:rPr>
                <w:rFonts w:ascii="Cambria Math" w:hAnsi="Cambria Math"/>
              </w:rPr>
              <m:t>x</m:t>
            </m:r>
          </m:e>
          <m:sup>
            <m:r>
              <w:rPr>
                <w:rFonts w:ascii="Cambria Math" w:hAnsi="Cambria Math"/>
              </w:rPr>
              <m:t>2</m:t>
            </m:r>
          </m:sup>
        </m:sSup>
      </m:oMath>
      <w:r w:rsidRPr="0065644D">
        <w:t xml:space="preserve"> están correlacionados). Si no se seleccionan las variables adecuadamente, el determinante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W</m:t>
                </m:r>
              </m:sub>
            </m:sSub>
          </m:e>
        </m:d>
      </m:oMath>
      <w:r w:rsidRPr="0065644D">
        <w:t xml:space="preserve"> tiende a cero, haciendo que el cálculo de la proyección </w:t>
      </w:r>
      <m:oMath>
        <m:r>
          <m:rPr>
            <m:sty m:val="b"/>
          </m:rPr>
          <w:rPr>
            <w:rFonts w:ascii="Cambria Math" w:hAnsi="Cambria Math"/>
          </w:rPr>
          <m:t>w</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S</m:t>
            </m:r>
          </m:e>
          <m:sub>
            <m:r>
              <w:rPr>
                <w:rFonts w:ascii="Cambria Math" w:hAnsi="Cambria Math"/>
              </w:rPr>
              <m:t>W</m:t>
            </m:r>
          </m:sub>
          <m:sup>
            <m:r>
              <m:rPr>
                <m:sty m:val="p"/>
              </m:rPr>
              <w:rPr>
                <w:rFonts w:ascii="Cambria Math" w:hAnsi="Cambria Math"/>
              </w:rPr>
              <m:t>-</m:t>
            </m:r>
            <m:r>
              <w:rPr>
                <w:rFonts w:ascii="Cambria Math" w:hAnsi="Cambria Math"/>
              </w:rPr>
              <m:t>1</m:t>
            </m:r>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oMath>
      <w:r w:rsidRPr="0065644D">
        <w:t xml:space="preserve"> sea numéricamente inviable o produzca vectores de peso con varianza explosiva (Huang et al., 2002).</w:t>
      </w:r>
    </w:p>
    <w:p w14:paraId="590EBFC9" w14:textId="77777777" w:rsidR="005F7477" w:rsidRDefault="005F7477">
      <w:pPr>
        <w:rPr>
          <w:lang w:val="es-ES_tradnl"/>
        </w:rPr>
      </w:pPr>
    </w:p>
    <w:p w14:paraId="1AE301B5" w14:textId="77777777" w:rsidR="00E242B7" w:rsidRDefault="00E242B7">
      <w:pPr>
        <w:rPr>
          <w:lang w:val="es-ES_tradnl"/>
        </w:rPr>
      </w:pPr>
    </w:p>
    <w:p w14:paraId="592227B4" w14:textId="77777777" w:rsidR="00E242B7" w:rsidRDefault="00E242B7">
      <w:pPr>
        <w:rPr>
          <w:lang w:val="es-ES_tradnl"/>
        </w:rPr>
      </w:pPr>
    </w:p>
    <w:p w14:paraId="2D35F236" w14:textId="77777777" w:rsidR="00E242B7" w:rsidRDefault="00E242B7">
      <w:pPr>
        <w:rPr>
          <w:lang w:val="es-ES_tradnl"/>
        </w:rPr>
      </w:pPr>
    </w:p>
    <w:p w14:paraId="6C06C5E2" w14:textId="77777777" w:rsidR="00E242B7" w:rsidRDefault="00E242B7">
      <w:pPr>
        <w:rPr>
          <w:lang w:val="es-ES_tradnl"/>
        </w:rPr>
      </w:pPr>
    </w:p>
    <w:p w14:paraId="3AE35FF2" w14:textId="77777777" w:rsidR="00E242B7" w:rsidRDefault="00E242B7">
      <w:pPr>
        <w:rPr>
          <w:lang w:val="es-ES_tradnl"/>
        </w:rPr>
      </w:pPr>
    </w:p>
    <w:p w14:paraId="421470FB" w14:textId="77777777" w:rsidR="00E242B7" w:rsidRDefault="00E242B7">
      <w:pPr>
        <w:rPr>
          <w:lang w:val="es-ES_tradnl"/>
        </w:rPr>
      </w:pPr>
    </w:p>
    <w:p w14:paraId="04D12B73" w14:textId="77777777" w:rsidR="00E242B7" w:rsidRDefault="00E242B7">
      <w:pPr>
        <w:rPr>
          <w:lang w:val="es-ES_tradnl"/>
        </w:rPr>
      </w:pPr>
    </w:p>
    <w:p w14:paraId="2DCC636B" w14:textId="77777777" w:rsidR="00E242B7" w:rsidRDefault="00E242B7">
      <w:pPr>
        <w:rPr>
          <w:lang w:val="es-ES_tradnl"/>
        </w:rPr>
      </w:pPr>
    </w:p>
    <w:p w14:paraId="75DCCB9F" w14:textId="77777777" w:rsidR="00E242B7" w:rsidRDefault="00E242B7">
      <w:pPr>
        <w:rPr>
          <w:lang w:val="es-ES_tradnl"/>
        </w:rPr>
      </w:pPr>
    </w:p>
    <w:p w14:paraId="703E7E21" w14:textId="77777777" w:rsidR="00E242B7" w:rsidRDefault="00E242B7">
      <w:pPr>
        <w:rPr>
          <w:lang w:val="es-ES_tradnl"/>
        </w:rPr>
      </w:pPr>
    </w:p>
    <w:p w14:paraId="5BD65896" w14:textId="77777777" w:rsidR="00E242B7" w:rsidRDefault="00E242B7">
      <w:pPr>
        <w:rPr>
          <w:lang w:val="es-ES_tradnl"/>
        </w:rPr>
      </w:pPr>
    </w:p>
    <w:p w14:paraId="37B2CA2A" w14:textId="77777777" w:rsidR="00E242B7" w:rsidRDefault="00E242B7">
      <w:pPr>
        <w:rPr>
          <w:lang w:val="es-ES_tradnl"/>
        </w:rPr>
      </w:pPr>
    </w:p>
    <w:p w14:paraId="371A11DF" w14:textId="77777777" w:rsidR="00E242B7" w:rsidRDefault="00E242B7">
      <w:pPr>
        <w:rPr>
          <w:lang w:val="es-ES_tradnl"/>
        </w:rPr>
      </w:pPr>
    </w:p>
    <w:p w14:paraId="0666D46B" w14:textId="77777777" w:rsidR="00E242B7" w:rsidRDefault="00E242B7">
      <w:pPr>
        <w:rPr>
          <w:lang w:val="es-ES_tradnl"/>
        </w:rPr>
      </w:pPr>
    </w:p>
    <w:p w14:paraId="579B9204" w14:textId="77777777" w:rsidR="00E242B7" w:rsidRDefault="00E242B7">
      <w:pPr>
        <w:rPr>
          <w:lang w:val="es-ES_tradnl"/>
        </w:rPr>
      </w:pPr>
    </w:p>
    <w:p w14:paraId="0429C7D0" w14:textId="77777777" w:rsidR="00E242B7" w:rsidRDefault="00E242B7">
      <w:pPr>
        <w:rPr>
          <w:lang w:val="es-ES_tradnl"/>
        </w:rPr>
      </w:pPr>
    </w:p>
    <w:p w14:paraId="12F8D17F" w14:textId="77777777" w:rsidR="00E242B7" w:rsidRDefault="00E242B7">
      <w:pPr>
        <w:rPr>
          <w:lang w:val="es-ES_tradnl"/>
        </w:rPr>
      </w:pPr>
    </w:p>
    <w:p w14:paraId="34DF40A3" w14:textId="77777777" w:rsidR="00E242B7" w:rsidRDefault="00E242B7">
      <w:pPr>
        <w:rPr>
          <w:lang w:val="es-ES_tradnl"/>
        </w:rPr>
      </w:pPr>
    </w:p>
    <w:p w14:paraId="11F2A0B2" w14:textId="77777777" w:rsidR="00E242B7" w:rsidRDefault="00E242B7">
      <w:pPr>
        <w:rPr>
          <w:lang w:val="es-ES_tradnl"/>
        </w:rPr>
      </w:pPr>
    </w:p>
    <w:p w14:paraId="6C058B4B" w14:textId="77777777" w:rsidR="00E242B7" w:rsidRDefault="00E242B7">
      <w:pPr>
        <w:rPr>
          <w:lang w:val="es-ES_tradnl"/>
        </w:rPr>
      </w:pPr>
    </w:p>
    <w:p w14:paraId="28582082" w14:textId="77777777" w:rsidR="00E242B7" w:rsidRDefault="00E242B7">
      <w:pPr>
        <w:rPr>
          <w:lang w:val="es-ES_tradnl"/>
        </w:rPr>
      </w:pPr>
    </w:p>
    <w:p w14:paraId="47EE6625" w14:textId="77777777" w:rsidR="00E242B7" w:rsidRDefault="00E242B7">
      <w:pPr>
        <w:rPr>
          <w:lang w:val="es-ES_tradnl"/>
        </w:rPr>
      </w:pPr>
    </w:p>
    <w:p w14:paraId="090AC685" w14:textId="77777777" w:rsidR="00E242B7" w:rsidRDefault="00E242B7">
      <w:pPr>
        <w:rPr>
          <w:lang w:val="es-ES_tradnl"/>
        </w:rPr>
      </w:pPr>
    </w:p>
    <w:p w14:paraId="43DB44D3" w14:textId="77777777" w:rsidR="00E242B7" w:rsidRDefault="00E242B7">
      <w:pPr>
        <w:rPr>
          <w:lang w:val="es-ES_tradnl"/>
        </w:rPr>
      </w:pPr>
    </w:p>
    <w:p w14:paraId="78D56B0C" w14:textId="77777777" w:rsidR="00E242B7" w:rsidRDefault="00E242B7">
      <w:pPr>
        <w:rPr>
          <w:lang w:val="es-ES_tradnl"/>
        </w:rPr>
      </w:pPr>
    </w:p>
    <w:p w14:paraId="62893107" w14:textId="77777777" w:rsidR="00E242B7" w:rsidRDefault="00E242B7">
      <w:pPr>
        <w:rPr>
          <w:lang w:val="es-ES_tradnl"/>
        </w:rPr>
      </w:pPr>
    </w:p>
    <w:p w14:paraId="392CFA5D" w14:textId="77777777" w:rsidR="00E242B7" w:rsidRDefault="00E242B7">
      <w:pPr>
        <w:rPr>
          <w:lang w:val="es-ES_tradnl"/>
        </w:rPr>
      </w:pPr>
    </w:p>
    <w:p w14:paraId="0BC08480" w14:textId="77777777" w:rsidR="00E242B7" w:rsidRPr="005452D5" w:rsidRDefault="00E242B7">
      <w:pPr>
        <w:rPr>
          <w:lang w:val="es-ES_tradnl"/>
        </w:rPr>
      </w:pPr>
    </w:p>
    <w:sectPr w:rsidR="00E242B7" w:rsidRPr="005452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EE2"/>
    <w:rsid w:val="00176024"/>
    <w:rsid w:val="00350BF1"/>
    <w:rsid w:val="00401169"/>
    <w:rsid w:val="004C6D34"/>
    <w:rsid w:val="005452D5"/>
    <w:rsid w:val="005F7477"/>
    <w:rsid w:val="00BE438A"/>
    <w:rsid w:val="00DC6F5B"/>
    <w:rsid w:val="00E02EE2"/>
    <w:rsid w:val="00E242B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0639"/>
  <w15:chartTrackingRefBased/>
  <w15:docId w15:val="{1D4A1224-C1AD-47CC-B9A4-362F1C050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E02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02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02E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02E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2E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2E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2E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2E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2E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02E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02E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02E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02E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2E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2E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2E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2E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2EE2"/>
    <w:rPr>
      <w:rFonts w:eastAsiaTheme="majorEastAsia" w:cstheme="majorBidi"/>
      <w:color w:val="272727" w:themeColor="text1" w:themeTint="D8"/>
    </w:rPr>
  </w:style>
  <w:style w:type="paragraph" w:styleId="Ttulo">
    <w:name w:val="Title"/>
    <w:basedOn w:val="Normal"/>
    <w:next w:val="Normal"/>
    <w:link w:val="TtuloCar"/>
    <w:uiPriority w:val="10"/>
    <w:qFormat/>
    <w:rsid w:val="00E02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2E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2E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2E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2EE2"/>
    <w:pPr>
      <w:spacing w:before="160"/>
      <w:jc w:val="center"/>
    </w:pPr>
    <w:rPr>
      <w:i/>
      <w:iCs/>
      <w:color w:val="404040" w:themeColor="text1" w:themeTint="BF"/>
    </w:rPr>
  </w:style>
  <w:style w:type="character" w:customStyle="1" w:styleId="CitaCar">
    <w:name w:val="Cita Car"/>
    <w:basedOn w:val="Fuentedeprrafopredeter"/>
    <w:link w:val="Cita"/>
    <w:uiPriority w:val="29"/>
    <w:rsid w:val="00E02EE2"/>
    <w:rPr>
      <w:i/>
      <w:iCs/>
      <w:color w:val="404040" w:themeColor="text1" w:themeTint="BF"/>
    </w:rPr>
  </w:style>
  <w:style w:type="paragraph" w:styleId="Prrafodelista">
    <w:name w:val="List Paragraph"/>
    <w:basedOn w:val="Normal"/>
    <w:uiPriority w:val="34"/>
    <w:qFormat/>
    <w:rsid w:val="00E02EE2"/>
    <w:pPr>
      <w:ind w:left="720"/>
      <w:contextualSpacing/>
    </w:pPr>
  </w:style>
  <w:style w:type="character" w:styleId="nfasisintenso">
    <w:name w:val="Intense Emphasis"/>
    <w:basedOn w:val="Fuentedeprrafopredeter"/>
    <w:uiPriority w:val="21"/>
    <w:qFormat/>
    <w:rsid w:val="00E02EE2"/>
    <w:rPr>
      <w:i/>
      <w:iCs/>
      <w:color w:val="0F4761" w:themeColor="accent1" w:themeShade="BF"/>
    </w:rPr>
  </w:style>
  <w:style w:type="paragraph" w:styleId="Citadestacada">
    <w:name w:val="Intense Quote"/>
    <w:basedOn w:val="Normal"/>
    <w:next w:val="Normal"/>
    <w:link w:val="CitadestacadaCar"/>
    <w:uiPriority w:val="30"/>
    <w:qFormat/>
    <w:rsid w:val="00E02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2EE2"/>
    <w:rPr>
      <w:i/>
      <w:iCs/>
      <w:color w:val="0F4761" w:themeColor="accent1" w:themeShade="BF"/>
    </w:rPr>
  </w:style>
  <w:style w:type="character" w:styleId="Referenciaintensa">
    <w:name w:val="Intense Reference"/>
    <w:basedOn w:val="Fuentedeprrafopredeter"/>
    <w:uiPriority w:val="32"/>
    <w:qFormat/>
    <w:rsid w:val="00E02EE2"/>
    <w:rPr>
      <w:b/>
      <w:bCs/>
      <w:smallCaps/>
      <w:color w:val="0F4761" w:themeColor="accent1" w:themeShade="BF"/>
      <w:spacing w:val="5"/>
    </w:rPr>
  </w:style>
  <w:style w:type="paragraph" w:customStyle="1" w:styleId="Prrafobase">
    <w:name w:val="Párrafo base"/>
    <w:basedOn w:val="Normal"/>
    <w:next w:val="Prrafoconsangra"/>
    <w:qFormat/>
    <w:rsid w:val="005452D5"/>
    <w:pPr>
      <w:autoSpaceDE w:val="0"/>
      <w:autoSpaceDN w:val="0"/>
      <w:adjustRightInd w:val="0"/>
      <w:spacing w:after="0" w:line="360" w:lineRule="auto"/>
      <w:jc w:val="both"/>
      <w:textAlignment w:val="center"/>
    </w:pPr>
    <w:rPr>
      <w:rFonts w:ascii="Times New Roman" w:eastAsiaTheme="minorEastAsia" w:hAnsi="Times New Roman" w:cs="Times New Roman"/>
      <w:color w:val="000000"/>
      <w:kern w:val="0"/>
      <w:szCs w:val="26"/>
      <w:lang w:val="es-ES_tradnl" w:eastAsia="es-MX"/>
      <w14:ligatures w14:val="none"/>
    </w:rPr>
  </w:style>
  <w:style w:type="paragraph" w:customStyle="1" w:styleId="Prrafoconsangra">
    <w:name w:val="Párrafo con sangría"/>
    <w:basedOn w:val="Prrafobase"/>
    <w:qFormat/>
    <w:rsid w:val="005452D5"/>
    <w:pPr>
      <w:ind w:firstLine="709"/>
    </w:pPr>
  </w:style>
  <w:style w:type="character" w:styleId="Textodelmarcadordeposicin">
    <w:name w:val="Placeholder Text"/>
    <w:basedOn w:val="Fuentedeprrafopredeter"/>
    <w:uiPriority w:val="99"/>
    <w:semiHidden/>
    <w:rsid w:val="00BE438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1388</Words>
  <Characters>7639</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BAEZ ANGEL</dc:creator>
  <cp:keywords/>
  <dc:description/>
  <cp:lastModifiedBy>GARCIA BAEZ ANGEL</cp:lastModifiedBy>
  <cp:revision>3</cp:revision>
  <dcterms:created xsi:type="dcterms:W3CDTF">2026-06-23T20:14:00Z</dcterms:created>
  <dcterms:modified xsi:type="dcterms:W3CDTF">2026-06-23T21:09:00Z</dcterms:modified>
</cp:coreProperties>
</file>