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37C9" w14:textId="77777777" w:rsidR="003876D8" w:rsidRPr="003876D8" w:rsidRDefault="003876D8" w:rsidP="002232B5">
      <w:pPr>
        <w:pStyle w:val="Prrafobase"/>
      </w:pPr>
      <w:bookmarkStart w:id="0" w:name="_Toc233016369"/>
      <w:bookmarkStart w:id="1" w:name="_Toc233066797"/>
      <w:r w:rsidRPr="003876D8">
        <w:t>3</w:t>
      </w:r>
      <w:r w:rsidRPr="003876D8">
        <w:tab/>
      </w:r>
      <w:proofErr w:type="gramStart"/>
      <w:r w:rsidRPr="003876D8">
        <w:t>Capítulo</w:t>
      </w:r>
      <w:proofErr w:type="gramEnd"/>
      <w:r w:rsidRPr="003876D8">
        <w:t xml:space="preserve"> 3. Estado del Arte</w:t>
      </w:r>
      <w:bookmarkEnd w:id="0"/>
      <w:bookmarkEnd w:id="1"/>
    </w:p>
    <w:p w14:paraId="3039082A" w14:textId="77777777" w:rsidR="003876D8" w:rsidRPr="003876D8" w:rsidRDefault="003876D8" w:rsidP="003876D8"/>
    <w:p w14:paraId="16FB0D8D" w14:textId="77777777" w:rsidR="003876D8" w:rsidRPr="003876D8" w:rsidRDefault="003876D8" w:rsidP="00FA7EF8">
      <w:pPr>
        <w:ind w:left="708" w:hanging="708"/>
        <w:rPr>
          <w:b/>
        </w:rPr>
      </w:pPr>
      <w:bookmarkStart w:id="2" w:name="_Toc233016370"/>
      <w:bookmarkStart w:id="3" w:name="_Toc233066798"/>
      <w:bookmarkStart w:id="4" w:name="X72fac63a73a1c1da5fc90463a48c6766cb7a5f0"/>
      <w:r w:rsidRPr="003876D8">
        <w:rPr>
          <w:b/>
        </w:rPr>
        <w:t>3.1</w:t>
      </w:r>
      <w:r w:rsidRPr="003876D8">
        <w:rPr>
          <w:b/>
        </w:rPr>
        <w:tab/>
        <w:t>Variantes lineales del análisis discriminante</w:t>
      </w:r>
      <w:bookmarkEnd w:id="2"/>
      <w:bookmarkEnd w:id="3"/>
    </w:p>
    <w:p w14:paraId="384388FB" w14:textId="77777777" w:rsidR="003876D8" w:rsidRPr="003876D8" w:rsidRDefault="003876D8" w:rsidP="003876D8"/>
    <w:p w14:paraId="11EAC5DA" w14:textId="77777777" w:rsidR="003876D8" w:rsidRPr="00321A44" w:rsidRDefault="003876D8" w:rsidP="003876D8">
      <w:pPr>
        <w:rPr>
          <w:b/>
        </w:rPr>
      </w:pPr>
      <w:bookmarkStart w:id="5" w:name="_Toc233016371"/>
      <w:bookmarkStart w:id="6" w:name="_Toc233066799"/>
      <w:bookmarkStart w:id="7" w:name="regularized-lda"/>
      <w:r w:rsidRPr="00321A44">
        <w:rPr>
          <w:b/>
        </w:rPr>
        <w:t>3.1.1</w:t>
      </w:r>
      <w:r w:rsidRPr="00321A44">
        <w:rPr>
          <w:b/>
        </w:rPr>
        <w:tab/>
      </w:r>
      <w:proofErr w:type="spellStart"/>
      <w:r w:rsidRPr="00321A44">
        <w:rPr>
          <w:b/>
        </w:rPr>
        <w:t>Regularized</w:t>
      </w:r>
      <w:proofErr w:type="spellEnd"/>
      <w:r w:rsidRPr="00321A44">
        <w:rPr>
          <w:b/>
        </w:rPr>
        <w:t xml:space="preserve"> LDA</w:t>
      </w:r>
      <w:bookmarkEnd w:id="5"/>
      <w:bookmarkEnd w:id="6"/>
    </w:p>
    <w:p w14:paraId="0FE2B8AA" w14:textId="77777777" w:rsidR="00321A44" w:rsidRPr="00321A44" w:rsidRDefault="00321A44" w:rsidP="002232B5">
      <w:pPr>
        <w:pStyle w:val="Parrafobsico"/>
      </w:pPr>
      <w:r w:rsidRPr="00321A44">
        <w:t>Históricamente, el Análisis Discriminante Lineal (LDA) ha sido una metodología central para la reducción de dimensionalidad supervisada y la clasificación lineal. No obstante, su formulación clásica presenta limitaciones importantes en escenarios de alta dimensionalidad y tamaño muestral reducido. En particular, cuando el número de variables es comparable o superior al número de observaciones, la matriz de dispersión intraclase puede volverse singular o estar mal condicionada, lo que dificulta resolver directamente el problema generalizado asociado al criterio de Fisher (Yang et al., 2023).</w:t>
      </w:r>
    </w:p>
    <w:p w14:paraId="6D8F7D36" w14:textId="09D7A91C" w:rsidR="003876D8" w:rsidRDefault="00321A44" w:rsidP="002232B5">
      <w:pPr>
        <w:pStyle w:val="Parrafobsico"/>
      </w:pPr>
      <w:r w:rsidRPr="00321A44">
        <w:t xml:space="preserve">Para mitigar esta dificultad, las variantes regularizadas de LDA incorporan términos de penalización o contracción sobre la matriz de dispersión, con el objetivo de mejorar su estabilidad numérica. En términos generales, estas estrategias modifican la estimación de la matriz de covarianza o añaden un término de regularización que favorece la inversión del sistema y reduce la sensibilidad del modelo ante fluctuaciones derivadas de muestras pequeñas. En este sentido, la regularización no elimina por completo los riesgos asociados al problema SSS, pero constituye una alternativa práctica para mejorar la estabilidad </w:t>
      </w:r>
      <w:proofErr w:type="gramStart"/>
      <w:r w:rsidRPr="00321A44">
        <w:t>del discriminante lineal</w:t>
      </w:r>
      <w:proofErr w:type="gramEnd"/>
      <w:r w:rsidRPr="00321A44">
        <w:t xml:space="preserve"> en contextos de alta dimensionalidad (</w:t>
      </w:r>
      <w:proofErr w:type="spellStart"/>
      <w:r w:rsidRPr="00321A44">
        <w:t>Araveeporn</w:t>
      </w:r>
      <w:proofErr w:type="spellEnd"/>
      <w:r w:rsidRPr="00321A44">
        <w:t xml:space="preserve"> &amp; </w:t>
      </w:r>
      <w:proofErr w:type="spellStart"/>
      <w:r w:rsidRPr="00321A44">
        <w:t>Banditvilai</w:t>
      </w:r>
      <w:proofErr w:type="spellEnd"/>
      <w:r w:rsidRPr="00321A44">
        <w:t>, 2023).</w:t>
      </w:r>
    </w:p>
    <w:p w14:paraId="7920ADD7" w14:textId="77777777" w:rsidR="00321A44" w:rsidRPr="003876D8" w:rsidRDefault="00321A44" w:rsidP="003876D8"/>
    <w:p w14:paraId="14F41B53" w14:textId="77777777" w:rsidR="003876D8" w:rsidRPr="00321A44" w:rsidRDefault="003876D8" w:rsidP="003876D8">
      <w:pPr>
        <w:rPr>
          <w:b/>
        </w:rPr>
      </w:pPr>
      <w:bookmarkStart w:id="8" w:name="_Toc233016372"/>
      <w:bookmarkStart w:id="9" w:name="_Toc233066800"/>
      <w:bookmarkStart w:id="10" w:name="two-stage-lda"/>
      <w:bookmarkEnd w:id="7"/>
      <w:r w:rsidRPr="00321A44">
        <w:rPr>
          <w:b/>
        </w:rPr>
        <w:t>3.1.2</w:t>
      </w:r>
      <w:r w:rsidRPr="00321A44">
        <w:rPr>
          <w:b/>
        </w:rPr>
        <w:tab/>
        <w:t>Two-Stage LDA</w:t>
      </w:r>
      <w:bookmarkEnd w:id="8"/>
      <w:bookmarkEnd w:id="9"/>
    </w:p>
    <w:p w14:paraId="489D458B" w14:textId="3EE09B83" w:rsidR="00321A44" w:rsidRDefault="00321A44" w:rsidP="002232B5">
      <w:pPr>
        <w:pStyle w:val="Parrafobsico"/>
      </w:pPr>
      <w:r w:rsidRPr="00321A44">
        <w:t xml:space="preserve">Una estrategia alternativa frente a la singularidad en espacios de alta </w:t>
      </w:r>
      <w:proofErr w:type="gramStart"/>
      <w:r w:rsidRPr="00321A44">
        <w:t>dimensionalidad</w:t>
      </w:r>
      <w:r w:rsidR="002232B5">
        <w:t>,</w:t>
      </w:r>
      <w:proofErr w:type="gramEnd"/>
      <w:r w:rsidRPr="00321A44">
        <w:t xml:space="preserve"> consiste en utilizar esquemas de reducción de dimensionalidad en dos etapas. En la arquitectura comúnmente denominada PCA-LDA, primero se aplica Análisis de Componentes Principales para proyectar los datos hacia un subespacio de menor dimensión. Esta etapa permite reducir la redundancia y mejorar el condicionamiento del problema antes de aplicar LDA (</w:t>
      </w:r>
      <w:proofErr w:type="spellStart"/>
      <w:r w:rsidRPr="00321A44">
        <w:t>Agatra</w:t>
      </w:r>
      <w:proofErr w:type="spellEnd"/>
      <w:r w:rsidRPr="00321A44">
        <w:t xml:space="preserve"> et al., 2025).</w:t>
      </w:r>
    </w:p>
    <w:p w14:paraId="78CBD2A7" w14:textId="77777777" w:rsidR="00321A44" w:rsidRPr="00321A44" w:rsidRDefault="00321A44" w:rsidP="00321A44">
      <w:pPr>
        <w:rPr>
          <w:kern w:val="0"/>
          <w14:ligatures w14:val="none"/>
        </w:rPr>
      </w:pPr>
    </w:p>
    <w:p w14:paraId="5481C720" w14:textId="77777777" w:rsidR="00321A44" w:rsidRPr="00321A44" w:rsidRDefault="00321A44" w:rsidP="002232B5">
      <w:pPr>
        <w:pStyle w:val="Parrafobsico"/>
      </w:pPr>
      <w:r w:rsidRPr="00321A44">
        <w:lastRenderedPageBreak/>
        <w:t>Posteriormente, LDA incorpora la información de clase para buscar una proyección que favorezca la separabilidad entre grupos dentro del subespacio retenido. Esta aproximación ha sido empleada en diversos problemas aplicados debido a su simplicidad y viabilidad computacional. Sin embargo, debe considerarse que PCA es un método no supervisado, por lo que puede descartar componentes de baja varianza que podrían contener información discriminativa relevante. En consecuencia, PCA-LDA puede ser útil en contextos (p &gt; n), pero su desempeño depende de la relación entre varianza retenida y capacidad discriminativa de las clases (</w:t>
      </w:r>
      <w:proofErr w:type="spellStart"/>
      <w:r w:rsidRPr="00321A44">
        <w:t>Buhas</w:t>
      </w:r>
      <w:proofErr w:type="spellEnd"/>
      <w:r w:rsidRPr="00321A44">
        <w:t xml:space="preserve"> et al., 2024).</w:t>
      </w:r>
    </w:p>
    <w:p w14:paraId="3D8E278F" w14:textId="77777777" w:rsidR="002E2CC0" w:rsidRPr="002E2CC0" w:rsidRDefault="002E2CC0" w:rsidP="003876D8"/>
    <w:p w14:paraId="0178007D" w14:textId="77777777" w:rsidR="003876D8" w:rsidRPr="00321A44" w:rsidRDefault="003876D8" w:rsidP="003876D8">
      <w:pPr>
        <w:rPr>
          <w:b/>
        </w:rPr>
      </w:pPr>
      <w:bookmarkStart w:id="11" w:name="_Toc233016373"/>
      <w:bookmarkStart w:id="12" w:name="_Toc233066801"/>
      <w:bookmarkStart w:id="13" w:name="variantes-lineales-relevantes"/>
      <w:bookmarkEnd w:id="10"/>
      <w:r w:rsidRPr="00321A44">
        <w:rPr>
          <w:b/>
        </w:rPr>
        <w:t>3.1.3</w:t>
      </w:r>
      <w:r w:rsidRPr="00321A44">
        <w:rPr>
          <w:b/>
        </w:rPr>
        <w:tab/>
        <w:t>Variantes lineales relevantes</w:t>
      </w:r>
      <w:bookmarkEnd w:id="11"/>
      <w:bookmarkEnd w:id="12"/>
    </w:p>
    <w:p w14:paraId="5C99294C" w14:textId="4D2130D6" w:rsidR="00321A44" w:rsidRDefault="00321A44" w:rsidP="002232B5">
      <w:pPr>
        <w:pStyle w:val="Parrafobsico"/>
      </w:pPr>
      <w:r w:rsidRPr="00321A44">
        <w:t xml:space="preserve">Además de la regularización directa y de los esquemas en dos etapas, se han propuesto variantes lineales orientadas a mejorar la estabilidad, la interpretabilidad y la selección de variables en escenarios de alta dimensionalidad. Una línea relevante corresponde a las formulaciones basadas en el problema Trace-Ratio, que buscan optimizar de forma más directa la relación entre dispersión </w:t>
      </w:r>
      <w:proofErr w:type="spellStart"/>
      <w:r w:rsidRPr="00321A44">
        <w:t>interclase</w:t>
      </w:r>
      <w:proofErr w:type="spellEnd"/>
      <w:r w:rsidRPr="00321A44">
        <w:t xml:space="preserve"> e intraclase. En particular, las formulaciones recientes de Trace-Ratio LDA han sido estudiadas como alternativas para enfrentar el problema Small Sample Size, al reformular el criterio discriminante de manera más adecuada para matrices de dispersión deficientes en rango (Li et al., 2024</w:t>
      </w:r>
      <w:r w:rsidR="00EF49B1">
        <w:t>;</w:t>
      </w:r>
      <w:r w:rsidR="00EF49B1" w:rsidRPr="00EF49B1">
        <w:t xml:space="preserve"> Shi &amp; Wu, 2024</w:t>
      </w:r>
      <w:r w:rsidRPr="00321A44">
        <w:t>).</w:t>
      </w:r>
    </w:p>
    <w:p w14:paraId="4AF73FBE" w14:textId="77777777" w:rsidR="00321A44" w:rsidRDefault="00321A44" w:rsidP="002232B5">
      <w:pPr>
        <w:pStyle w:val="Parrafobsico"/>
      </w:pPr>
      <w:r w:rsidRPr="00321A44">
        <w:t xml:space="preserve">Por otro lado, los enfoques de </w:t>
      </w:r>
      <w:proofErr w:type="spellStart"/>
      <w:r w:rsidRPr="00321A44">
        <w:t>Sparse</w:t>
      </w:r>
      <w:proofErr w:type="spellEnd"/>
      <w:r w:rsidRPr="00321A44">
        <w:t xml:space="preserve"> LDA incorporan mecanismos de penalización o selección que promueven soluciones con un número reducido de variables activas. Esta propiedad resulta especialmente relevante cuando, además de clasificar correctamente, se requiere identificar predictores interpretables</w:t>
      </w:r>
      <w:r>
        <w:t xml:space="preserve"> (Liu et al., 2024). </w:t>
      </w:r>
    </w:p>
    <w:p w14:paraId="43D3D57B" w14:textId="54984253" w:rsidR="00047C81" w:rsidRPr="00047C81" w:rsidRDefault="00321A44" w:rsidP="002232B5">
      <w:pPr>
        <w:pStyle w:val="Parrafobsico"/>
      </w:pPr>
      <w:r w:rsidRPr="00321A44">
        <w:t>En esta misma línea, métodos de Inteligencia Artificial Explicable, como los enfoques basados en SHAP, pueden utilizarse como apoyo para priorizar variables relevantes en conjuntos de datos pequeños y de alta dimensionalidad, aunque no sustituyen por sí mismos la formulación discriminante del modelo (</w:t>
      </w:r>
      <w:proofErr w:type="spellStart"/>
      <w:r w:rsidRPr="00321A44">
        <w:t>Mourik</w:t>
      </w:r>
      <w:proofErr w:type="spellEnd"/>
      <w:r w:rsidRPr="00321A44">
        <w:t xml:space="preserve"> et al., 2024).</w:t>
      </w:r>
    </w:p>
    <w:p w14:paraId="5F25CC23" w14:textId="77777777" w:rsidR="003876D8" w:rsidRPr="003876D8" w:rsidRDefault="003876D8" w:rsidP="003876D8">
      <w:pPr>
        <w:rPr>
          <w:b/>
        </w:rPr>
      </w:pPr>
      <w:bookmarkStart w:id="14" w:name="_Toc233016374"/>
      <w:bookmarkStart w:id="15" w:name="_Toc233066802"/>
      <w:bookmarkStart w:id="16" w:name="métodos-kernel-para-clasificación"/>
      <w:bookmarkEnd w:id="4"/>
      <w:bookmarkEnd w:id="13"/>
      <w:r w:rsidRPr="003876D8">
        <w:rPr>
          <w:b/>
        </w:rPr>
        <w:t>3.2</w:t>
      </w:r>
      <w:r w:rsidRPr="003876D8">
        <w:rPr>
          <w:b/>
        </w:rPr>
        <w:tab/>
        <w:t xml:space="preserve">Métodos </w:t>
      </w:r>
      <w:proofErr w:type="spellStart"/>
      <w:r w:rsidRPr="003876D8">
        <w:rPr>
          <w:b/>
        </w:rPr>
        <w:t>kernel</w:t>
      </w:r>
      <w:proofErr w:type="spellEnd"/>
      <w:r w:rsidRPr="003876D8">
        <w:rPr>
          <w:b/>
        </w:rPr>
        <w:t xml:space="preserve"> para clasificación</w:t>
      </w:r>
      <w:bookmarkEnd w:id="14"/>
      <w:bookmarkEnd w:id="15"/>
    </w:p>
    <w:p w14:paraId="48153FA5" w14:textId="77777777" w:rsidR="003876D8" w:rsidRDefault="003876D8" w:rsidP="003876D8"/>
    <w:p w14:paraId="6546C4FB" w14:textId="77777777" w:rsidR="00321A44" w:rsidRPr="003876D8" w:rsidRDefault="00321A44" w:rsidP="003876D8"/>
    <w:p w14:paraId="72376A1D" w14:textId="77777777" w:rsidR="003876D8" w:rsidRPr="003876D8" w:rsidRDefault="003876D8" w:rsidP="003876D8">
      <w:pPr>
        <w:rPr>
          <w:b/>
        </w:rPr>
      </w:pPr>
      <w:bookmarkStart w:id="17" w:name="_Toc233016375"/>
      <w:bookmarkStart w:id="18" w:name="_Toc233066803"/>
      <w:bookmarkStart w:id="19" w:name="kernel-pca"/>
      <w:r w:rsidRPr="003876D8">
        <w:rPr>
          <w:b/>
        </w:rPr>
        <w:t>3.2.1</w:t>
      </w:r>
      <w:r w:rsidRPr="003876D8">
        <w:rPr>
          <w:b/>
        </w:rPr>
        <w:tab/>
      </w:r>
      <w:proofErr w:type="spellStart"/>
      <w:r w:rsidRPr="003876D8">
        <w:rPr>
          <w:b/>
        </w:rPr>
        <w:t>Kernel</w:t>
      </w:r>
      <w:proofErr w:type="spellEnd"/>
      <w:r w:rsidRPr="003876D8">
        <w:rPr>
          <w:b/>
        </w:rPr>
        <w:t xml:space="preserve"> PCA</w:t>
      </w:r>
      <w:bookmarkEnd w:id="17"/>
      <w:bookmarkEnd w:id="18"/>
    </w:p>
    <w:p w14:paraId="52EEDE2F" w14:textId="19529621" w:rsidR="003876D8" w:rsidRDefault="00350A30" w:rsidP="002232B5">
      <w:pPr>
        <w:pStyle w:val="Parrafobsico"/>
      </w:pPr>
      <w:r w:rsidRPr="00350A30">
        <w:lastRenderedPageBreak/>
        <w:t>Las proyecciones lineales pueden resultar insuficientes para capturar distribuciones de datos subyacentes complejas, lo que justifica la adopción de enfoques basados en mapeos no lineales</w:t>
      </w:r>
      <w:r w:rsidR="001721E6" w:rsidRPr="001721E6">
        <w:t xml:space="preserve">. El Análisis de Componentes Principales con </w:t>
      </w:r>
      <w:proofErr w:type="spellStart"/>
      <w:r w:rsidR="001721E6" w:rsidRPr="001721E6">
        <w:t>Kernel</w:t>
      </w:r>
      <w:proofErr w:type="spellEnd"/>
      <w:r w:rsidR="001721E6" w:rsidRPr="001721E6">
        <w:t xml:space="preserve"> (KPCA) </w:t>
      </w:r>
      <w:r w:rsidRPr="00350A30">
        <w:t>permite relajar la restricción de linealidad al mapear las características originales hacia un espacio de Hilbert de alta dimensionalidad, donde es posible extraer componentes principales no lineales</w:t>
      </w:r>
      <w:r>
        <w:t xml:space="preserve"> </w:t>
      </w:r>
      <w:r w:rsidR="001721E6" w:rsidRPr="001721E6">
        <w:t>(</w:t>
      </w:r>
      <w:r w:rsidR="001721E6">
        <w:t>Medina et al. 2025</w:t>
      </w:r>
      <w:r w:rsidR="001721E6" w:rsidRPr="001721E6">
        <w:t xml:space="preserve">). En aplicaciones caracterizadas por el problema de muestra reducida, este </w:t>
      </w:r>
      <w:r w:rsidR="00EF49B1" w:rsidRPr="00EF49B1">
        <w:t>mapeo implícito puede resultar útil</w:t>
      </w:r>
      <w:r w:rsidR="001721E6" w:rsidRPr="001721E6">
        <w:t xml:space="preserve"> para el preprocesamiento y mitigación de ruido; sin embargo, introduce la desventaja de oscurecer la influencia individual de cada </w:t>
      </w:r>
      <w:r w:rsidR="00EF49B1">
        <w:t>variable original</w:t>
      </w:r>
      <w:r w:rsidR="001721E6" w:rsidRPr="001721E6">
        <w:t xml:space="preserve">. Recientes innovaciones matemáticas han propuesto gradientes interpretables y expansiones del espacio de características para rastrear el peso original de las variables de entrada, </w:t>
      </w:r>
      <w:r w:rsidR="00314C8F" w:rsidRPr="00314C8F">
        <w:t>contribuyendo a mejorar la interpretabilidad de un modelo</w:t>
      </w:r>
      <w:r w:rsidR="00314C8F">
        <w:t xml:space="preserve"> </w:t>
      </w:r>
      <w:r w:rsidR="001721E6" w:rsidRPr="001721E6">
        <w:t>tradicionalmente considerado de caja negra (</w:t>
      </w:r>
      <w:proofErr w:type="spellStart"/>
      <w:r w:rsidR="001721E6">
        <w:t>Briscik</w:t>
      </w:r>
      <w:proofErr w:type="spellEnd"/>
      <w:r w:rsidR="001721E6">
        <w:t xml:space="preserve"> et al. 2023</w:t>
      </w:r>
      <w:r w:rsidR="001721E6" w:rsidRPr="001721E6">
        <w:t>).</w:t>
      </w:r>
    </w:p>
    <w:p w14:paraId="2D3D069F" w14:textId="77777777" w:rsidR="001721E6" w:rsidRPr="003876D8" w:rsidRDefault="001721E6" w:rsidP="003876D8"/>
    <w:p w14:paraId="30CE9076" w14:textId="77777777" w:rsidR="003876D8" w:rsidRPr="003876D8" w:rsidRDefault="003876D8" w:rsidP="003876D8">
      <w:pPr>
        <w:rPr>
          <w:b/>
        </w:rPr>
      </w:pPr>
      <w:bookmarkStart w:id="20" w:name="_Toc233016376"/>
      <w:bookmarkStart w:id="21" w:name="_Toc233066804"/>
      <w:bookmarkStart w:id="22" w:name="kfda-1"/>
      <w:bookmarkEnd w:id="19"/>
      <w:r w:rsidRPr="003876D8">
        <w:rPr>
          <w:b/>
        </w:rPr>
        <w:t>3.2.2</w:t>
      </w:r>
      <w:r w:rsidRPr="003876D8">
        <w:rPr>
          <w:b/>
        </w:rPr>
        <w:tab/>
        <w:t>KFDA</w:t>
      </w:r>
      <w:bookmarkEnd w:id="20"/>
      <w:bookmarkEnd w:id="21"/>
    </w:p>
    <w:p w14:paraId="2EBDAC0B" w14:textId="10562EA2" w:rsidR="003112B7" w:rsidRDefault="001721E6" w:rsidP="002232B5">
      <w:pPr>
        <w:pStyle w:val="Parrafobsico"/>
      </w:pPr>
      <w:r w:rsidRPr="00321A44">
        <w:t xml:space="preserve">Aunque la reducción de dimensionalidad no supervisada es útil, los escenarios de clasificación exigen estrategias que prioricen la discriminación entre clases. </w:t>
      </w:r>
      <w:r w:rsidRPr="003112B7">
        <w:t xml:space="preserve">El Análisis Discriminante de Fisher mediante </w:t>
      </w:r>
      <w:proofErr w:type="spellStart"/>
      <w:r w:rsidRPr="003112B7">
        <w:t>Kernel</w:t>
      </w:r>
      <w:proofErr w:type="spellEnd"/>
      <w:r w:rsidRPr="003112B7">
        <w:t xml:space="preserve"> (KFDA) aprovecha </w:t>
      </w:r>
      <w:r w:rsidR="00314C8F" w:rsidRPr="00314C8F">
        <w:t xml:space="preserve">mapeos no lineales inducidos por funciones </w:t>
      </w:r>
      <w:proofErr w:type="spellStart"/>
      <w:r w:rsidR="00350A30" w:rsidRPr="00314C8F">
        <w:t>kernel</w:t>
      </w:r>
      <w:proofErr w:type="spellEnd"/>
      <w:r w:rsidR="00350A30">
        <w:t xml:space="preserve"> </w:t>
      </w:r>
      <w:r w:rsidR="00350A30" w:rsidRPr="003112B7">
        <w:t>para</w:t>
      </w:r>
      <w:r w:rsidRPr="003112B7">
        <w:t xml:space="preserve"> transformar problemas </w:t>
      </w:r>
      <w:r w:rsidR="00350A30">
        <w:t>fuertemente</w:t>
      </w:r>
      <w:r w:rsidRPr="003112B7">
        <w:t xml:space="preserve"> no separables en hiperespacios donde las clases pueden delimitarse analíticamente</w:t>
      </w:r>
      <w:r w:rsidR="003112B7">
        <w:t xml:space="preserve"> </w:t>
      </w:r>
      <w:r w:rsidR="003112B7" w:rsidRPr="003112B7">
        <w:t>(Du et al. 2024)</w:t>
      </w:r>
      <w:r w:rsidRPr="003112B7">
        <w:t>.</w:t>
      </w:r>
    </w:p>
    <w:p w14:paraId="34AF4BF3" w14:textId="233EE8EB" w:rsidR="001721E6" w:rsidRPr="003112B7" w:rsidRDefault="001721E6" w:rsidP="002232B5">
      <w:pPr>
        <w:pStyle w:val="Parrafobsico"/>
      </w:pPr>
      <w:r w:rsidRPr="003112B7">
        <w:t xml:space="preserve">Al trasladar la métrica de Fisher al espacio de Hilbert, el algoritmo enfrenta inevitablemente el desafío de la deficiencia de rango en la matriz de covarianza proyectada, un problema crítico cuando la cantidad de sujetos (n) es escasa. Para contrarrestar esta inestabilidad intrínseca, arquitecturas contemporáneas optan por integrar el KFDA dentro de métodos de ensamble y regularización estocástica, lo que promueve una mayor diversidad en los subespacios discriminativos y estabiliza el cálculo del hiperplano sin sacrificar el poder del análisis no lineal </w:t>
      </w:r>
      <w:r w:rsidR="003112B7" w:rsidRPr="003112B7">
        <w:t>(Kim et al. 2018)</w:t>
      </w:r>
      <w:r w:rsidRPr="003112B7">
        <w:t xml:space="preserve">. </w:t>
      </w:r>
    </w:p>
    <w:p w14:paraId="7F88BB1B" w14:textId="77777777" w:rsidR="003876D8" w:rsidRDefault="003876D8" w:rsidP="003876D8"/>
    <w:p w14:paraId="08B7CFC6" w14:textId="77777777" w:rsidR="00350A30" w:rsidRDefault="00350A30" w:rsidP="003876D8"/>
    <w:p w14:paraId="04406B91" w14:textId="77777777" w:rsidR="00350A30" w:rsidRDefault="00350A30" w:rsidP="003876D8"/>
    <w:p w14:paraId="4FCE0973" w14:textId="77777777" w:rsidR="00350A30" w:rsidRDefault="00350A30" w:rsidP="003876D8"/>
    <w:p w14:paraId="3B7EFC83" w14:textId="77777777" w:rsidR="003876D8" w:rsidRPr="003876D8" w:rsidRDefault="003876D8" w:rsidP="003876D8">
      <w:pPr>
        <w:rPr>
          <w:b/>
        </w:rPr>
      </w:pPr>
      <w:bookmarkStart w:id="23" w:name="_Toc233016377"/>
      <w:bookmarkStart w:id="24" w:name="_Toc233066805"/>
      <w:bookmarkStart w:id="25" w:name="svm-polinomial-1"/>
      <w:bookmarkEnd w:id="22"/>
      <w:r w:rsidRPr="003876D8">
        <w:rPr>
          <w:b/>
        </w:rPr>
        <w:lastRenderedPageBreak/>
        <w:t>3.2.3</w:t>
      </w:r>
      <w:r w:rsidRPr="003876D8">
        <w:rPr>
          <w:b/>
        </w:rPr>
        <w:tab/>
        <w:t>SVM Polinomial</w:t>
      </w:r>
      <w:bookmarkEnd w:id="23"/>
      <w:bookmarkEnd w:id="24"/>
    </w:p>
    <w:p w14:paraId="02E40D68" w14:textId="77777777" w:rsidR="00350A30" w:rsidRPr="00350A30" w:rsidRDefault="00350A30" w:rsidP="002232B5">
      <w:pPr>
        <w:pStyle w:val="Parrafobsico"/>
      </w:pPr>
      <w:r w:rsidRPr="00350A30">
        <w:t xml:space="preserve">Las Máquinas de Vectores de Soporte (SVM) constituyen una alternativa ampliamente utilizada para problemas de clasificación, especialmente cuando se emplean funciones </w:t>
      </w:r>
      <w:proofErr w:type="spellStart"/>
      <w:r w:rsidRPr="00350A30">
        <w:t>kernel</w:t>
      </w:r>
      <w:proofErr w:type="spellEnd"/>
      <w:r w:rsidRPr="00350A30">
        <w:t xml:space="preserve"> que permiten modelar fronteras de decisión no lineales. En el caso del </w:t>
      </w:r>
      <w:proofErr w:type="spellStart"/>
      <w:r w:rsidRPr="00350A30">
        <w:t>kernel</w:t>
      </w:r>
      <w:proofErr w:type="spellEnd"/>
      <w:r w:rsidRPr="00350A30">
        <w:t xml:space="preserve"> polinomial, la transformación inducida permite capturar interacciones entre variables sin calcular explícitamente todas las combinaciones en el espacio expandido (</w:t>
      </w:r>
      <w:proofErr w:type="spellStart"/>
      <w:r w:rsidRPr="00350A30">
        <w:t>Schölkopf</w:t>
      </w:r>
      <w:proofErr w:type="spellEnd"/>
      <w:r w:rsidRPr="00350A30">
        <w:t xml:space="preserve"> &amp; Smola, 2018).</w:t>
      </w:r>
    </w:p>
    <w:p w14:paraId="01E2EEB4" w14:textId="77777777" w:rsidR="00350A30" w:rsidRPr="00350A30" w:rsidRDefault="00350A30" w:rsidP="002232B5">
      <w:pPr>
        <w:pStyle w:val="Parrafobsico"/>
      </w:pPr>
      <w:r w:rsidRPr="00350A30">
        <w:t xml:space="preserve">No obstante, su aplicación en escenarios de alta dimensionalidad ((p &gt; n)) requiere una selección cuidadosa de </w:t>
      </w:r>
      <w:proofErr w:type="spellStart"/>
      <w:r w:rsidRPr="00350A30">
        <w:t>hiperparámetros</w:t>
      </w:r>
      <w:proofErr w:type="spellEnd"/>
      <w:r w:rsidRPr="00350A30">
        <w:t xml:space="preserve">. Un grado polinomial elevado puede producir fronteras de decisión excesivamente complejas y aumentar el riesgo de sobreajuste, especialmente cuando el número de observaciones es reducido. Por ello, la selección del grado del polinomio y de los parámetros asociados al </w:t>
      </w:r>
      <w:proofErr w:type="spellStart"/>
      <w:r w:rsidRPr="00350A30">
        <w:t>kernel</w:t>
      </w:r>
      <w:proofErr w:type="spellEnd"/>
      <w:r w:rsidRPr="00350A30">
        <w:t xml:space="preserve"> resulta determinante para equilibrar flexibilidad y capacidad de generalización (Jalili et al., 2025).</w:t>
      </w:r>
    </w:p>
    <w:p w14:paraId="3FD1E545" w14:textId="77777777" w:rsidR="003112B7" w:rsidRPr="003876D8" w:rsidRDefault="003112B7" w:rsidP="003112B7">
      <w:pPr>
        <w:tabs>
          <w:tab w:val="left" w:pos="1922"/>
        </w:tabs>
      </w:pPr>
    </w:p>
    <w:p w14:paraId="3F98FEEA" w14:textId="77777777" w:rsidR="003876D8" w:rsidRPr="003876D8" w:rsidRDefault="003876D8" w:rsidP="003876D8">
      <w:pPr>
        <w:rPr>
          <w:b/>
        </w:rPr>
      </w:pPr>
      <w:bookmarkStart w:id="26" w:name="_Toc233016378"/>
      <w:bookmarkStart w:id="27" w:name="_Toc233066806"/>
      <w:bookmarkStart w:id="28" w:name="svm-rbf-1"/>
      <w:bookmarkEnd w:id="25"/>
      <w:r w:rsidRPr="003876D8">
        <w:rPr>
          <w:b/>
        </w:rPr>
        <w:t>3.2.4</w:t>
      </w:r>
      <w:r w:rsidRPr="003876D8">
        <w:rPr>
          <w:b/>
        </w:rPr>
        <w:tab/>
        <w:t>SVM RBF</w:t>
      </w:r>
      <w:bookmarkEnd w:id="26"/>
      <w:bookmarkEnd w:id="27"/>
    </w:p>
    <w:p w14:paraId="1FA423D3" w14:textId="7741069C" w:rsidR="00321A44" w:rsidRDefault="00321A44" w:rsidP="002232B5">
      <w:pPr>
        <w:pStyle w:val="Parrafobsico"/>
      </w:pPr>
      <w:r w:rsidRPr="00321A44">
        <w:t xml:space="preserve">A diferencia del </w:t>
      </w:r>
      <w:proofErr w:type="spellStart"/>
      <w:r w:rsidRPr="00321A44">
        <w:t>kernel</w:t>
      </w:r>
      <w:proofErr w:type="spellEnd"/>
      <w:r w:rsidRPr="00321A44">
        <w:t xml:space="preserve"> polinomial, cuyo grado controla explícitamente la complejidad de las interacciones modeladas, el </w:t>
      </w:r>
      <w:proofErr w:type="spellStart"/>
      <w:r w:rsidRPr="00321A44">
        <w:t>kernel</w:t>
      </w:r>
      <w:proofErr w:type="spellEnd"/>
      <w:r w:rsidRPr="00321A44">
        <w:t xml:space="preserve"> de Función de Base Radial (RBF) permite inducir fronteras de decisión altamente no lineales mediante una medida de similitud local entre observaciones. Esta flexibilidad lo convierte en una alternativa atractiva para problemas donde las clases no son linealmente separables. Sin embargo, en escenarios SSS también puede incrementar el riesgo de sobreajuste si los </w:t>
      </w:r>
      <w:proofErr w:type="spellStart"/>
      <w:r w:rsidRPr="00321A44">
        <w:t>hiperparámetros</w:t>
      </w:r>
      <w:proofErr w:type="spellEnd"/>
      <w:r w:rsidRPr="00321A44">
        <w:t xml:space="preserve"> no se ajustan adecuadamente</w:t>
      </w:r>
      <w:r>
        <w:t xml:space="preserve"> </w:t>
      </w:r>
      <w:r w:rsidRPr="006D619D">
        <w:t>(</w:t>
      </w:r>
      <w:proofErr w:type="spellStart"/>
      <w:r>
        <w:t>Remaki</w:t>
      </w:r>
      <w:proofErr w:type="spellEnd"/>
      <w:r>
        <w:t>, 2026</w:t>
      </w:r>
      <w:r w:rsidRPr="006D619D">
        <w:t>).</w:t>
      </w:r>
    </w:p>
    <w:p w14:paraId="6215144F" w14:textId="761F3156" w:rsidR="00047C81" w:rsidRPr="003876D8" w:rsidRDefault="00321A44" w:rsidP="002232B5">
      <w:pPr>
        <w:pStyle w:val="Parrafobsico"/>
      </w:pPr>
      <w:r w:rsidRPr="00321A44">
        <w:t>En particular, el parámetro de ancho de banda, usualmente expresado mediante (</w:t>
      </w:r>
      <m:oMath>
        <m:r>
          <w:rPr>
            <w:rFonts w:ascii="Cambria Math" w:hAnsi="Cambria Math"/>
          </w:rPr>
          <m:t>γ</m:t>
        </m:r>
      </m:oMath>
      <w:r w:rsidRPr="00321A44">
        <w:t>) o (</w:t>
      </w:r>
      <m:oMath>
        <m:r>
          <w:rPr>
            <w:rFonts w:ascii="Cambria Math" w:hAnsi="Cambria Math"/>
          </w:rPr>
          <m:t>σ</m:t>
        </m:r>
      </m:oMath>
      <w:r w:rsidRPr="00321A44">
        <w:t xml:space="preserve">), controla el alcance de influencia de cada observación en el espacio inducido por el kernel. Valores inadecuados pueden producir fronteras excesivamente fragmentadas o, por el contrario, modelos demasiado suaves. Por ello, la selección de hiperparámetros resulta crítica para obtener un equilibrio entre flexibilidad y generalización. Asimismo, trabajos recientes han explorado mecanismos de explicación para modelos SVM-RBF mediante patrones de activación, con el propósito de mejorar la interpretabilidad de modelos </w:t>
      </w:r>
      <w:proofErr w:type="spellStart"/>
      <w:r w:rsidRPr="00321A44">
        <w:t>kernel</w:t>
      </w:r>
      <w:proofErr w:type="spellEnd"/>
      <w:r w:rsidRPr="00321A44">
        <w:t xml:space="preserve"> tradicionalmente difíciles de analizar (Zhang et al., 2024).</w:t>
      </w:r>
    </w:p>
    <w:p w14:paraId="30DAB062" w14:textId="77777777" w:rsidR="00E368D5" w:rsidRDefault="00E368D5" w:rsidP="003876D8">
      <w:pPr>
        <w:rPr>
          <w:b/>
        </w:rPr>
      </w:pPr>
      <w:bookmarkStart w:id="29" w:name="_Toc233016379"/>
      <w:bookmarkStart w:id="30" w:name="_Toc233066807"/>
      <w:bookmarkStart w:id="31" w:name="Xe7307106e4d5f2520de69bd8f877f8022cbdc86"/>
      <w:bookmarkEnd w:id="16"/>
      <w:bookmarkEnd w:id="28"/>
    </w:p>
    <w:p w14:paraId="2752B5AB" w14:textId="77777777" w:rsidR="00E368D5" w:rsidRDefault="00E368D5" w:rsidP="003876D8">
      <w:pPr>
        <w:rPr>
          <w:b/>
        </w:rPr>
      </w:pPr>
    </w:p>
    <w:p w14:paraId="7BBA94BA" w14:textId="25B4ACC6" w:rsidR="003876D8" w:rsidRPr="003876D8" w:rsidRDefault="003876D8" w:rsidP="003876D8">
      <w:pPr>
        <w:rPr>
          <w:b/>
        </w:rPr>
      </w:pPr>
      <w:r w:rsidRPr="003876D8">
        <w:rPr>
          <w:b/>
        </w:rPr>
        <w:t>3.3</w:t>
      </w:r>
      <w:r w:rsidRPr="003876D8">
        <w:rPr>
          <w:b/>
        </w:rPr>
        <w:tab/>
        <w:t>Selección de características basada en algoritmos evolutivos</w:t>
      </w:r>
      <w:bookmarkEnd w:id="29"/>
      <w:bookmarkEnd w:id="30"/>
    </w:p>
    <w:p w14:paraId="3925B516" w14:textId="77777777" w:rsidR="00321A44" w:rsidRPr="003876D8" w:rsidRDefault="00321A44" w:rsidP="003876D8"/>
    <w:p w14:paraId="3FA1D424" w14:textId="0FEBDBC0" w:rsidR="003876D8" w:rsidRPr="00EB44B3" w:rsidRDefault="003876D8" w:rsidP="003876D8">
      <w:pPr>
        <w:rPr>
          <w:b/>
        </w:rPr>
      </w:pPr>
      <w:bookmarkStart w:id="32" w:name="_Toc233016380"/>
      <w:bookmarkStart w:id="33" w:name="_Toc233066808"/>
      <w:bookmarkStart w:id="34" w:name="ga-para-selección-de-variables"/>
      <w:r w:rsidRPr="003876D8">
        <w:rPr>
          <w:b/>
        </w:rPr>
        <w:t>3.3.1</w:t>
      </w:r>
      <w:r w:rsidRPr="003876D8">
        <w:rPr>
          <w:b/>
        </w:rPr>
        <w:tab/>
        <w:t>GA para selección de variables</w:t>
      </w:r>
      <w:bookmarkEnd w:id="32"/>
      <w:bookmarkEnd w:id="33"/>
    </w:p>
    <w:p w14:paraId="2860BDD4" w14:textId="6511B7BD" w:rsidR="00EB44B3" w:rsidRPr="003876D8" w:rsidRDefault="00314C8F" w:rsidP="002232B5">
      <w:pPr>
        <w:pStyle w:val="Parrafobsico"/>
      </w:pPr>
      <w:r w:rsidRPr="00314C8F">
        <w:t>La maldición de la dimensionalidad dificulta el uso de enfoques exhaustivos</w:t>
      </w:r>
      <w:r>
        <w:t xml:space="preserve"> de </w:t>
      </w:r>
      <w:r w:rsidRPr="00EB44B3">
        <w:t>selección</w:t>
      </w:r>
      <w:r>
        <w:t xml:space="preserve"> </w:t>
      </w:r>
      <w:r w:rsidR="00EB44B3" w:rsidRPr="00EB44B3">
        <w:t xml:space="preserve">deterministas, dado que el volumen de permutaciones crece exponencialmente en función de las variables de entrada. Para navegar este vasto espacio de búsqueda sin incurrir en costos computacionales prohibitivos, </w:t>
      </w:r>
      <w:r w:rsidR="00EF49B1" w:rsidRPr="00EF49B1">
        <w:t>los Algoritmos Genéticos (GA) han sido ampliamente empleados como estrategias de búsqueda estocástica</w:t>
      </w:r>
      <w:r w:rsidR="00EB44B3" w:rsidRPr="00EB44B3">
        <w:t>. En lugar de evaluar características de forma aislada, un GA codifica subconjuntos de variables en estructuras cromosómicas, sometiéndolas a un proceso de evolución iterativa mediante selección, cruza y mutación (</w:t>
      </w:r>
      <w:r w:rsidR="00B86B5C" w:rsidRPr="00B86B5C">
        <w:t>Al-Milli et al.</w:t>
      </w:r>
      <w:r w:rsidR="00EB44B3" w:rsidRPr="00EB44B3">
        <w:t xml:space="preserve">, 2021). </w:t>
      </w:r>
      <w:r w:rsidRPr="00314C8F">
        <w:t xml:space="preserve">Una ventaja potencial de este enfoque </w:t>
      </w:r>
      <w:r w:rsidR="00EB44B3" w:rsidRPr="00EB44B3">
        <w:t xml:space="preserve">en el contexto </w:t>
      </w:r>
      <m:oMath>
        <m:r>
          <w:rPr>
            <w:rFonts w:ascii="Cambria Math" w:hAnsi="Cambria Math"/>
          </w:rPr>
          <m:t>p &gt; n</m:t>
        </m:r>
      </m:oMath>
      <w:r w:rsidR="00EB44B3" w:rsidRPr="00EB44B3">
        <w:t xml:space="preserve"> reside en su capacidad para evadir óptimos locales y descubrir dependencias no lineales multivariadas. Investigaciones recientes han sofisticado estas arquitecturas implementando mecanismos de selección multiobjetivo adaptativos, </w:t>
      </w:r>
      <w:r w:rsidR="00350A30" w:rsidRPr="00350A30">
        <w:t>buscando un equilibrio entre la minimización del número de características retenidas y la maximización del poder predictivo del clasificador final</w:t>
      </w:r>
      <w:r w:rsidR="00EB44B3" w:rsidRPr="00EB44B3">
        <w:t xml:space="preserve"> (Wang et al., 2026)</w:t>
      </w:r>
      <w:r w:rsidR="00B86B5C">
        <w:t>.</w:t>
      </w:r>
    </w:p>
    <w:p w14:paraId="530A613F" w14:textId="77777777" w:rsidR="00350A30" w:rsidRDefault="00350A30" w:rsidP="002232B5">
      <w:pPr>
        <w:pStyle w:val="Parrafobsico"/>
        <w:rPr>
          <w:b/>
        </w:rPr>
      </w:pPr>
      <w:bookmarkStart w:id="35" w:name="_Toc233016381"/>
      <w:bookmarkStart w:id="36" w:name="_Toc233066809"/>
      <w:bookmarkStart w:id="37" w:name="ga-lda"/>
      <w:bookmarkEnd w:id="34"/>
    </w:p>
    <w:p w14:paraId="748323E3" w14:textId="1DF75161" w:rsidR="00E22332" w:rsidRPr="00350A30" w:rsidRDefault="003876D8" w:rsidP="00350A30">
      <w:pPr>
        <w:ind w:left="708" w:hanging="708"/>
        <w:rPr>
          <w:b/>
        </w:rPr>
      </w:pPr>
      <w:r w:rsidRPr="003876D8">
        <w:rPr>
          <w:b/>
        </w:rPr>
        <w:t>3.3.2</w:t>
      </w:r>
      <w:r w:rsidRPr="003876D8">
        <w:rPr>
          <w:b/>
        </w:rPr>
        <w:tab/>
        <w:t>GA + LDA</w:t>
      </w:r>
      <w:bookmarkEnd w:id="35"/>
      <w:bookmarkEnd w:id="36"/>
    </w:p>
    <w:p w14:paraId="7AA107A0" w14:textId="3C4361B7" w:rsidR="00E22332" w:rsidRDefault="00E22332" w:rsidP="002232B5">
      <w:pPr>
        <w:pStyle w:val="Parrafobsico"/>
      </w:pPr>
      <w:r w:rsidRPr="00E22332">
        <w:t xml:space="preserve">La integración de algoritmos genéticos con LDA puede entenderse como una estrategia de selección de características orientada a reducir la dimensionalidad antes de estimar el discriminante lineal. En escenarios donde </w:t>
      </w:r>
      <m:oMath>
        <m:r>
          <w:rPr>
            <w:rFonts w:ascii="Cambria Math" w:hAnsi="Cambria Math"/>
          </w:rPr>
          <m:t>p &gt; n</m:t>
        </m:r>
      </m:oMath>
      <w:r w:rsidRPr="00E22332">
        <w:t xml:space="preserve">, seleccionar un subconjunto de variables puede contribuir a disminuir la singularidad de la matriz de dispersión intraclase y mejorar la estabilidad del modelo. </w:t>
      </w:r>
      <w:r w:rsidR="00350A30" w:rsidRPr="00350A30">
        <w:t>Bajo enfoques de este tipo</w:t>
      </w:r>
      <w:r w:rsidRPr="00E22332">
        <w:t>, el algoritmo genético explora combinaciones de variables, mientras que LDA puede utilizarse como clasificador o como criterio de evaluación de la calidad discriminativa del subconjunto seleccionado</w:t>
      </w:r>
      <w:r>
        <w:t xml:space="preserve"> </w:t>
      </w:r>
      <w:r w:rsidRPr="00B86B5C">
        <w:t>(</w:t>
      </w:r>
      <w:r>
        <w:t>Lara-Arellano et al. 2025</w:t>
      </w:r>
      <w:r w:rsidRPr="00B86B5C">
        <w:t>)</w:t>
      </w:r>
      <w:r w:rsidRPr="00E22332">
        <w:t>.</w:t>
      </w:r>
    </w:p>
    <w:p w14:paraId="58DDE234" w14:textId="39CE0A5A" w:rsidR="00B86B5C" w:rsidRPr="00B86B5C" w:rsidRDefault="00314C8F" w:rsidP="002232B5">
      <w:pPr>
        <w:pStyle w:val="Parrafobsico"/>
      </w:pPr>
      <w:r w:rsidRPr="00314C8F">
        <w:t xml:space="preserve">La literatura reciente muestra aplicaciones de algoritmos genéticos para selección de características en problemas de clasificación; sin embargo, su integración específica con </w:t>
      </w:r>
      <w:r w:rsidRPr="00314C8F">
        <w:lastRenderedPageBreak/>
        <w:t>LDA debe presentarse como una estrategia posible más que como una mejora universal frente a alternativas paramétricas</w:t>
      </w:r>
      <w:r w:rsidRPr="00B86B5C">
        <w:t xml:space="preserve"> </w:t>
      </w:r>
      <w:r>
        <w:t>(</w:t>
      </w:r>
      <w:proofErr w:type="spellStart"/>
      <w:r w:rsidR="00B86B5C">
        <w:t>Bahlool</w:t>
      </w:r>
      <w:proofErr w:type="spellEnd"/>
      <w:r w:rsidR="00B86B5C">
        <w:t xml:space="preserve"> et al., 2025</w:t>
      </w:r>
      <w:r w:rsidR="00B86B5C" w:rsidRPr="00B86B5C">
        <w:t>).</w:t>
      </w:r>
    </w:p>
    <w:p w14:paraId="03B8E9FF" w14:textId="77777777" w:rsidR="00E22332" w:rsidRPr="003876D8" w:rsidRDefault="00E22332" w:rsidP="003876D8"/>
    <w:p w14:paraId="3543B009" w14:textId="77777777" w:rsidR="003876D8" w:rsidRPr="003876D8" w:rsidRDefault="003876D8" w:rsidP="003876D8">
      <w:pPr>
        <w:rPr>
          <w:b/>
        </w:rPr>
      </w:pPr>
      <w:bookmarkStart w:id="38" w:name="_Toc233016382"/>
      <w:bookmarkStart w:id="39" w:name="_Toc233066810"/>
      <w:bookmarkStart w:id="40" w:name="métodos-híbridos"/>
      <w:bookmarkEnd w:id="37"/>
      <w:r w:rsidRPr="003876D8">
        <w:rPr>
          <w:b/>
        </w:rPr>
        <w:t>3.3.3</w:t>
      </w:r>
      <w:r w:rsidRPr="003876D8">
        <w:rPr>
          <w:b/>
        </w:rPr>
        <w:tab/>
        <w:t>Métodos híbridos</w:t>
      </w:r>
      <w:bookmarkEnd w:id="38"/>
      <w:bookmarkEnd w:id="39"/>
    </w:p>
    <w:p w14:paraId="4A51E999" w14:textId="77777777" w:rsidR="00E22332" w:rsidRPr="00E22332" w:rsidRDefault="00E22332" w:rsidP="002232B5">
      <w:pPr>
        <w:pStyle w:val="Parrafobsico"/>
      </w:pPr>
      <w:r w:rsidRPr="00E22332">
        <w:t>Los métodos híbridos de selección de características surgen como una alternativa para reducir el costo computacional de las estrategias evolutivas puras en dominios de alta dimensionalidad. En general, estas arquitecturas combinan una etapa inicial de filtrado, basada en criterios estadísticos o medidas de relevancia, con una etapa posterior de búsqueda más fina mediante metaheurísticas. La primera fase permite descartar un número considerable de variables redundantes o poco informativas, mientras que la segunda explora subconjuntos candidatos considerando posibles interacciones entre predictores.</w:t>
      </w:r>
    </w:p>
    <w:p w14:paraId="437B5C3D" w14:textId="690E18D3" w:rsidR="00E22332" w:rsidRPr="00E22332" w:rsidRDefault="00E22332" w:rsidP="002232B5">
      <w:pPr>
        <w:pStyle w:val="Parrafobsico"/>
      </w:pPr>
      <w:r w:rsidRPr="00E22332">
        <w:t xml:space="preserve">Esta combinación puede favorecer una búsqueda más eficiente y mejorar la estabilidad de la selección en determinados contextos, especialmente cuando el espacio original de variables es muy amplio. Sin embargo, su desempeño depende del criterio de filtrado, de la metaheurística empleada, de la función objetivo y del clasificador final. Por ello, más que garantizar una convergencia acelerada o una estabilidad superior en todos los casos, los métodos híbridos </w:t>
      </w:r>
      <w:r>
        <w:t>se</w:t>
      </w:r>
      <w:r w:rsidRPr="00E22332">
        <w:t xml:space="preserve"> presenta</w:t>
      </w:r>
      <w:r>
        <w:t>n</w:t>
      </w:r>
      <w:r w:rsidRPr="00E22332">
        <w:t xml:space="preserve"> como una estrategia prometedora cuyo rendimiento requiere validación empírica en cada dominio de aplicación (Wang et al., 2022; </w:t>
      </w:r>
      <w:proofErr w:type="spellStart"/>
      <w:r w:rsidRPr="00E22332">
        <w:t>Manhrawy</w:t>
      </w:r>
      <w:proofErr w:type="spellEnd"/>
      <w:r w:rsidRPr="00E22332">
        <w:t xml:space="preserve"> et al., 2026).</w:t>
      </w:r>
    </w:p>
    <w:p w14:paraId="6C3E5122" w14:textId="77777777" w:rsidR="00311654" w:rsidRPr="00311654" w:rsidRDefault="00311654" w:rsidP="003876D8">
      <w:pPr>
        <w:rPr>
          <w:u w:val="single"/>
        </w:rPr>
      </w:pPr>
    </w:p>
    <w:p w14:paraId="2484EA7F" w14:textId="0197FD65" w:rsidR="003876D8" w:rsidRPr="003876D8" w:rsidRDefault="003876D8" w:rsidP="003876D8">
      <w:pPr>
        <w:rPr>
          <w:b/>
        </w:rPr>
      </w:pPr>
      <w:bookmarkStart w:id="41" w:name="_Toc233016383"/>
      <w:bookmarkStart w:id="42" w:name="_Toc233066811"/>
      <w:bookmarkStart w:id="43" w:name="gpda-y-trabajos-relacionados"/>
      <w:bookmarkEnd w:id="40"/>
      <w:r w:rsidRPr="003876D8">
        <w:rPr>
          <w:b/>
        </w:rPr>
        <w:t>3.3.4</w:t>
      </w:r>
      <w:r w:rsidRPr="003876D8">
        <w:rPr>
          <w:b/>
        </w:rPr>
        <w:tab/>
        <w:t xml:space="preserve">GPDA </w:t>
      </w:r>
      <w:bookmarkEnd w:id="41"/>
      <w:bookmarkEnd w:id="42"/>
    </w:p>
    <w:p w14:paraId="1A24BD17" w14:textId="1C7D68FD" w:rsidR="003876D8" w:rsidRDefault="00316371" w:rsidP="002232B5">
      <w:pPr>
        <w:pStyle w:val="Parrafobsico"/>
      </w:pPr>
      <w:r w:rsidRPr="00316371">
        <w:t xml:space="preserve">Con el propósito de afrontar las limitaciones que presentan LDA y sus variantes en escenarios de </w:t>
      </w:r>
      <w:r w:rsidRPr="00316371">
        <w:rPr>
          <w:i/>
          <w:iCs/>
        </w:rPr>
        <w:t>Small Sample Size</w:t>
      </w:r>
      <w:r w:rsidRPr="00316371">
        <w:t xml:space="preserve"> (SSS), </w:t>
      </w:r>
      <w:r>
        <w:t>Medina et al. (2025)</w:t>
      </w:r>
      <w:r w:rsidRPr="00316371">
        <w:t xml:space="preserve"> propusieron el Análisis Discriminante Proyectivo Genético (GPDA), una técnica de reducción de dimensionalidad basada en computación evolutiva. A diferencia de los enfoques tradicionales sustentados en el criterio de Fisher y en la estimación de matrices de dispersión, GPDA formula la búsqueda de proyecciones discriminantes como un problema de optimización evolutiva sobre matrices ortonormales. La calidad de cada proyección se evalúa mediante el índice de silueta, permitiendo maximizar directamente la separabilidad entre clases sin recurrir a la inversión o descomposición de la matriz de dispersión intraclase. </w:t>
      </w:r>
      <w:r w:rsidR="00EF49B1">
        <w:t>E</w:t>
      </w:r>
      <w:r w:rsidR="00EF49B1" w:rsidRPr="00EF49B1">
        <w:t xml:space="preserve">sta estrategia permite evitar la </w:t>
      </w:r>
      <w:r w:rsidR="00EF49B1" w:rsidRPr="00EF49B1">
        <w:lastRenderedPageBreak/>
        <w:t xml:space="preserve">inversión directa de matrices de dispersión, mitigando los problemas de singularidad característicos del escenario SSS </w:t>
      </w:r>
      <w:r w:rsidRPr="00316371">
        <w:t>y proporciona representaciones de baja dimensión con elevada capacidad discriminativa.</w:t>
      </w:r>
    </w:p>
    <w:p w14:paraId="6C8C0370" w14:textId="77777777" w:rsidR="00641837" w:rsidRDefault="00641837" w:rsidP="003876D8"/>
    <w:p w14:paraId="17B938A5" w14:textId="77777777" w:rsidR="00316371" w:rsidRPr="003876D8" w:rsidRDefault="00316371" w:rsidP="003876D8"/>
    <w:p w14:paraId="0E76EE1E" w14:textId="77777777" w:rsidR="003876D8" w:rsidRPr="003876D8" w:rsidRDefault="003876D8" w:rsidP="003876D8">
      <w:pPr>
        <w:rPr>
          <w:b/>
        </w:rPr>
      </w:pPr>
      <w:bookmarkStart w:id="44" w:name="_Toc233016384"/>
      <w:bookmarkStart w:id="45" w:name="_Toc233066812"/>
      <w:bookmarkStart w:id="46" w:name="limitaciones-identificadas"/>
      <w:bookmarkEnd w:id="31"/>
      <w:bookmarkEnd w:id="43"/>
      <w:r w:rsidRPr="003876D8">
        <w:rPr>
          <w:b/>
        </w:rPr>
        <w:t>3.4</w:t>
      </w:r>
      <w:r w:rsidRPr="003876D8">
        <w:rPr>
          <w:b/>
        </w:rPr>
        <w:tab/>
        <w:t>Limitaciones identificadas</w:t>
      </w:r>
      <w:bookmarkEnd w:id="44"/>
      <w:bookmarkEnd w:id="45"/>
    </w:p>
    <w:p w14:paraId="7DE430B3" w14:textId="7D9EDEB1" w:rsidR="00E368D5" w:rsidRDefault="00E368D5" w:rsidP="002232B5">
      <w:pPr>
        <w:pStyle w:val="Parrafobsico"/>
      </w:pPr>
      <w:r>
        <w:t xml:space="preserve">A partir de la revisión anterior, puede observarse que las metodologías empleadas para abordar la alta dimensionalidad y el problema Small Sample Size (SSS) enfrentan compromisos recurrentes entre estabilidad numérica, capacidad discriminativa, interpretabilidad y costo computacional. En los enfoques derivados de LDA, una dificultad central se presenta cuando el número de variables es comparable o superior al número de observaciones (p &gt; n), ya que la matriz de dispersión intraclase puede volverse singular o mal condicionada. </w:t>
      </w:r>
      <w:r w:rsidR="00350A30" w:rsidRPr="00350A30">
        <w:rPr>
          <w:lang w:val="es-MX"/>
        </w:rPr>
        <w:t>Para mitigar esta limitación, la literatura ha propuesto estrategias como regularización, reducción previa de dimensionalidad, selección de características, métodos evolutivos y formulaciones Trace-Ratio orientadas al problema SSS (Li et al., 2024).</w:t>
      </w:r>
    </w:p>
    <w:p w14:paraId="008D4ACA" w14:textId="77777777" w:rsidR="00E368D5" w:rsidRDefault="00E368D5" w:rsidP="002232B5">
      <w:pPr>
        <w:pStyle w:val="Parrafobsico"/>
      </w:pPr>
      <w:r>
        <w:t xml:space="preserve">Los métodos </w:t>
      </w:r>
      <w:proofErr w:type="spellStart"/>
      <w:r>
        <w:t>kernel</w:t>
      </w:r>
      <w:proofErr w:type="spellEnd"/>
      <w:r>
        <w:t xml:space="preserve">, por su parte, permiten capturar relaciones no lineales mediante mapeos implícitos hacia espacios de mayor dimensionalidad. Esta propiedad resulta útil cuando las clases no son separables linealmente; sin embargo, también dificulta la interpretación directa de la contribución de las variables originales. Aunque trabajos recientes han propuesto mecanismos para explicar modelos </w:t>
      </w:r>
      <w:proofErr w:type="spellStart"/>
      <w:r>
        <w:t>kernel</w:t>
      </w:r>
      <w:proofErr w:type="spellEnd"/>
      <w:r>
        <w:t>, como KPCA o SVM-RBF, la trazabilidad de los predictores continúa siendo menos directa que en modelos basados en transformaciones explícitas (</w:t>
      </w:r>
      <w:proofErr w:type="spellStart"/>
      <w:r>
        <w:t>Briscik</w:t>
      </w:r>
      <w:proofErr w:type="spellEnd"/>
      <w:r>
        <w:t xml:space="preserve"> et al., 2023; Zhang et al., 2024).</w:t>
      </w:r>
    </w:p>
    <w:p w14:paraId="0399AD10" w14:textId="4F0B5D04" w:rsidR="003876D8" w:rsidRPr="003876D8" w:rsidRDefault="00E368D5" w:rsidP="002232B5">
      <w:pPr>
        <w:pStyle w:val="Parrafobsico"/>
      </w:pPr>
      <w:r>
        <w:t>De forma complementaria, los algoritmos evolutivos y los métodos híbridos ofrecen una vía flexible para explorar subconjuntos de variables o matrices de proyección sin depender necesariamente de la inversión directa de matrices de dispersión. No obstante, estas estrategias pueden implicar mayores costos computacionales y requieren definir cuidadosamente la función objetivo, los operadores evolutivos y los criterios de convergencia. En consecuencia, el estado del arte muestra que aún existe espacio para propuestas que combinen reducción de dimensionalidad, manejo del escenario SSS, modelado no lineal explícito e interpretabilidad de los predictores originales.</w:t>
      </w:r>
    </w:p>
    <w:p w14:paraId="4F99A1B6" w14:textId="77777777" w:rsidR="003876D8" w:rsidRDefault="003876D8" w:rsidP="003876D8">
      <w:bookmarkStart w:id="47" w:name="costos-computacionales"/>
    </w:p>
    <w:p w14:paraId="6CE5B1B8" w14:textId="77777777" w:rsidR="00E368D5" w:rsidRPr="003876D8" w:rsidRDefault="00E368D5" w:rsidP="003876D8"/>
    <w:p w14:paraId="53DD9730" w14:textId="77777777" w:rsidR="003876D8" w:rsidRPr="003876D8" w:rsidRDefault="003876D8" w:rsidP="003876D8">
      <w:pPr>
        <w:rPr>
          <w:b/>
        </w:rPr>
      </w:pPr>
      <w:bookmarkStart w:id="48" w:name="_Toc233016389"/>
      <w:bookmarkStart w:id="49" w:name="_Toc233066817"/>
      <w:bookmarkEnd w:id="46"/>
      <w:bookmarkEnd w:id="47"/>
      <w:r w:rsidRPr="003876D8">
        <w:rPr>
          <w:b/>
        </w:rPr>
        <w:t>3.5</w:t>
      </w:r>
      <w:r w:rsidRPr="003876D8">
        <w:rPr>
          <w:b/>
        </w:rPr>
        <w:tab/>
        <w:t>Posicionamiento de GNLPDA</w:t>
      </w:r>
      <w:bookmarkEnd w:id="48"/>
      <w:bookmarkEnd w:id="49"/>
    </w:p>
    <w:p w14:paraId="7F88328D" w14:textId="13C4BC68" w:rsidR="00E368D5" w:rsidRPr="00E368D5" w:rsidRDefault="00E368D5" w:rsidP="002232B5">
      <w:pPr>
        <w:pStyle w:val="Parrafobsico"/>
      </w:pPr>
      <w:r w:rsidRPr="00E368D5">
        <w:t xml:space="preserve">Frente a estas limitaciones, el Análisis Discriminante Polinomial No Lineal Genético (GNLPDA) se posiciona como una alternativa metodológica orientada a integrar tres elementos: búsqueda evolutiva de proyecciones discriminativas, manejo de escenarios (p &gt; n) y modelado explícito de relaciones no lineales. </w:t>
      </w:r>
      <w:r w:rsidR="00350A30" w:rsidRPr="00350A30">
        <w:t>En este sentido, GNLPDA retoma la lógica evolutiva presente en GPDA, al formular la búsqueda de proyecciones como un problema de optimización (Medina et al., 2025)</w:t>
      </w:r>
      <w:r w:rsidRPr="00E368D5">
        <w:t xml:space="preserve">, pero introduce una expansión polinomial explícita que permite representar interacciones entre variables sin recurrir necesariamente a un mapeo </w:t>
      </w:r>
      <w:proofErr w:type="spellStart"/>
      <w:r w:rsidRPr="00E368D5">
        <w:t>kernel</w:t>
      </w:r>
      <w:proofErr w:type="spellEnd"/>
      <w:r w:rsidRPr="00E368D5">
        <w:t xml:space="preserve"> implícito basado en matrices de Gram.</w:t>
      </w:r>
    </w:p>
    <w:p w14:paraId="27083FAA" w14:textId="77777777" w:rsidR="00E368D5" w:rsidRPr="00E368D5" w:rsidRDefault="00E368D5" w:rsidP="002232B5">
      <w:pPr>
        <w:pStyle w:val="Parrafobsico"/>
      </w:pPr>
      <w:r w:rsidRPr="00E368D5">
        <w:t xml:space="preserve">El aporte central de GNLPDA radica en que la no linealidad se incorpora mediante términos polinomiales definidos sobre las variables originales. A diferencia de los métodos </w:t>
      </w:r>
      <w:proofErr w:type="spellStart"/>
      <w:r w:rsidRPr="00E368D5">
        <w:t>kernel</w:t>
      </w:r>
      <w:proofErr w:type="spellEnd"/>
      <w:r w:rsidRPr="00E368D5">
        <w:t>, donde el mapeo al espacio de características suele operar de manera implícita, esta formulación permite conservar una relación más directa entre los predictores iniciales, sus interacciones y la proyección discriminativa resultante. Por ello, el método busca equilibrar la capacidad de modelar fronteras de decisión no lineales con una mayor trazabilidad analítica de las características utilizadas.</w:t>
      </w:r>
    </w:p>
    <w:p w14:paraId="027F1ABA" w14:textId="77777777" w:rsidR="00E368D5" w:rsidRPr="00E368D5" w:rsidRDefault="00E368D5" w:rsidP="002232B5">
      <w:pPr>
        <w:pStyle w:val="Parrafobsico"/>
      </w:pPr>
      <w:r w:rsidRPr="00E368D5">
        <w:t xml:space="preserve">No obstante, el posicionamiento de GNLPDA debe plantearse de manera prudente: su ventaja no radica en eliminar por completo los problemas de interpretabilidad, costo computacional o sobreajuste, sino en proponer una vía explícita para abordarlos dentro de una formulación evolutiva. En consecuencia, su pertinencia debe evaluarse empíricamente frente a métodos lineales, </w:t>
      </w:r>
      <w:proofErr w:type="spellStart"/>
      <w:r w:rsidRPr="00E368D5">
        <w:t>kernel</w:t>
      </w:r>
      <w:proofErr w:type="spellEnd"/>
      <w:r w:rsidRPr="00E368D5">
        <w:t>, evolutivos e híbridos, considerando tanto el desempeño discriminativo como la estabilidad, la complejidad computacional y la interpretabilidad del modelo obtenido.</w:t>
      </w:r>
    </w:p>
    <w:p w14:paraId="0BC08480" w14:textId="77777777" w:rsidR="00E242B7" w:rsidRPr="00E368D5" w:rsidRDefault="00E242B7"/>
    <w:p w14:paraId="36519A17" w14:textId="77777777" w:rsidR="00641837" w:rsidRDefault="00641837">
      <w:pPr>
        <w:rPr>
          <w:lang w:val="es-ES_tradnl"/>
        </w:rPr>
      </w:pPr>
    </w:p>
    <w:p w14:paraId="2482078E" w14:textId="77777777" w:rsidR="00641837" w:rsidRDefault="00641837">
      <w:pPr>
        <w:rPr>
          <w:lang w:val="es-ES_tradnl"/>
        </w:rPr>
      </w:pPr>
    </w:p>
    <w:p w14:paraId="67FC76AB" w14:textId="77777777" w:rsidR="00641837" w:rsidRDefault="00641837">
      <w:pPr>
        <w:rPr>
          <w:lang w:val="es-ES_tradnl"/>
        </w:rPr>
      </w:pPr>
    </w:p>
    <w:p w14:paraId="410DC350" w14:textId="77777777" w:rsidR="00641837" w:rsidRDefault="00641837">
      <w:pPr>
        <w:rPr>
          <w:lang w:val="es-ES_tradnl"/>
        </w:rPr>
      </w:pPr>
    </w:p>
    <w:p w14:paraId="5F0E6DF2" w14:textId="77777777" w:rsidR="00641837" w:rsidRDefault="00641837">
      <w:pPr>
        <w:rPr>
          <w:lang w:val="es-ES_tradnl"/>
        </w:rPr>
      </w:pPr>
    </w:p>
    <w:p w14:paraId="670CA2E1" w14:textId="77777777" w:rsidR="00641837" w:rsidRDefault="00641837">
      <w:pPr>
        <w:rPr>
          <w:lang w:val="es-ES_tradnl"/>
        </w:rPr>
      </w:pPr>
    </w:p>
    <w:p w14:paraId="03406E97" w14:textId="77777777" w:rsidR="00641837" w:rsidRDefault="00641837">
      <w:pPr>
        <w:rPr>
          <w:lang w:val="es-ES_tradnl"/>
        </w:rPr>
      </w:pPr>
    </w:p>
    <w:p w14:paraId="6797E084" w14:textId="77777777" w:rsidR="00641837" w:rsidRDefault="00641837">
      <w:pPr>
        <w:rPr>
          <w:lang w:val="es-ES_tradnl"/>
        </w:rPr>
      </w:pPr>
    </w:p>
    <w:p w14:paraId="661468B3" w14:textId="77777777" w:rsidR="00641837" w:rsidRDefault="00641837">
      <w:pPr>
        <w:rPr>
          <w:lang w:val="es-ES_tradnl"/>
        </w:rPr>
      </w:pPr>
    </w:p>
    <w:p w14:paraId="2C7CC858" w14:textId="77777777" w:rsidR="00641837" w:rsidRDefault="00641837">
      <w:pPr>
        <w:rPr>
          <w:lang w:val="es-ES_tradnl"/>
        </w:rPr>
      </w:pPr>
    </w:p>
    <w:p w14:paraId="16EB8020" w14:textId="77777777" w:rsidR="00641837" w:rsidRDefault="00641837">
      <w:pPr>
        <w:rPr>
          <w:lang w:val="es-ES_tradnl"/>
        </w:rPr>
      </w:pPr>
    </w:p>
    <w:p w14:paraId="64F28285" w14:textId="77777777" w:rsidR="00641837" w:rsidRDefault="00641837">
      <w:pPr>
        <w:rPr>
          <w:lang w:val="es-ES_tradnl"/>
        </w:rPr>
      </w:pPr>
    </w:p>
    <w:p w14:paraId="23A229EE" w14:textId="77777777" w:rsidR="00641837" w:rsidRDefault="00641837">
      <w:pPr>
        <w:rPr>
          <w:lang w:val="es-ES_tradnl"/>
        </w:rPr>
      </w:pPr>
    </w:p>
    <w:p w14:paraId="769A3B27" w14:textId="77777777" w:rsidR="00641837" w:rsidRDefault="00641837">
      <w:pPr>
        <w:rPr>
          <w:lang w:val="es-ES_tradnl"/>
        </w:rPr>
      </w:pPr>
    </w:p>
    <w:p w14:paraId="62BACAEA" w14:textId="77777777" w:rsidR="00641837" w:rsidRDefault="00641837" w:rsidP="00641837">
      <w:pPr>
        <w:pStyle w:val="Ttulo1"/>
      </w:pPr>
      <w:bookmarkStart w:id="50" w:name="_Toc233226458"/>
      <w:bookmarkStart w:id="51" w:name="referencias"/>
      <w:r>
        <w:t>Referencias</w:t>
      </w:r>
      <w:bookmarkEnd w:id="50"/>
    </w:p>
    <w:p w14:paraId="33076978" w14:textId="77777777" w:rsidR="00641837" w:rsidRDefault="00641837" w:rsidP="002232B5">
      <w:pPr>
        <w:pStyle w:val="Prrafobase"/>
      </w:pPr>
      <w:bookmarkStart w:id="52" w:name="ref-agatra2025"/>
      <w:bookmarkStart w:id="53" w:name="refs"/>
      <w:r w:rsidRPr="00641837">
        <w:rPr>
          <w:lang w:val="es-MX"/>
        </w:rPr>
        <w:t xml:space="preserve">Agatra, D. F. N., Marutho, D., &amp; Xiong, X. (2025). </w:t>
      </w:r>
      <w:r>
        <w:t xml:space="preserve">Evaluating PCA and LDA to improve machine learning classification of consumer behavior in health informatics. </w:t>
      </w:r>
      <w:r>
        <w:rPr>
          <w:i/>
          <w:iCs/>
        </w:rPr>
        <w:t>Journal of Intelligent Computing and Health Informatics (JICHI). Vol</w:t>
      </w:r>
      <w:r>
        <w:t xml:space="preserve">, </w:t>
      </w:r>
      <w:r>
        <w:rPr>
          <w:i/>
          <w:iCs/>
        </w:rPr>
        <w:t>6</w:t>
      </w:r>
      <w:r>
        <w:t>(1).</w:t>
      </w:r>
    </w:p>
    <w:p w14:paraId="3E66011A" w14:textId="77777777" w:rsidR="00641837" w:rsidRDefault="00641837" w:rsidP="002232B5">
      <w:pPr>
        <w:pStyle w:val="Prrafobase"/>
      </w:pPr>
      <w:bookmarkStart w:id="54" w:name="ref-al2021"/>
      <w:bookmarkEnd w:id="52"/>
      <w:r w:rsidRPr="00FA7EF8">
        <w:rPr>
          <w:lang w:val="es-MX"/>
        </w:rPr>
        <w:t xml:space="preserve">Al-Milli, N., </w:t>
      </w:r>
      <w:proofErr w:type="spellStart"/>
      <w:r w:rsidRPr="00FA7EF8">
        <w:rPr>
          <w:lang w:val="es-MX"/>
        </w:rPr>
        <w:t>Hudaib</w:t>
      </w:r>
      <w:proofErr w:type="spellEnd"/>
      <w:r w:rsidRPr="00FA7EF8">
        <w:rPr>
          <w:lang w:val="es-MX"/>
        </w:rPr>
        <w:t xml:space="preserve">, A., &amp; Obeid, N. (2021). </w:t>
      </w:r>
      <w:r>
        <w:t xml:space="preserve">Population diversity control of genetic algorithm using a novel injection method for bankruptcy prediction problem. </w:t>
      </w:r>
      <w:r>
        <w:rPr>
          <w:i/>
          <w:iCs/>
        </w:rPr>
        <w:t>Mathematics</w:t>
      </w:r>
      <w:r>
        <w:t xml:space="preserve">, </w:t>
      </w:r>
      <w:r>
        <w:rPr>
          <w:i/>
          <w:iCs/>
        </w:rPr>
        <w:t>9</w:t>
      </w:r>
      <w:r>
        <w:t>(8), 823.</w:t>
      </w:r>
    </w:p>
    <w:p w14:paraId="6A451A7C" w14:textId="77777777" w:rsidR="00641837" w:rsidRDefault="00641837" w:rsidP="002232B5">
      <w:pPr>
        <w:pStyle w:val="Prrafobase"/>
      </w:pPr>
      <w:bookmarkStart w:id="55" w:name="ref-araveeporn2023"/>
      <w:bookmarkEnd w:id="54"/>
      <w:proofErr w:type="spellStart"/>
      <w:r>
        <w:t>Araveeporn</w:t>
      </w:r>
      <w:proofErr w:type="spellEnd"/>
      <w:r>
        <w:t xml:space="preserve">, A., &amp; </w:t>
      </w:r>
      <w:proofErr w:type="spellStart"/>
      <w:r>
        <w:t>Banditvilai</w:t>
      </w:r>
      <w:proofErr w:type="spellEnd"/>
      <w:r>
        <w:t xml:space="preserve">, S. (2023). A classification study in high-dimensional data of linear discriminant analysis and regularized discriminant analysis. </w:t>
      </w:r>
      <w:r>
        <w:rPr>
          <w:i/>
          <w:iCs/>
        </w:rPr>
        <w:t>WSEAS Trans. Math</w:t>
      </w:r>
      <w:r>
        <w:t xml:space="preserve">, </w:t>
      </w:r>
      <w:r>
        <w:rPr>
          <w:i/>
          <w:iCs/>
        </w:rPr>
        <w:t>22</w:t>
      </w:r>
      <w:r>
        <w:t>, 315–323.</w:t>
      </w:r>
    </w:p>
    <w:p w14:paraId="7815F14B" w14:textId="77777777" w:rsidR="00641837" w:rsidRDefault="00641837" w:rsidP="002232B5">
      <w:pPr>
        <w:pStyle w:val="Prrafobase"/>
      </w:pPr>
      <w:bookmarkStart w:id="56" w:name="ref-bahlool2025"/>
      <w:bookmarkEnd w:id="55"/>
      <w:proofErr w:type="spellStart"/>
      <w:r>
        <w:t>Bahlool</w:t>
      </w:r>
      <w:proofErr w:type="spellEnd"/>
      <w:r>
        <w:t xml:space="preserve">, R., </w:t>
      </w:r>
      <w:proofErr w:type="spellStart"/>
      <w:r>
        <w:t>Hewahi</w:t>
      </w:r>
      <w:proofErr w:type="spellEnd"/>
      <w:r>
        <w:t xml:space="preserve">, N., &amp; </w:t>
      </w:r>
      <w:proofErr w:type="spellStart"/>
      <w:r>
        <w:t>Harrath</w:t>
      </w:r>
      <w:proofErr w:type="spellEnd"/>
      <w:r>
        <w:t xml:space="preserve">, Y. (2025). </w:t>
      </w:r>
      <w:proofErr w:type="spellStart"/>
      <w:r>
        <w:t>FastTree</w:t>
      </w:r>
      <w:proofErr w:type="spellEnd"/>
      <w:r>
        <w:t xml:space="preserve">-guided genetic algorithm for credit scoring feature selection. </w:t>
      </w:r>
      <w:r>
        <w:rPr>
          <w:i/>
          <w:iCs/>
        </w:rPr>
        <w:t>Computers</w:t>
      </w:r>
      <w:r>
        <w:t xml:space="preserve">, </w:t>
      </w:r>
      <w:r>
        <w:rPr>
          <w:i/>
          <w:iCs/>
        </w:rPr>
        <w:t>14</w:t>
      </w:r>
      <w:r>
        <w:t>(12), 566.</w:t>
      </w:r>
    </w:p>
    <w:p w14:paraId="7CD6B9D0" w14:textId="77777777" w:rsidR="00641837" w:rsidRDefault="00641837" w:rsidP="002232B5">
      <w:pPr>
        <w:pStyle w:val="Prrafobase"/>
      </w:pPr>
      <w:bookmarkStart w:id="57" w:name="ref-briscik2023"/>
      <w:bookmarkEnd w:id="56"/>
      <w:proofErr w:type="spellStart"/>
      <w:r>
        <w:t>Briscik</w:t>
      </w:r>
      <w:proofErr w:type="spellEnd"/>
      <w:r>
        <w:t xml:space="preserve">, M., Dillies, M.-A., &amp; </w:t>
      </w:r>
      <w:proofErr w:type="spellStart"/>
      <w:r>
        <w:t>Déjean</w:t>
      </w:r>
      <w:proofErr w:type="spellEnd"/>
      <w:r>
        <w:t xml:space="preserve">, S. (2023). Improvement of variables interpretability in kernel PCA. </w:t>
      </w:r>
      <w:r>
        <w:rPr>
          <w:i/>
          <w:iCs/>
        </w:rPr>
        <w:t>BMC Bioinformatics</w:t>
      </w:r>
      <w:r>
        <w:t xml:space="preserve">, </w:t>
      </w:r>
      <w:r>
        <w:rPr>
          <w:i/>
          <w:iCs/>
        </w:rPr>
        <w:t>24</w:t>
      </w:r>
      <w:r>
        <w:t>(1), 282.</w:t>
      </w:r>
    </w:p>
    <w:p w14:paraId="54A34C3C" w14:textId="77777777" w:rsidR="00641837" w:rsidRDefault="00641837" w:rsidP="002232B5">
      <w:pPr>
        <w:pStyle w:val="Prrafobase"/>
      </w:pPr>
      <w:bookmarkStart w:id="58" w:name="ref-buhas2024"/>
      <w:bookmarkEnd w:id="57"/>
      <w:proofErr w:type="spellStart"/>
      <w:r>
        <w:t>Buhas</w:t>
      </w:r>
      <w:proofErr w:type="spellEnd"/>
      <w:r>
        <w:t xml:space="preserve">, B. A., Muntean, L. A.-M., </w:t>
      </w:r>
      <w:proofErr w:type="spellStart"/>
      <w:r>
        <w:t>Ploussard</w:t>
      </w:r>
      <w:proofErr w:type="spellEnd"/>
      <w:r>
        <w:t xml:space="preserve">, G., </w:t>
      </w:r>
      <w:proofErr w:type="spellStart"/>
      <w:r>
        <w:t>Feciche</w:t>
      </w:r>
      <w:proofErr w:type="spellEnd"/>
      <w:r>
        <w:t xml:space="preserve">, B. O., Andras, I., Toma, V., Maghiar, T. A., </w:t>
      </w:r>
      <w:proofErr w:type="spellStart"/>
      <w:r>
        <w:t>Crișan</w:t>
      </w:r>
      <w:proofErr w:type="spellEnd"/>
      <w:r>
        <w:t xml:space="preserve">, N., </w:t>
      </w:r>
      <w:proofErr w:type="spellStart"/>
      <w:r>
        <w:t>Știufiuc</w:t>
      </w:r>
      <w:proofErr w:type="spellEnd"/>
      <w:r>
        <w:t xml:space="preserve">, R.-I., &amp; Lucaciu, C. M. (2024). Renal cell carcinoma discrimination through attenuated total reflection </w:t>
      </w:r>
      <w:proofErr w:type="spellStart"/>
      <w:r>
        <w:t>fourier</w:t>
      </w:r>
      <w:proofErr w:type="spellEnd"/>
      <w:r>
        <w:t xml:space="preserve"> transform infrared spectroscopy of dried human urine and machine learning techniques. </w:t>
      </w:r>
      <w:r>
        <w:rPr>
          <w:i/>
          <w:iCs/>
        </w:rPr>
        <w:t>International Journal of Molecular Sciences</w:t>
      </w:r>
      <w:r>
        <w:t xml:space="preserve">, </w:t>
      </w:r>
      <w:r>
        <w:rPr>
          <w:i/>
          <w:iCs/>
        </w:rPr>
        <w:t>25</w:t>
      </w:r>
      <w:r>
        <w:t>(18), 9830.</w:t>
      </w:r>
    </w:p>
    <w:p w14:paraId="17B07463" w14:textId="77777777" w:rsidR="00641837" w:rsidRDefault="00641837" w:rsidP="002232B5">
      <w:pPr>
        <w:pStyle w:val="Prrafobase"/>
      </w:pPr>
      <w:bookmarkStart w:id="59" w:name="ref-du2024"/>
      <w:bookmarkEnd w:id="58"/>
      <w:r>
        <w:lastRenderedPageBreak/>
        <w:t xml:space="preserve">Du, K.-L., Jiang, B., Lu, J., Hua, J., &amp; Swamy, M. (2024). Exploring kernel machines and support vector machines: Principles, techniques, and future directions. </w:t>
      </w:r>
      <w:r>
        <w:rPr>
          <w:i/>
          <w:iCs/>
        </w:rPr>
        <w:t>Mathematics</w:t>
      </w:r>
      <w:r>
        <w:t xml:space="preserve">, </w:t>
      </w:r>
      <w:r>
        <w:rPr>
          <w:i/>
          <w:iCs/>
        </w:rPr>
        <w:t>12</w:t>
      </w:r>
      <w:r>
        <w:t>(24), 3935.</w:t>
      </w:r>
    </w:p>
    <w:p w14:paraId="676DC497" w14:textId="77777777" w:rsidR="00641837" w:rsidRDefault="00641837" w:rsidP="002232B5">
      <w:pPr>
        <w:pStyle w:val="Prrafobase"/>
      </w:pPr>
      <w:bookmarkStart w:id="60" w:name="ref-jalili2025"/>
      <w:bookmarkEnd w:id="59"/>
      <w:r>
        <w:t xml:space="preserve">Jalili, A., </w:t>
      </w:r>
      <w:proofErr w:type="spellStart"/>
      <w:r>
        <w:t>Saleki</w:t>
      </w:r>
      <w:proofErr w:type="spellEnd"/>
      <w:r>
        <w:t xml:space="preserve">, Z., Luo, Y., Pan, F., Chen, A. X., &amp; Draayer, J. P. (2025). Performance of various kernel functions for mass prediction with support vector machine. </w:t>
      </w:r>
      <w:r>
        <w:rPr>
          <w:i/>
          <w:iCs/>
        </w:rPr>
        <w:t>The European Physical Journal A</w:t>
      </w:r>
      <w:r>
        <w:t xml:space="preserve">, </w:t>
      </w:r>
      <w:r>
        <w:rPr>
          <w:i/>
          <w:iCs/>
        </w:rPr>
        <w:t>61</w:t>
      </w:r>
      <w:r>
        <w:t>(6), 143.</w:t>
      </w:r>
    </w:p>
    <w:p w14:paraId="791BD1C2" w14:textId="77777777" w:rsidR="00641837" w:rsidRDefault="00641837" w:rsidP="002232B5">
      <w:pPr>
        <w:pStyle w:val="Prrafobase"/>
      </w:pPr>
      <w:bookmarkStart w:id="61" w:name="ref-kim2018"/>
      <w:bookmarkEnd w:id="60"/>
      <w:r>
        <w:t xml:space="preserve">Kim, D., Park, S. H., &amp; Baek, J.-G. (2018). A KERNEL FISHER DISCRIMINANT ANALYSIS-BASED TREE ENSEMBLE CLASSIFIER: KFDA FOREST. </w:t>
      </w:r>
      <w:r>
        <w:rPr>
          <w:i/>
          <w:iCs/>
        </w:rPr>
        <w:t>International Journal of Industrial Engineering</w:t>
      </w:r>
      <w:r>
        <w:t xml:space="preserve">, </w:t>
      </w:r>
      <w:r>
        <w:rPr>
          <w:i/>
          <w:iCs/>
        </w:rPr>
        <w:t>25</w:t>
      </w:r>
      <w:r>
        <w:t>(5).</w:t>
      </w:r>
    </w:p>
    <w:p w14:paraId="3B4AF7D0" w14:textId="77777777" w:rsidR="00641837" w:rsidRDefault="00641837" w:rsidP="002232B5">
      <w:pPr>
        <w:pStyle w:val="Prrafobase"/>
      </w:pPr>
      <w:bookmarkStart w:id="62" w:name="ref-lara2025"/>
      <w:bookmarkEnd w:id="61"/>
      <w:r>
        <w:t xml:space="preserve">Lara-Arellano, E., Takacs, A., Tovar-Arriaga, S., &amp; </w:t>
      </w:r>
      <w:proofErr w:type="spellStart"/>
      <w:r>
        <w:t>Rodrı́guez-Reséndiz</w:t>
      </w:r>
      <w:proofErr w:type="spellEnd"/>
      <w:r>
        <w:t xml:space="preserve">, J. (2025). Feature generation with genetic algorithms for imagined speech electroencephalogram signal classification. </w:t>
      </w:r>
      <w:r>
        <w:rPr>
          <w:i/>
          <w:iCs/>
        </w:rPr>
        <w:t>Eng</w:t>
      </w:r>
      <w:r>
        <w:t xml:space="preserve">, </w:t>
      </w:r>
      <w:r>
        <w:rPr>
          <w:i/>
          <w:iCs/>
        </w:rPr>
        <w:t>6</w:t>
      </w:r>
      <w:r>
        <w:t>(4), 75.</w:t>
      </w:r>
    </w:p>
    <w:p w14:paraId="4611B59D" w14:textId="77777777" w:rsidR="00641837" w:rsidRDefault="00641837" w:rsidP="002232B5">
      <w:pPr>
        <w:pStyle w:val="Prrafobase"/>
      </w:pPr>
      <w:bookmarkStart w:id="63" w:name="ref-li2024"/>
      <w:bookmarkEnd w:id="62"/>
      <w:r>
        <w:t xml:space="preserve">Li, Z., Nie, F., Wang, R., &amp; Li, X. (2024). A revised formation of trace ratio LDA for small sample size problem. </w:t>
      </w:r>
      <w:r>
        <w:rPr>
          <w:i/>
          <w:iCs/>
        </w:rPr>
        <w:t>IEEE Transactions on Neural Networks and Learning Systems</w:t>
      </w:r>
      <w:r>
        <w:t>.</w:t>
      </w:r>
    </w:p>
    <w:p w14:paraId="307113B7" w14:textId="77777777" w:rsidR="00641837" w:rsidRDefault="00641837" w:rsidP="002232B5">
      <w:pPr>
        <w:pStyle w:val="Prrafobase"/>
      </w:pPr>
      <w:bookmarkStart w:id="64" w:name="ref-liu2024efficient"/>
      <w:bookmarkEnd w:id="63"/>
      <w:r w:rsidRPr="00FA7EF8">
        <w:t xml:space="preserve">Liu, J., Feng, M., Xiu, X., Liu, W., &amp; Zeng, X. (2024). </w:t>
      </w:r>
      <w:r>
        <w:t xml:space="preserve">Efficient and robust sparse linear discriminant analysis for data classification. </w:t>
      </w:r>
      <w:r>
        <w:rPr>
          <w:i/>
          <w:iCs/>
        </w:rPr>
        <w:t>IEEE Transactions on Emerging Topics in Computational Intelligence</w:t>
      </w:r>
      <w:r>
        <w:t xml:space="preserve">, </w:t>
      </w:r>
      <w:r>
        <w:rPr>
          <w:i/>
          <w:iCs/>
        </w:rPr>
        <w:t>9</w:t>
      </w:r>
      <w:r>
        <w:t>(1), 617–629.</w:t>
      </w:r>
    </w:p>
    <w:p w14:paraId="7D0E187C" w14:textId="77777777" w:rsidR="00641837" w:rsidRDefault="00641837" w:rsidP="002232B5">
      <w:pPr>
        <w:pStyle w:val="Prrafobase"/>
      </w:pPr>
      <w:bookmarkStart w:id="65" w:name="ref-manhrawy2026"/>
      <w:bookmarkEnd w:id="64"/>
      <w:proofErr w:type="spellStart"/>
      <w:r>
        <w:t>Manhrawy</w:t>
      </w:r>
      <w:proofErr w:type="spellEnd"/>
      <w:r>
        <w:t xml:space="preserve">, I. I., Fathi, H., </w:t>
      </w:r>
      <w:proofErr w:type="spellStart"/>
      <w:r>
        <w:t>Alsekait</w:t>
      </w:r>
      <w:proofErr w:type="spellEnd"/>
      <w:r>
        <w:t xml:space="preserve">, D. M., Altawil, A., &amp; Kelany, A. K. (2026). Hybrid feature selection and classification model using high-dimensional data based on a metaheuristic algorithm for brain cancer diagnosis. </w:t>
      </w:r>
      <w:r>
        <w:rPr>
          <w:i/>
          <w:iCs/>
        </w:rPr>
        <w:t>Scientific Reports</w:t>
      </w:r>
      <w:r>
        <w:t>.</w:t>
      </w:r>
    </w:p>
    <w:p w14:paraId="20CE586A" w14:textId="77777777" w:rsidR="00641837" w:rsidRDefault="00641837" w:rsidP="002232B5">
      <w:pPr>
        <w:pStyle w:val="Prrafobase"/>
      </w:pPr>
      <w:bookmarkStart w:id="66" w:name="ref-martirosyan2026"/>
      <w:bookmarkEnd w:id="65"/>
      <w:r>
        <w:t xml:space="preserve">Martirosyan, V. (2026). </w:t>
      </w:r>
      <w:r>
        <w:rPr>
          <w:i/>
          <w:iCs/>
        </w:rPr>
        <w:t>Polynomial regression models for interpretable machine learning: Theory, optimization, and medical applications</w:t>
      </w:r>
      <w:r>
        <w:t>.</w:t>
      </w:r>
    </w:p>
    <w:p w14:paraId="2722AEA7" w14:textId="77777777" w:rsidR="00641837" w:rsidRDefault="00641837" w:rsidP="002232B5">
      <w:pPr>
        <w:pStyle w:val="Prrafobase"/>
      </w:pPr>
      <w:bookmarkStart w:id="67" w:name="ref-medina2025"/>
      <w:bookmarkEnd w:id="66"/>
      <w:r>
        <w:t xml:space="preserve">Medina, M. A., Davis, R. A., &amp; </w:t>
      </w:r>
      <w:proofErr w:type="spellStart"/>
      <w:r>
        <w:t>Samorodnitsky</w:t>
      </w:r>
      <w:proofErr w:type="spellEnd"/>
      <w:r>
        <w:t xml:space="preserve">, G. (2025). Insights into kernel PCA with application to multivariate extremes. </w:t>
      </w:r>
      <w:r>
        <w:rPr>
          <w:i/>
          <w:iCs/>
        </w:rPr>
        <w:t>SIAM Journal on Mathematics of Data Science</w:t>
      </w:r>
      <w:r>
        <w:t xml:space="preserve">, </w:t>
      </w:r>
      <w:r>
        <w:rPr>
          <w:i/>
          <w:iCs/>
        </w:rPr>
        <w:t>7</w:t>
      </w:r>
      <w:r>
        <w:t>(2), 777–801.</w:t>
      </w:r>
    </w:p>
    <w:p w14:paraId="789315D4" w14:textId="77777777" w:rsidR="00641837" w:rsidRDefault="00641837" w:rsidP="002232B5">
      <w:pPr>
        <w:pStyle w:val="Prrafobase"/>
      </w:pPr>
      <w:bookmarkStart w:id="68" w:name="ref-medina2025genetic"/>
      <w:bookmarkEnd w:id="67"/>
      <w:r>
        <w:t xml:space="preserve">Medina, V. D. G., Mesa, H. G. A., Lobato, A. L. L., &amp; Montes, E. M. (2025). Genetic projective discriminant analysis. </w:t>
      </w:r>
      <w:r>
        <w:rPr>
          <w:i/>
          <w:iCs/>
        </w:rPr>
        <w:t>2025 IEEE Latin American Conference on Computational Intelligence (LA-CCI)</w:t>
      </w:r>
      <w:r>
        <w:t>, 1–6.</w:t>
      </w:r>
    </w:p>
    <w:p w14:paraId="3DB96C10" w14:textId="77777777" w:rsidR="00641837" w:rsidRDefault="00641837" w:rsidP="002232B5">
      <w:pPr>
        <w:pStyle w:val="Prrafobase"/>
      </w:pPr>
      <w:bookmarkStart w:id="69" w:name="ref-van2024"/>
      <w:bookmarkEnd w:id="68"/>
      <w:proofErr w:type="spellStart"/>
      <w:r>
        <w:t>Mourik</w:t>
      </w:r>
      <w:proofErr w:type="spellEnd"/>
      <w:r>
        <w:t xml:space="preserve">, F. van, Haeri, M. A., </w:t>
      </w:r>
      <w:proofErr w:type="spellStart"/>
      <w:r>
        <w:t>Bukhsh</w:t>
      </w:r>
      <w:proofErr w:type="spellEnd"/>
      <w:r>
        <w:t xml:space="preserve">, F. A., &amp; Ahmed, F. (2024). </w:t>
      </w:r>
      <w:proofErr w:type="spellStart"/>
      <w:r>
        <w:t>IterSHAP</w:t>
      </w:r>
      <w:proofErr w:type="spellEnd"/>
      <w:r>
        <w:t xml:space="preserve">: An XAI-based feature selection method for small high-dimensional datasets. </w:t>
      </w:r>
      <w:r>
        <w:rPr>
          <w:i/>
          <w:iCs/>
        </w:rPr>
        <w:t>Proceedings of the Future Technologies Conference</w:t>
      </w:r>
      <w:r>
        <w:t>, 526–545.</w:t>
      </w:r>
    </w:p>
    <w:p w14:paraId="0D737A02" w14:textId="77777777" w:rsidR="00641837" w:rsidRDefault="00641837" w:rsidP="002232B5">
      <w:pPr>
        <w:pStyle w:val="Prrafobase"/>
      </w:pPr>
      <w:bookmarkStart w:id="70" w:name="ref-remaki2026rbf"/>
      <w:bookmarkEnd w:id="69"/>
      <w:proofErr w:type="spellStart"/>
      <w:r>
        <w:lastRenderedPageBreak/>
        <w:t>Remaki</w:t>
      </w:r>
      <w:proofErr w:type="spellEnd"/>
      <w:r>
        <w:t xml:space="preserve">, L. (2026). RBF kernel parameter formula for data classification methods. </w:t>
      </w:r>
      <w:proofErr w:type="spellStart"/>
      <w:r>
        <w:rPr>
          <w:i/>
          <w:iCs/>
        </w:rPr>
        <w:t>arXiv</w:t>
      </w:r>
      <w:proofErr w:type="spellEnd"/>
      <w:r>
        <w:rPr>
          <w:i/>
          <w:iCs/>
        </w:rPr>
        <w:t xml:space="preserve"> Preprint arXiv:2604.01258</w:t>
      </w:r>
      <w:r>
        <w:t>.</w:t>
      </w:r>
    </w:p>
    <w:p w14:paraId="221C4A30" w14:textId="77777777" w:rsidR="00641837" w:rsidRDefault="00641837" w:rsidP="002232B5">
      <w:pPr>
        <w:pStyle w:val="Prrafobase"/>
      </w:pPr>
      <w:bookmarkStart w:id="71" w:name="ref-scholkopf2018learning"/>
      <w:bookmarkEnd w:id="70"/>
      <w:proofErr w:type="spellStart"/>
      <w:r>
        <w:t>Scholkopf</w:t>
      </w:r>
      <w:proofErr w:type="spellEnd"/>
      <w:r>
        <w:t xml:space="preserve">, B., &amp; Smola, A. J. (2018). </w:t>
      </w:r>
      <w:r>
        <w:rPr>
          <w:i/>
          <w:iCs/>
        </w:rPr>
        <w:t>Learning with kernels: Support vector machines, regularization, optimization, and beyond</w:t>
      </w:r>
      <w:r>
        <w:t>. MIT press.</w:t>
      </w:r>
    </w:p>
    <w:p w14:paraId="3256D467" w14:textId="77777777" w:rsidR="00641837" w:rsidRDefault="00641837" w:rsidP="002232B5">
      <w:pPr>
        <w:pStyle w:val="Prrafobase"/>
      </w:pPr>
      <w:bookmarkStart w:id="72" w:name="ref-shi2024new"/>
      <w:bookmarkEnd w:id="71"/>
      <w:r>
        <w:t xml:space="preserve">Shi, W., &amp; Wu, G. (2024). New algorithms for trace-ratio problem with application to high-dimension and large-sample data dimensionality reduction. </w:t>
      </w:r>
      <w:r>
        <w:rPr>
          <w:i/>
          <w:iCs/>
        </w:rPr>
        <w:t>Machine Learning</w:t>
      </w:r>
      <w:r>
        <w:t xml:space="preserve">, </w:t>
      </w:r>
      <w:r>
        <w:rPr>
          <w:i/>
          <w:iCs/>
        </w:rPr>
        <w:t>113</w:t>
      </w:r>
      <w:r>
        <w:t>(7), 3889–3916.</w:t>
      </w:r>
    </w:p>
    <w:p w14:paraId="481F3967" w14:textId="77777777" w:rsidR="00641837" w:rsidRDefault="00641837" w:rsidP="002232B5">
      <w:pPr>
        <w:pStyle w:val="Prrafobase"/>
      </w:pPr>
      <w:bookmarkStart w:id="73" w:name="ref-wang2026"/>
      <w:bookmarkEnd w:id="72"/>
      <w:r>
        <w:t xml:space="preserve">Wang, Y., Fan, R., Cheng, L., Gong, B., &amp; Liu, J. (2026). An improved adaptive NSGA-II with multiple filtering for high-dimensional feature selection. </w:t>
      </w:r>
      <w:r>
        <w:rPr>
          <w:i/>
          <w:iCs/>
        </w:rPr>
        <w:t>Electronics</w:t>
      </w:r>
      <w:r>
        <w:t xml:space="preserve">, </w:t>
      </w:r>
      <w:r>
        <w:rPr>
          <w:i/>
          <w:iCs/>
        </w:rPr>
        <w:t>15</w:t>
      </w:r>
      <w:r>
        <w:t>(1), 236.</w:t>
      </w:r>
    </w:p>
    <w:p w14:paraId="70E9F0EB" w14:textId="77777777" w:rsidR="00641837" w:rsidRDefault="00641837" w:rsidP="002232B5">
      <w:pPr>
        <w:pStyle w:val="Prrafobase"/>
      </w:pPr>
      <w:bookmarkStart w:id="74" w:name="ref-wang2022hybrid"/>
      <w:bookmarkEnd w:id="73"/>
      <w:r>
        <w:t xml:space="preserve">Wang, Y., Gao, X., Ru, X., Sun, P., &amp; Wang, J. (2022). A hybrid feature selection algorithm and its application in bioinformatics. </w:t>
      </w:r>
      <w:proofErr w:type="spellStart"/>
      <w:r>
        <w:rPr>
          <w:i/>
          <w:iCs/>
        </w:rPr>
        <w:t>PeerJ</w:t>
      </w:r>
      <w:proofErr w:type="spellEnd"/>
      <w:r>
        <w:rPr>
          <w:i/>
          <w:iCs/>
        </w:rPr>
        <w:t xml:space="preserve"> Computer Science</w:t>
      </w:r>
      <w:r>
        <w:t xml:space="preserve">, </w:t>
      </w:r>
      <w:r>
        <w:rPr>
          <w:i/>
          <w:iCs/>
        </w:rPr>
        <w:t>8</w:t>
      </w:r>
      <w:r>
        <w:t>, e933.</w:t>
      </w:r>
    </w:p>
    <w:p w14:paraId="59CC52AB" w14:textId="77777777" w:rsidR="00641837" w:rsidRDefault="00641837" w:rsidP="002232B5">
      <w:pPr>
        <w:pStyle w:val="Prrafobase"/>
      </w:pPr>
      <w:bookmarkStart w:id="75" w:name="ref-yang2023"/>
      <w:bookmarkEnd w:id="74"/>
      <w:r>
        <w:t xml:space="preserve">Yang, H., Lin, D., &amp; Li, Q. (2023). An efficient greedy search algorithm for high-dimensional linear discriminant analysis. </w:t>
      </w:r>
      <w:r>
        <w:rPr>
          <w:i/>
          <w:iCs/>
        </w:rPr>
        <w:t>Statistica Sinica</w:t>
      </w:r>
      <w:r>
        <w:t xml:space="preserve">, </w:t>
      </w:r>
      <w:r>
        <w:rPr>
          <w:i/>
          <w:iCs/>
        </w:rPr>
        <w:t>33</w:t>
      </w:r>
      <w:r>
        <w:t>(SI), 1343.</w:t>
      </w:r>
    </w:p>
    <w:p w14:paraId="0E8C4829" w14:textId="77777777" w:rsidR="00641837" w:rsidRDefault="00641837" w:rsidP="002232B5">
      <w:pPr>
        <w:pStyle w:val="Prrafobase"/>
      </w:pPr>
      <w:bookmarkStart w:id="76" w:name="ref-zhang2024fast"/>
      <w:bookmarkEnd w:id="75"/>
      <w:r>
        <w:t xml:space="preserve">Zhang, M., Treder, M., Marshall, D., &amp; Li, Y. (2024). Fast explanation of RBF-kernel SVM models using activation patterns. </w:t>
      </w:r>
      <w:r>
        <w:rPr>
          <w:i/>
          <w:iCs/>
        </w:rPr>
        <w:t>2024 International Joint Conference on Neural Networks (IJCNN)</w:t>
      </w:r>
      <w:r>
        <w:t>, 1–8.</w:t>
      </w:r>
    </w:p>
    <w:bookmarkEnd w:id="51"/>
    <w:bookmarkEnd w:id="53"/>
    <w:bookmarkEnd w:id="76"/>
    <w:p w14:paraId="3EB9388A" w14:textId="77777777" w:rsidR="00641837" w:rsidRPr="00641837" w:rsidRDefault="00641837">
      <w:pPr>
        <w:rPr>
          <w:u w:val="single"/>
          <w:lang w:val="es-ES_tradnl"/>
        </w:rPr>
      </w:pPr>
    </w:p>
    <w:sectPr w:rsidR="00641837" w:rsidRPr="006418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E2"/>
    <w:rsid w:val="00047C81"/>
    <w:rsid w:val="001721E6"/>
    <w:rsid w:val="00176024"/>
    <w:rsid w:val="002232B5"/>
    <w:rsid w:val="002E2CC0"/>
    <w:rsid w:val="003112B7"/>
    <w:rsid w:val="00311654"/>
    <w:rsid w:val="00314C8F"/>
    <w:rsid w:val="00316371"/>
    <w:rsid w:val="00321A44"/>
    <w:rsid w:val="00350A30"/>
    <w:rsid w:val="00350BF1"/>
    <w:rsid w:val="0037176E"/>
    <w:rsid w:val="003876D8"/>
    <w:rsid w:val="00401169"/>
    <w:rsid w:val="004C6D34"/>
    <w:rsid w:val="005452D5"/>
    <w:rsid w:val="005F7477"/>
    <w:rsid w:val="00641837"/>
    <w:rsid w:val="006D619D"/>
    <w:rsid w:val="00B13E96"/>
    <w:rsid w:val="00B86B5C"/>
    <w:rsid w:val="00BA27C3"/>
    <w:rsid w:val="00BE438A"/>
    <w:rsid w:val="00CD599F"/>
    <w:rsid w:val="00DC6F5B"/>
    <w:rsid w:val="00DD39E1"/>
    <w:rsid w:val="00E02EE2"/>
    <w:rsid w:val="00E22332"/>
    <w:rsid w:val="00E242B7"/>
    <w:rsid w:val="00E368D5"/>
    <w:rsid w:val="00EB44B3"/>
    <w:rsid w:val="00EE370D"/>
    <w:rsid w:val="00EF49B1"/>
    <w:rsid w:val="00F60290"/>
    <w:rsid w:val="00FA7E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0639"/>
  <w15:chartTrackingRefBased/>
  <w15:docId w15:val="{1D4A1224-C1AD-47CC-B9A4-362F1C05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2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02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02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2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E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E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E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E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2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02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02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02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2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2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EE2"/>
    <w:rPr>
      <w:rFonts w:eastAsiaTheme="majorEastAsia" w:cstheme="majorBidi"/>
      <w:color w:val="272727" w:themeColor="text1" w:themeTint="D8"/>
    </w:rPr>
  </w:style>
  <w:style w:type="paragraph" w:styleId="Ttulo">
    <w:name w:val="Title"/>
    <w:basedOn w:val="Normal"/>
    <w:next w:val="Normal"/>
    <w:link w:val="TtuloCar"/>
    <w:uiPriority w:val="10"/>
    <w:qFormat/>
    <w:rsid w:val="00E0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E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EE2"/>
    <w:pPr>
      <w:spacing w:before="160"/>
      <w:jc w:val="center"/>
    </w:pPr>
    <w:rPr>
      <w:i/>
      <w:iCs/>
      <w:color w:val="404040" w:themeColor="text1" w:themeTint="BF"/>
    </w:rPr>
  </w:style>
  <w:style w:type="character" w:customStyle="1" w:styleId="CitaCar">
    <w:name w:val="Cita Car"/>
    <w:basedOn w:val="Fuentedeprrafopredeter"/>
    <w:link w:val="Cita"/>
    <w:uiPriority w:val="29"/>
    <w:rsid w:val="00E02EE2"/>
    <w:rPr>
      <w:i/>
      <w:iCs/>
      <w:color w:val="404040" w:themeColor="text1" w:themeTint="BF"/>
    </w:rPr>
  </w:style>
  <w:style w:type="paragraph" w:styleId="Prrafodelista">
    <w:name w:val="List Paragraph"/>
    <w:basedOn w:val="Normal"/>
    <w:uiPriority w:val="34"/>
    <w:qFormat/>
    <w:rsid w:val="00E02EE2"/>
    <w:pPr>
      <w:ind w:left="720"/>
      <w:contextualSpacing/>
    </w:pPr>
  </w:style>
  <w:style w:type="character" w:styleId="nfasisintenso">
    <w:name w:val="Intense Emphasis"/>
    <w:basedOn w:val="Fuentedeprrafopredeter"/>
    <w:uiPriority w:val="21"/>
    <w:qFormat/>
    <w:rsid w:val="00E02EE2"/>
    <w:rPr>
      <w:i/>
      <w:iCs/>
      <w:color w:val="0F4761" w:themeColor="accent1" w:themeShade="BF"/>
    </w:rPr>
  </w:style>
  <w:style w:type="paragraph" w:styleId="Citadestacada">
    <w:name w:val="Intense Quote"/>
    <w:basedOn w:val="Normal"/>
    <w:next w:val="Normal"/>
    <w:link w:val="CitadestacadaCar"/>
    <w:uiPriority w:val="30"/>
    <w:qFormat/>
    <w:rsid w:val="00E02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2EE2"/>
    <w:rPr>
      <w:i/>
      <w:iCs/>
      <w:color w:val="0F4761" w:themeColor="accent1" w:themeShade="BF"/>
    </w:rPr>
  </w:style>
  <w:style w:type="character" w:styleId="Referenciaintensa">
    <w:name w:val="Intense Reference"/>
    <w:basedOn w:val="Fuentedeprrafopredeter"/>
    <w:uiPriority w:val="32"/>
    <w:qFormat/>
    <w:rsid w:val="00E02EE2"/>
    <w:rPr>
      <w:b/>
      <w:bCs/>
      <w:smallCaps/>
      <w:color w:val="0F4761" w:themeColor="accent1" w:themeShade="BF"/>
      <w:spacing w:val="5"/>
    </w:rPr>
  </w:style>
  <w:style w:type="paragraph" w:customStyle="1" w:styleId="Prrafobase">
    <w:name w:val="Párrafo base"/>
    <w:basedOn w:val="Normal"/>
    <w:next w:val="Prrafoconsangra"/>
    <w:qFormat/>
    <w:rsid w:val="005452D5"/>
    <w:pPr>
      <w:autoSpaceDE w:val="0"/>
      <w:autoSpaceDN w:val="0"/>
      <w:adjustRightInd w:val="0"/>
      <w:spacing w:after="0" w:line="360" w:lineRule="auto"/>
      <w:jc w:val="both"/>
      <w:textAlignment w:val="center"/>
    </w:pPr>
    <w:rPr>
      <w:rFonts w:ascii="Times New Roman" w:eastAsiaTheme="minorEastAsia" w:hAnsi="Times New Roman" w:cs="Times New Roman"/>
      <w:color w:val="000000"/>
      <w:kern w:val="0"/>
      <w:szCs w:val="26"/>
      <w:lang w:val="es-ES_tradnl" w:eastAsia="es-MX"/>
      <w14:ligatures w14:val="none"/>
    </w:rPr>
  </w:style>
  <w:style w:type="paragraph" w:customStyle="1" w:styleId="Prrafoconsangra">
    <w:name w:val="Párrafo con sangría"/>
    <w:basedOn w:val="Prrafobase"/>
    <w:qFormat/>
    <w:rsid w:val="005452D5"/>
    <w:pPr>
      <w:ind w:firstLine="709"/>
    </w:pPr>
  </w:style>
  <w:style w:type="character" w:styleId="Textodelmarcadordeposicin">
    <w:name w:val="Placeholder Text"/>
    <w:basedOn w:val="Fuentedeprrafopredeter"/>
    <w:uiPriority w:val="99"/>
    <w:semiHidden/>
    <w:rsid w:val="00BE438A"/>
    <w:rPr>
      <w:color w:val="666666"/>
    </w:rPr>
  </w:style>
  <w:style w:type="paragraph" w:customStyle="1" w:styleId="FirstParagraph">
    <w:name w:val="First Paragraph"/>
    <w:basedOn w:val="Textoindependiente"/>
    <w:next w:val="Textoindependiente"/>
    <w:qFormat/>
    <w:rsid w:val="00047C81"/>
    <w:pPr>
      <w:spacing w:before="180" w:after="180" w:line="240" w:lineRule="auto"/>
    </w:pPr>
    <w:rPr>
      <w:kern w:val="0"/>
      <w:lang w:val="en-US"/>
      <w14:ligatures w14:val="none"/>
    </w:rPr>
  </w:style>
  <w:style w:type="paragraph" w:styleId="Textoindependiente">
    <w:name w:val="Body Text"/>
    <w:basedOn w:val="Normal"/>
    <w:link w:val="TextoindependienteCar"/>
    <w:uiPriority w:val="99"/>
    <w:semiHidden/>
    <w:unhideWhenUsed/>
    <w:rsid w:val="00047C81"/>
    <w:pPr>
      <w:spacing w:after="120"/>
    </w:pPr>
  </w:style>
  <w:style w:type="character" w:customStyle="1" w:styleId="TextoindependienteCar">
    <w:name w:val="Texto independiente Car"/>
    <w:basedOn w:val="Fuentedeprrafopredeter"/>
    <w:link w:val="Textoindependiente"/>
    <w:uiPriority w:val="99"/>
    <w:semiHidden/>
    <w:rsid w:val="00047C81"/>
  </w:style>
  <w:style w:type="paragraph" w:styleId="Bibliografa">
    <w:name w:val="Bibliography"/>
    <w:basedOn w:val="Normal"/>
    <w:qFormat/>
    <w:rsid w:val="0037176E"/>
    <w:pPr>
      <w:spacing w:after="200" w:line="240" w:lineRule="auto"/>
    </w:pPr>
    <w:rPr>
      <w:kern w:val="0"/>
      <w:lang w:val="en-US"/>
      <w14:ligatures w14:val="none"/>
    </w:rPr>
  </w:style>
  <w:style w:type="paragraph" w:customStyle="1" w:styleId="Parrafobsico">
    <w:name w:val="Parrafo básico"/>
    <w:basedOn w:val="Prrafoconsangra"/>
    <w:qFormat/>
    <w:rsid w:val="00223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11</Pages>
  <Words>3259</Words>
  <Characters>17928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BAEZ ANGEL</dc:creator>
  <cp:keywords/>
  <dc:description/>
  <cp:lastModifiedBy>y García Pedraza</cp:lastModifiedBy>
  <cp:revision>5</cp:revision>
  <dcterms:created xsi:type="dcterms:W3CDTF">2026-06-25T03:16:00Z</dcterms:created>
  <dcterms:modified xsi:type="dcterms:W3CDTF">2026-06-25T06:36:00Z</dcterms:modified>
</cp:coreProperties>
</file>