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E5FD" w14:textId="34C84097" w:rsidR="006C0816" w:rsidRPr="007023D2" w:rsidRDefault="006C0816" w:rsidP="006C0816">
      <w:pPr>
        <w:pStyle w:val="Ttulo2"/>
      </w:pPr>
      <w:bookmarkStart w:id="0" w:name="_Toc218775665"/>
      <w:r>
        <w:rPr>
          <w:rStyle w:val="Ttulo1Car"/>
          <w:rFonts w:ascii="Times New Roman" w:hAnsi="Times New Roman"/>
          <w:b/>
          <w:sz w:val="30"/>
          <w:szCs w:val="26"/>
        </w:rPr>
        <w:t>2</w:t>
      </w:r>
      <w:r w:rsidRPr="009A76F9">
        <w:rPr>
          <w:rStyle w:val="Ttulo1Car"/>
          <w:rFonts w:ascii="Times New Roman" w:hAnsi="Times New Roman"/>
          <w:b/>
          <w:sz w:val="30"/>
          <w:szCs w:val="26"/>
        </w:rPr>
        <w:t>.</w:t>
      </w:r>
      <w:r>
        <w:rPr>
          <w:rStyle w:val="Ttulo1Car"/>
          <w:rFonts w:ascii="Times New Roman" w:hAnsi="Times New Roman"/>
          <w:b/>
          <w:sz w:val="30"/>
          <w:szCs w:val="26"/>
        </w:rPr>
        <w:t>4</w:t>
      </w:r>
      <w:r w:rsidRPr="009A76F9">
        <w:rPr>
          <w:rStyle w:val="Ttulo1Car"/>
          <w:rFonts w:ascii="Times New Roman" w:hAnsi="Times New Roman"/>
          <w:b/>
          <w:sz w:val="30"/>
          <w:szCs w:val="26"/>
        </w:rPr>
        <w:t xml:space="preserve"> </w:t>
      </w:r>
      <w:r w:rsidR="00D275D2" w:rsidRPr="00D275D2">
        <w:rPr>
          <w:rFonts w:ascii="Times New Roman" w:hAnsi="Times New Roman"/>
          <w:b/>
          <w:sz w:val="30"/>
          <w:szCs w:val="26"/>
        </w:rPr>
        <w:t>Expansión polinomial y espacios de características</w:t>
      </w:r>
      <w:r>
        <w:rPr>
          <w:rStyle w:val="Ttulo1Car"/>
          <w:rFonts w:ascii="Times New Roman" w:hAnsi="Times New Roman"/>
          <w:b/>
          <w:sz w:val="30"/>
          <w:szCs w:val="26"/>
        </w:rPr>
        <w:t>.</w:t>
      </w:r>
      <w:bookmarkEnd w:id="0"/>
    </w:p>
    <w:p w14:paraId="6C850B9A" w14:textId="41A749F0" w:rsidR="006C0816" w:rsidRPr="0065644D" w:rsidRDefault="006C0816" w:rsidP="006C0816">
      <w:pPr>
        <w:pStyle w:val="Prrafobase"/>
      </w:pPr>
      <w:r w:rsidRPr="0065644D">
        <w:t xml:space="preserve">Ante las limitaciones geométricas del LDA descritas en la sección anterior, surge la necesidad de transformar el espacio de representación de los datos. Esta investigación adopta el enfoque de </w:t>
      </w:r>
      <w:r w:rsidRPr="0065644D">
        <w:rPr>
          <w:b/>
          <w:bCs/>
        </w:rPr>
        <w:t>Expansión de Funciones Base</w:t>
      </w:r>
      <w:r w:rsidRPr="0065644D">
        <w:t xml:space="preserve"> (</w:t>
      </w:r>
      <w:r w:rsidRPr="0065644D">
        <w:rPr>
          <w:i/>
          <w:iCs/>
        </w:rPr>
        <w:t xml:space="preserve">Basis </w:t>
      </w:r>
      <w:proofErr w:type="spellStart"/>
      <w:r w:rsidRPr="0065644D">
        <w:rPr>
          <w:i/>
          <w:iCs/>
        </w:rPr>
        <w:t>Function</w:t>
      </w:r>
      <w:proofErr w:type="spellEnd"/>
      <w:r w:rsidRPr="0065644D">
        <w:rPr>
          <w:i/>
          <w:iCs/>
        </w:rPr>
        <w:t xml:space="preserve"> </w:t>
      </w:r>
      <w:proofErr w:type="spellStart"/>
      <w:r w:rsidRPr="0065644D">
        <w:rPr>
          <w:i/>
          <w:iCs/>
        </w:rPr>
        <w:t>Expansion</w:t>
      </w:r>
      <w:proofErr w:type="spellEnd"/>
      <w:r w:rsidRPr="0065644D">
        <w:t xml:space="preserve">), una técnica fundamental en el aprendizaje automático que </w:t>
      </w:r>
      <w:r w:rsidR="00D275D2" w:rsidRPr="00D275D2">
        <w:rPr>
          <w:lang w:val="es-MX"/>
        </w:rPr>
        <w:t>permite extender la capacidad de los modelos lineales para representar relaciones no lineales</w:t>
      </w:r>
      <w:r w:rsidRPr="0065644D">
        <w:t xml:space="preserve"> (Bishop &amp; </w:t>
      </w:r>
      <w:proofErr w:type="spellStart"/>
      <w:r w:rsidRPr="0065644D">
        <w:t>Nasrabadi</w:t>
      </w:r>
      <w:proofErr w:type="spellEnd"/>
      <w:r w:rsidRPr="0065644D">
        <w:t>, 2006).</w:t>
      </w:r>
    </w:p>
    <w:p w14:paraId="471AF3FA" w14:textId="77777777" w:rsidR="006C0816" w:rsidRDefault="006C0816" w:rsidP="006C0816">
      <w:pPr>
        <w:pStyle w:val="Ttulo3"/>
      </w:pPr>
      <w:bookmarkStart w:id="1" w:name="_Toc218775666"/>
      <w:bookmarkStart w:id="2" w:name="formalización-de-la-expansión-polinomial"/>
      <w:r w:rsidRPr="0065644D">
        <w:t>2.4.1 Formalización de la Expansión Polinomial</w:t>
      </w:r>
      <w:bookmarkEnd w:id="1"/>
    </w:p>
    <w:p w14:paraId="0CDD33C7" w14:textId="77777777" w:rsidR="007F16BB" w:rsidRPr="007F16BB" w:rsidRDefault="007F16BB" w:rsidP="007F16BB"/>
    <w:p w14:paraId="700EA059" w14:textId="36CFA991" w:rsidR="006C0816" w:rsidRPr="0065644D" w:rsidRDefault="006C0816" w:rsidP="006C0816">
      <w:pPr>
        <w:pStyle w:val="Prrafobase"/>
      </w:pPr>
      <w:r w:rsidRPr="0065644D">
        <w:t xml:space="preserve">El procedimiento consiste en mapear el vector de entrada original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65644D">
        <w:t xml:space="preserve"> a un espacio de características de mayor dimensión </w:t>
      </w:r>
      <m:oMath>
        <m:r>
          <m:rPr>
            <m:scr m:val="script"/>
            <m:sty m:val="p"/>
          </m:rPr>
          <w:rPr>
            <w:rFonts w:ascii="Cambria Math" w:hAnsi="Cambria Math"/>
          </w:rPr>
          <m:t>F∈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65644D">
        <w:t xml:space="preserve"> mediante una función no lineal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</m:oMath>
      <w:r w:rsidRPr="0065644D">
        <w:t xml:space="preserve">. Específicamente, se implementa una expansión polinomial de segundo orden (cuadrática), tal como se detalla en la literatura especializada </w:t>
      </w:r>
      <w:r w:rsidR="00D275D2">
        <w:t>(</w:t>
      </w:r>
      <w:r w:rsidRPr="0065644D">
        <w:t>Kanade</w:t>
      </w:r>
      <w:r w:rsidR="00D275D2">
        <w:t xml:space="preserve">, </w:t>
      </w:r>
      <w:r w:rsidRPr="0065644D">
        <w:t>2016</w:t>
      </w:r>
      <w:r w:rsidR="00D275D2">
        <w:t xml:space="preserve">; </w:t>
      </w:r>
      <w:r w:rsidRPr="0065644D">
        <w:t>Niu &amp; Ma, 2021).</w:t>
      </w:r>
    </w:p>
    <w:p w14:paraId="7C2A7110" w14:textId="77777777" w:rsidR="006C0816" w:rsidRPr="0065644D" w:rsidRDefault="006C0816" w:rsidP="006C0816">
      <w:pPr>
        <w:pStyle w:val="Prrafoconsangra"/>
      </w:pPr>
      <w:r w:rsidRPr="0065644D">
        <w:t xml:space="preserve">Para un caso base bidimensional donde el vector de entrada es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65644D">
        <w:t xml:space="preserve">, la función de mapeo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</m:oMath>
      <w:r w:rsidRPr="0065644D">
        <w:t xml:space="preserve"> construye un nuevo vector que incluye el sesgo, los términos originales, los términos cuadráticos y las interacciones cruzadas:</w:t>
      </w:r>
    </w:p>
    <w:p w14:paraId="03406109" w14:textId="77777777" w:rsidR="006C0816" w:rsidRPr="007F78CF" w:rsidRDefault="006C0816" w:rsidP="006C0816">
      <w:pPr>
        <w:pStyle w:val="Prrafoconsangr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57D7513D" w14:textId="77777777" w:rsidR="006C0816" w:rsidRDefault="006C0816" w:rsidP="006C0816">
      <w:pPr>
        <w:pStyle w:val="Prrafoconsangra"/>
        <w:jc w:val="center"/>
      </w:pPr>
      <w:r w:rsidRPr="007F78CF">
        <w:rPr>
          <w:noProof/>
          <w:lang w:val="es-MX"/>
        </w:rPr>
        <w:drawing>
          <wp:inline distT="0" distB="0" distL="0" distR="0" wp14:anchorId="4548B7D5" wp14:editId="11C13F52">
            <wp:extent cx="3748861" cy="2245584"/>
            <wp:effectExtent l="0" t="0" r="4445" b="2540"/>
            <wp:docPr id="5" name="Imagen 4" descr="Texto, Cart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F26D0F60-9121-4B18-E8AA-5D294C682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Texto, Cart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F26D0F60-9121-4B18-E8AA-5D294C6826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8901" cy="225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6920" w14:textId="37FA13AF" w:rsidR="006C0816" w:rsidRDefault="00E87A6B" w:rsidP="006C0816">
      <w:pPr>
        <w:pStyle w:val="Prrafoconsangra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Figura 1. </w:t>
      </w:r>
      <w:r w:rsidRPr="00E87A6B">
        <w:rPr>
          <w:b/>
          <w:bCs/>
          <w:lang w:val="es-MX"/>
        </w:rPr>
        <w:t>Ejemplo de términos generados mediante expansión polinomial para dos variables. Elaboración propia</w:t>
      </w:r>
    </w:p>
    <w:p w14:paraId="21EA5A97" w14:textId="77777777" w:rsidR="00E87A6B" w:rsidRDefault="00E87A6B" w:rsidP="006C0816">
      <w:pPr>
        <w:pStyle w:val="Prrafoconsangra"/>
        <w:jc w:val="center"/>
      </w:pPr>
    </w:p>
    <w:p w14:paraId="1351EAE9" w14:textId="77777777" w:rsidR="006C0816" w:rsidRDefault="006C0816" w:rsidP="006C0816">
      <w:pPr>
        <w:pStyle w:val="Prrafoconsangra"/>
      </w:pPr>
      <w:r w:rsidRPr="0065644D">
        <w:t xml:space="preserve">Como se ilustra en la </w:t>
      </w:r>
      <w:r w:rsidRPr="0065644D">
        <w:rPr>
          <w:b/>
          <w:bCs/>
        </w:rPr>
        <w:t xml:space="preserve">Figura </w:t>
      </w:r>
      <w:r>
        <w:rPr>
          <w:b/>
          <w:bCs/>
        </w:rPr>
        <w:t>2</w:t>
      </w:r>
      <w:r w:rsidRPr="0065644D">
        <w:t>, cada componente cumple un rol discriminante específico:</w:t>
      </w:r>
    </w:p>
    <w:p w14:paraId="48ADB0E7" w14:textId="6CAD2288" w:rsidR="006C0816" w:rsidRDefault="006C0816" w:rsidP="006C0816">
      <w:pPr>
        <w:pStyle w:val="Prrafoconsangra"/>
      </w:pPr>
      <w:r>
        <w:lastRenderedPageBreak/>
        <w:t xml:space="preserve">* </w:t>
      </w:r>
      <w:r w:rsidRPr="0065644D">
        <w:rPr>
          <w:b/>
          <w:bCs/>
        </w:rPr>
        <w:t>Términos Lineales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Pr="0065644D">
        <w:rPr>
          <w:b/>
          <w:bCs/>
        </w:rPr>
        <w:t>):</w:t>
      </w:r>
      <w:r w:rsidRPr="0065644D">
        <w:t xml:space="preserve"> </w:t>
      </w:r>
      <w:r w:rsidR="00E87A6B">
        <w:t>p</w:t>
      </w:r>
      <w:r w:rsidRPr="0065644D">
        <w:t>reservan la información original.</w:t>
      </w:r>
    </w:p>
    <w:p w14:paraId="4A6879F7" w14:textId="4E0EB796" w:rsidR="006C0816" w:rsidRDefault="006C0816" w:rsidP="006C0816">
      <w:pPr>
        <w:pStyle w:val="Prrafoconsangra"/>
      </w:pPr>
      <w:r>
        <w:t xml:space="preserve">* </w:t>
      </w:r>
      <w:r w:rsidRPr="0065644D">
        <w:rPr>
          <w:b/>
          <w:bCs/>
        </w:rPr>
        <w:t>Términos Cuadráticos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5644D">
        <w:rPr>
          <w:b/>
          <w:bCs/>
        </w:rPr>
        <w:t>):</w:t>
      </w:r>
      <w:r w:rsidRPr="0065644D">
        <w:t xml:space="preserve"> </w:t>
      </w:r>
      <w:r w:rsidR="00E87A6B" w:rsidRPr="00E87A6B">
        <w:rPr>
          <w:lang w:val="es-MX"/>
        </w:rPr>
        <w:t>permiten incorporar curvatura en la representación y contribuyen a modelar fronteras de decisión no lineales</w:t>
      </w:r>
      <w:r w:rsidRPr="0065644D">
        <w:t>.</w:t>
      </w:r>
    </w:p>
    <w:p w14:paraId="251BCFB9" w14:textId="212AD147" w:rsidR="006C0816" w:rsidRPr="0065644D" w:rsidRDefault="006C0816" w:rsidP="006C0816">
      <w:pPr>
        <w:pStyle w:val="Prrafoconsangra"/>
      </w:pPr>
      <w:r w:rsidRPr="0065644D">
        <w:t xml:space="preserve">* </w:t>
      </w:r>
      <w:r w:rsidRPr="0065644D">
        <w:rPr>
          <w:b/>
          <w:bCs/>
        </w:rPr>
        <w:t>Términos de Interacción (</w:t>
      </w:r>
      <m:oMath>
        <m:r>
          <m:rPr>
            <m:sty m:val="p"/>
          </m:rPr>
          <w:rPr>
            <w:rFonts w:ascii="Cambria Math" w:hAnsi="Cambria Math"/>
          </w:rPr>
          <m:t>AB</m:t>
        </m:r>
      </m:oMath>
      <w:r w:rsidRPr="0065644D">
        <w:rPr>
          <w:b/>
          <w:bCs/>
        </w:rPr>
        <w:t>):</w:t>
      </w:r>
      <w:r w:rsidRPr="0065644D">
        <w:t xml:space="preserve"> </w:t>
      </w:r>
      <w:r w:rsidR="00E87A6B" w:rsidRPr="00E87A6B">
        <w:rPr>
          <w:lang w:val="es-MX"/>
        </w:rPr>
        <w:t>representan efectos multiplicativos entre variables, permitiendo modelar relaciones que no pueden describirse mediante términos lineales independientes</w:t>
      </w:r>
      <w:r w:rsidRPr="0065644D">
        <w:t xml:space="preserve"> (Kanade, 2016).</w:t>
      </w:r>
    </w:p>
    <w:p w14:paraId="6D07D4C3" w14:textId="77777777" w:rsidR="00E87A6B" w:rsidRDefault="00E87A6B" w:rsidP="006C0816">
      <w:pPr>
        <w:pStyle w:val="Prrafobase"/>
      </w:pPr>
      <w:bookmarkStart w:id="3" w:name="linealización-de-fronteras-de-decisión"/>
      <w:bookmarkEnd w:id="2"/>
    </w:p>
    <w:p w14:paraId="199CF3AA" w14:textId="0DD6C951" w:rsidR="006C0816" w:rsidRPr="0065644D" w:rsidRDefault="006C0816" w:rsidP="006C0816">
      <w:pPr>
        <w:pStyle w:val="Prrafobase"/>
      </w:pPr>
      <w:r w:rsidRPr="0065644D">
        <w:t xml:space="preserve">La justificación teórica para realizar esta expansión se fundamenta en el </w:t>
      </w:r>
      <w:r w:rsidRPr="0065644D">
        <w:rPr>
          <w:b/>
          <w:bCs/>
        </w:rPr>
        <w:t>Teorema de Cover</w:t>
      </w:r>
      <w:r w:rsidRPr="0065644D">
        <w:t xml:space="preserve">, el cual postula que un problema de clasificación complejo y no lineal en un espacio de baja dimensión </w:t>
      </w:r>
      <w:r w:rsidR="00E87A6B" w:rsidRPr="00E87A6B">
        <w:rPr>
          <w:lang w:val="es-MX"/>
        </w:rPr>
        <w:t>puede aumentar la probabilidad de separabilidad lineal bajo una transformación no lineal hacia un espacio de mayor dimensión</w:t>
      </w:r>
      <w:r w:rsidR="00E87A6B" w:rsidRPr="00E87A6B">
        <w:rPr>
          <w:lang w:val="es-MX"/>
        </w:rPr>
        <w:t xml:space="preserve"> </w:t>
      </w:r>
      <w:r w:rsidRPr="0065644D">
        <w:t>(Cover, 1965).</w:t>
      </w:r>
    </w:p>
    <w:p w14:paraId="353C80BF" w14:textId="77777777" w:rsidR="006C0816" w:rsidRPr="0065644D" w:rsidRDefault="006C0816" w:rsidP="006C0816">
      <w:pPr>
        <w:pStyle w:val="Ttulo3"/>
      </w:pPr>
      <w:bookmarkStart w:id="4" w:name="_Toc218775668"/>
      <w:bookmarkStart w:id="5" w:name="X2de5ef07a63687362bcf133861cf4cb1db639ba"/>
      <w:bookmarkEnd w:id="3"/>
      <w:r w:rsidRPr="0065644D">
        <w:t>2.4.3 Limitaciones: Crecimiento Combinatorio y Complejidad</w:t>
      </w:r>
      <w:bookmarkEnd w:id="4"/>
    </w:p>
    <w:p w14:paraId="6D23FDDE" w14:textId="31583CFF" w:rsidR="006C0816" w:rsidRPr="0065644D" w:rsidRDefault="00E87A6B" w:rsidP="006C0816">
      <w:pPr>
        <w:pStyle w:val="Prrafobase"/>
      </w:pPr>
      <w:r w:rsidRPr="00E87A6B">
        <w:rPr>
          <w:lang w:val="es-MX"/>
        </w:rPr>
        <w:t>Si bien la expansión polinomial permite representar relaciones no lineales</w:t>
      </w:r>
      <w:r w:rsidR="006C0816" w:rsidRPr="0065644D">
        <w:t xml:space="preserve">, introduce un desafío crítico conocido como la </w:t>
      </w:r>
      <w:r w:rsidR="006C0816" w:rsidRPr="0065644D">
        <w:rPr>
          <w:b/>
          <w:bCs/>
        </w:rPr>
        <w:t>Maldición de la Dimensionalidad</w:t>
      </w:r>
      <w:r w:rsidR="006C0816" w:rsidRPr="0065644D">
        <w:t xml:space="preserve">. A medida que aumenta la dimensión original </w:t>
      </w:r>
      <m:oMath>
        <m:r>
          <w:rPr>
            <w:rFonts w:ascii="Cambria Math" w:hAnsi="Cambria Math"/>
          </w:rPr>
          <m:t>d</m:t>
        </m:r>
      </m:oMath>
      <w:r w:rsidR="006C0816" w:rsidRPr="0065644D">
        <w:t xml:space="preserve"> o el grado del polinomio </w:t>
      </w:r>
      <m:oMath>
        <m:r>
          <w:rPr>
            <w:rFonts w:ascii="Cambria Math" w:hAnsi="Cambria Math"/>
          </w:rPr>
          <m:t>P</m:t>
        </m:r>
      </m:oMath>
      <w:r w:rsidR="006C0816" w:rsidRPr="0065644D">
        <w:t xml:space="preserve">, el número de términos generados </w:t>
      </w:r>
      <m:oMath>
        <m:r>
          <w:rPr>
            <w:rFonts w:ascii="Cambria Math" w:hAnsi="Cambria Math"/>
          </w:rPr>
          <m:t>D</m:t>
        </m:r>
      </m:oMath>
      <w:r w:rsidR="006C0816" w:rsidRPr="0065644D">
        <w:t xml:space="preserve"> crece de forma combinatoria.</w:t>
      </w:r>
    </w:p>
    <w:p w14:paraId="18CF2FBA" w14:textId="77777777" w:rsidR="006C0816" w:rsidRPr="0065644D" w:rsidRDefault="006C0816" w:rsidP="006C0816">
      <w:pPr>
        <w:pStyle w:val="Prrafoconsangra"/>
      </w:pPr>
      <w:r w:rsidRPr="0065644D">
        <w:t xml:space="preserve">Para una expansión polinomial de grado </w:t>
      </w:r>
      <m:oMath>
        <m:r>
          <w:rPr>
            <w:rFonts w:ascii="Cambria Math" w:hAnsi="Cambria Math"/>
          </w:rPr>
          <m:t>P</m:t>
        </m:r>
      </m:oMath>
      <w:r w:rsidRPr="0065644D">
        <w:t xml:space="preserve">, la dimensión del espacio resultante </w:t>
      </w:r>
      <m:oMath>
        <m:r>
          <w:rPr>
            <w:rFonts w:ascii="Cambria Math" w:hAnsi="Cambria Math"/>
          </w:rPr>
          <m:t>D</m:t>
        </m:r>
      </m:oMath>
      <w:r w:rsidRPr="0065644D">
        <w:t xml:space="preserve"> está dada por la combinatoria con repetición:</w:t>
      </w:r>
    </w:p>
    <w:p w14:paraId="5F66B2A2" w14:textId="0A82D72A" w:rsidR="006C0816" w:rsidRDefault="006C0816" w:rsidP="006C0816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-1</m:t>
          </m:r>
        </m:oMath>
      </m:oMathPara>
    </w:p>
    <w:p w14:paraId="01DFD64F" w14:textId="05A36E30" w:rsidR="006C0816" w:rsidRDefault="006C0816" w:rsidP="006C0816">
      <w:pPr>
        <w:pStyle w:val="Prrafoconsangra"/>
      </w:pPr>
      <w:r w:rsidRPr="0065644D">
        <w:t xml:space="preserve">Tal como se observa en la </w:t>
      </w:r>
      <w:r w:rsidRPr="0065644D">
        <w:rPr>
          <w:b/>
          <w:bCs/>
        </w:rPr>
        <w:t>Figura</w:t>
      </w:r>
      <w:r>
        <w:rPr>
          <w:b/>
          <w:bCs/>
        </w:rPr>
        <w:t xml:space="preserve"> 3</w:t>
      </w:r>
      <w:r w:rsidRPr="0065644D">
        <w:t xml:space="preserve">, este crecimiento es explosivo. Por ejemplo, expandir un vector modesto de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Pr="0065644D">
        <w:t xml:space="preserve"> variables a un grado cuadrático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Pr="0065644D">
        <w:t xml:space="preserve">) genera más de </w:t>
      </w:r>
      <w:r>
        <w:t>6</w:t>
      </w:r>
      <w:r w:rsidR="007F16BB">
        <w:t>5</w:t>
      </w:r>
      <w:r w:rsidRPr="0065644D">
        <w:t xml:space="preserve"> </w:t>
      </w:r>
      <w:r w:rsidR="007F16BB">
        <w:t>términos</w:t>
      </w:r>
      <w:r w:rsidRPr="0065644D">
        <w:t>.</w:t>
      </w:r>
    </w:p>
    <w:p w14:paraId="032D45EE" w14:textId="77777777" w:rsidR="006C0816" w:rsidRDefault="006C0816" w:rsidP="006C0816">
      <w:pPr>
        <w:pStyle w:val="Prrafoconsangra"/>
        <w:jc w:val="center"/>
      </w:pPr>
      <w:r w:rsidRPr="007F78CF">
        <w:rPr>
          <w:noProof/>
          <w:lang w:val="es-MX"/>
        </w:rPr>
        <w:lastRenderedPageBreak/>
        <w:drawing>
          <wp:inline distT="0" distB="0" distL="0" distR="0" wp14:anchorId="3DA6F791" wp14:editId="49745A28">
            <wp:extent cx="3289202" cy="2466901"/>
            <wp:effectExtent l="0" t="0" r="6985" b="0"/>
            <wp:docPr id="225861084" name="Imagen 4" descr="Gráf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45869C44-0765-4CE6-E7B2-0FAB2B018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Gráf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45869C44-0765-4CE6-E7B2-0FAB2B018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2" cy="247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F9DB" w14:textId="086C43F1" w:rsidR="00E87A6B" w:rsidRDefault="00E87A6B" w:rsidP="006C0816">
      <w:pPr>
        <w:pStyle w:val="Prrafoconsangra"/>
        <w:rPr>
          <w:b/>
          <w:bCs/>
          <w:lang w:val="es-MX"/>
        </w:rPr>
      </w:pPr>
      <w:r w:rsidRPr="00E87A6B">
        <w:rPr>
          <w:b/>
          <w:bCs/>
          <w:lang w:val="es-MX"/>
        </w:rPr>
        <w:t xml:space="preserve">Figura 2.3. Crecimiento del número de atributos bajo una expansión polinomial de grado 2 sin término de sesgo. </w:t>
      </w:r>
      <w:r>
        <w:rPr>
          <w:b/>
          <w:bCs/>
          <w:lang w:val="es-MX"/>
        </w:rPr>
        <w:t xml:space="preserve">Fuente: </w:t>
      </w:r>
      <w:r w:rsidRPr="00E87A6B">
        <w:rPr>
          <w:b/>
          <w:bCs/>
          <w:lang w:val="es-MX"/>
        </w:rPr>
        <w:t>Elaboración propia.</w:t>
      </w:r>
    </w:p>
    <w:p w14:paraId="443E6F95" w14:textId="77777777" w:rsidR="00E87A6B" w:rsidRDefault="00E87A6B" w:rsidP="006C0816">
      <w:pPr>
        <w:pStyle w:val="Prrafoconsangra"/>
        <w:rPr>
          <w:b/>
          <w:bCs/>
          <w:lang w:val="es-MX"/>
        </w:rPr>
      </w:pPr>
    </w:p>
    <w:p w14:paraId="000AB0D7" w14:textId="3F002B32" w:rsidR="006C0816" w:rsidRDefault="006C0816" w:rsidP="006C0816">
      <w:pPr>
        <w:pStyle w:val="Prrafoconsangra"/>
      </w:pPr>
      <w:r w:rsidRPr="00941119">
        <w:t xml:space="preserve">Este fenómeno conlleva dos consecuencias graves descritas por (Bishop &amp; </w:t>
      </w:r>
      <w:proofErr w:type="spellStart"/>
      <w:r w:rsidRPr="00941119">
        <w:t>Nasrabadi</w:t>
      </w:r>
      <w:proofErr w:type="spellEnd"/>
      <w:r w:rsidRPr="00941119">
        <w:t xml:space="preserve">, 2006): </w:t>
      </w:r>
    </w:p>
    <w:p w14:paraId="352EE4F3" w14:textId="77777777" w:rsidR="006C0816" w:rsidRDefault="006C0816" w:rsidP="006C0816">
      <w:pPr>
        <w:pStyle w:val="Prrafoconsangra"/>
        <w:numPr>
          <w:ilvl w:val="0"/>
          <w:numId w:val="1"/>
        </w:numPr>
      </w:pPr>
      <w:r w:rsidRPr="00941119">
        <w:t xml:space="preserve">1. </w:t>
      </w:r>
      <w:r w:rsidRPr="00941119">
        <w:rPr>
          <w:b/>
          <w:bCs/>
        </w:rPr>
        <w:t>Costo Computacional</w:t>
      </w:r>
      <w:r w:rsidRPr="00941119">
        <w:t xml:space="preserve">: El cálculo de la matriz de covarianza inversa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bSup>
      </m:oMath>
      <w:r w:rsidRPr="00941119">
        <w:t xml:space="preserve"> requerida por el LDA se vuelve computacionalmente prohibitivo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941119">
        <w:t xml:space="preserve">). </w:t>
      </w:r>
    </w:p>
    <w:p w14:paraId="631204A2" w14:textId="77777777" w:rsidR="006C0816" w:rsidRPr="00941119" w:rsidRDefault="006C0816" w:rsidP="006C0816">
      <w:pPr>
        <w:pStyle w:val="Prrafoconsangra"/>
        <w:numPr>
          <w:ilvl w:val="0"/>
          <w:numId w:val="1"/>
        </w:numPr>
      </w:pPr>
      <w:r w:rsidRPr="00941119">
        <w:rPr>
          <w:b/>
          <w:bCs/>
        </w:rPr>
        <w:t>2. Sobreajuste (</w:t>
      </w:r>
      <w:proofErr w:type="spellStart"/>
      <w:r w:rsidRPr="00941119">
        <w:rPr>
          <w:b/>
          <w:bCs/>
        </w:rPr>
        <w:t>Overfitting</w:t>
      </w:r>
      <w:proofErr w:type="spellEnd"/>
      <w:r w:rsidRPr="00941119">
        <w:rPr>
          <w:b/>
          <w:bCs/>
        </w:rPr>
        <w:t>)</w:t>
      </w:r>
      <w:r w:rsidRPr="00941119">
        <w:t>: Al tener un exceso de parámetros frente a un número limitado de muestras, el modelo tiende a memorizar el ruido de los datos en lugar de aprender la estructura subyacente.</w:t>
      </w:r>
    </w:p>
    <w:bookmarkEnd w:id="5"/>
    <w:p w14:paraId="0BC08480" w14:textId="77777777" w:rsidR="00E242B7" w:rsidRPr="005452D5" w:rsidRDefault="00E242B7">
      <w:pPr>
        <w:rPr>
          <w:lang w:val="es-ES_tradnl"/>
        </w:rPr>
      </w:pPr>
    </w:p>
    <w:sectPr w:rsidR="00E242B7" w:rsidRPr="00545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2485B"/>
    <w:multiLevelType w:val="hybridMultilevel"/>
    <w:tmpl w:val="F8628A84"/>
    <w:lvl w:ilvl="0" w:tplc="C7C0A478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917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E2"/>
    <w:rsid w:val="00176024"/>
    <w:rsid w:val="00350BF1"/>
    <w:rsid w:val="00401169"/>
    <w:rsid w:val="004C6D34"/>
    <w:rsid w:val="005452D5"/>
    <w:rsid w:val="005F7477"/>
    <w:rsid w:val="006C0816"/>
    <w:rsid w:val="007F16BB"/>
    <w:rsid w:val="00BE438A"/>
    <w:rsid w:val="00D275D2"/>
    <w:rsid w:val="00DC6F5B"/>
    <w:rsid w:val="00E02EE2"/>
    <w:rsid w:val="00E242B7"/>
    <w:rsid w:val="00E8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0639"/>
  <w15:chartTrackingRefBased/>
  <w15:docId w15:val="{1D4A1224-C1AD-47CC-B9A4-362F1C05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0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0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0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02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EE2"/>
    <w:rPr>
      <w:b/>
      <w:bCs/>
      <w:smallCaps/>
      <w:color w:val="0F4761" w:themeColor="accent1" w:themeShade="BF"/>
      <w:spacing w:val="5"/>
    </w:rPr>
  </w:style>
  <w:style w:type="paragraph" w:customStyle="1" w:styleId="Prrafobase">
    <w:name w:val="Párrafo base"/>
    <w:basedOn w:val="Normal"/>
    <w:next w:val="Prrafoconsangra"/>
    <w:qFormat/>
    <w:rsid w:val="005452D5"/>
    <w:pPr>
      <w:autoSpaceDE w:val="0"/>
      <w:autoSpaceDN w:val="0"/>
      <w:adjustRightInd w:val="0"/>
      <w:spacing w:after="0" w:line="360" w:lineRule="auto"/>
      <w:jc w:val="both"/>
      <w:textAlignment w:val="center"/>
    </w:pPr>
    <w:rPr>
      <w:rFonts w:ascii="Times New Roman" w:eastAsiaTheme="minorEastAsia" w:hAnsi="Times New Roman" w:cs="Times New Roman"/>
      <w:color w:val="000000"/>
      <w:kern w:val="0"/>
      <w:szCs w:val="26"/>
      <w:lang w:val="es-ES_tradnl" w:eastAsia="es-MX"/>
      <w14:ligatures w14:val="none"/>
    </w:rPr>
  </w:style>
  <w:style w:type="paragraph" w:customStyle="1" w:styleId="Prrafoconsangra">
    <w:name w:val="Párrafo con sangría"/>
    <w:basedOn w:val="Prrafobase"/>
    <w:qFormat/>
    <w:rsid w:val="005452D5"/>
    <w:pPr>
      <w:ind w:firstLine="709"/>
    </w:pPr>
  </w:style>
  <w:style w:type="character" w:styleId="Textodelmarcadordeposicin">
    <w:name w:val="Placeholder Text"/>
    <w:basedOn w:val="Fuentedeprrafopredeter"/>
    <w:uiPriority w:val="99"/>
    <w:semiHidden/>
    <w:rsid w:val="00BE438A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unhideWhenUsed/>
    <w:rsid w:val="006C0816"/>
    <w:pPr>
      <w:spacing w:after="120" w:line="259" w:lineRule="auto"/>
    </w:pPr>
    <w:rPr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081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BAEZ ANGEL</dc:creator>
  <cp:keywords/>
  <dc:description/>
  <cp:lastModifiedBy>GARCIA BAEZ ANGEL</cp:lastModifiedBy>
  <cp:revision>6</cp:revision>
  <dcterms:created xsi:type="dcterms:W3CDTF">2026-06-23T20:14:00Z</dcterms:created>
  <dcterms:modified xsi:type="dcterms:W3CDTF">2026-06-25T09:06:00Z</dcterms:modified>
</cp:coreProperties>
</file>