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LDA y MASS LDA</w:t>
      </w:r>
    </w:p>
    <w:p>
      <w:pPr>
        <w:pStyle w:val="Author"/>
      </w:pPr>
      <w:r>
        <w:t xml:space="preserve">Angel</w:t>
      </w:r>
    </w:p>
    <w:p>
      <w:pPr>
        <w:pStyle w:val="Date"/>
      </w:pPr>
      <w:r>
        <w:t xml:space="preserve">2026-06-02</w:t>
      </w:r>
    </w:p>
    <w:bookmarkStart w:id="42" w:name="X25ae26e96e96afaa318d4fed728c406b0a78b78"/>
    <w:p>
      <w:pPr>
        <w:pStyle w:val="Heading1"/>
      </w:pPr>
      <w:r>
        <w:t xml:space="preserve">LDA clásico, problemas numéricos y soluciones modernas</w:t>
      </w:r>
    </w:p>
    <w:bookmarkStart w:id="22" w:name="lda-base-formulación-clásica"/>
    <w:p>
      <w:pPr>
        <w:pStyle w:val="Heading2"/>
      </w:pPr>
      <w:r>
        <w:t xml:space="preserve">1. LDA base (formulación clásica)</w:t>
      </w:r>
    </w:p>
    <w:p>
      <w:pPr>
        <w:pStyle w:val="FirstParagraph"/>
      </w:pPr>
      <w:r>
        <w:t xml:space="preserve">El Análisis Discriminante Lineal (LDA) busca encontrar una proyección lineal que maximice la separación entre clases en relación con la variabilidad intra-clase.</w:t>
      </w:r>
    </w:p>
    <w:p>
      <w:pPr>
        <w:pStyle w:val="BodyText"/>
      </w:pPr>
      <w:r>
        <w:t xml:space="preserve">Se definen las matrices:</w:t>
      </w:r>
    </w:p>
    <w:bookmarkStart w:id="20" w:name="dispersión-intra-clase"/>
    <w:p>
      <w:pPr>
        <w:pStyle w:val="Heading3"/>
      </w:pPr>
      <w:r>
        <w:t xml:space="preserve">Dispersión intra-clase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</m:oMath>
      </m:oMathPara>
    </w:p>
    <w:bookmarkEnd w:id="20"/>
    <w:bookmarkStart w:id="21" w:name="dispersión-entre-clases"/>
    <w:p>
      <w:pPr>
        <w:pStyle w:val="Heading3"/>
      </w:pPr>
      <w:r>
        <w:t xml:space="preserve">Dispersión entre clases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El problema clásico se formula como: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t>w</m:t>
          </m:r>
          <m:r>
            <m:rPr>
              <m:sty m:val="p"/>
            </m:rPr>
            <m:t>=</m:t>
          </m:r>
          <m:r>
            <m:t>λ</m:t>
          </m:r>
          <m:r>
            <m:t>w</m:t>
          </m:r>
        </m:oMath>
      </m:oMathPara>
    </w:p>
    <w:p>
      <w:pPr>
        <w:pStyle w:val="FirstParagraph"/>
      </w:pPr>
      <w:r>
        <w:t xml:space="preserve">o equivalentemente: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W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W</m:t>
                  </m:r>
                </m:e>
              </m:d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W</m:t>
                  </m:r>
                </m:e>
              </m:d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roblemas-del-lda-clásico"/>
    <w:p>
      <w:pPr>
        <w:pStyle w:val="Heading2"/>
      </w:pPr>
      <w:r>
        <w:t xml:space="preserve">2. Problemas del LDA clásico</w:t>
      </w:r>
    </w:p>
    <w:bookmarkStart w:id="23" w:name="singularidad-de-s_w-sss-problem"/>
    <w:p>
      <w:pPr>
        <w:pStyle w:val="Heading3"/>
      </w:pPr>
      <w:r>
        <w:t xml:space="preserve">2.1 Singularidad de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(SSS problem)</w:t>
      </w:r>
    </w:p>
    <w:p>
      <w:pPr>
        <w:pStyle w:val="FirstParagraph"/>
      </w:pPr>
      <w:r>
        <w:t xml:space="preserve">Cuando: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&gt;</m:t>
        </m:r>
        <m:r>
          <m:t>n</m:t>
        </m:r>
      </m:oMath>
    </w:p>
    <w:p>
      <w:pPr>
        <w:pStyle w:val="Compact"/>
        <w:numPr>
          <w:ilvl w:val="0"/>
          <w:numId w:val="1001"/>
        </w:numPr>
      </w:pPr>
      <w:r>
        <w:t xml:space="preserve">o existen variables colineales</w:t>
      </w:r>
    </w:p>
    <w:p>
      <w:pPr>
        <w:pStyle w:val="FirstParagraph"/>
      </w:pPr>
      <w:r>
        <w:t xml:space="preserve">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y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no es invertible.</w:t>
      </w:r>
    </w:p>
    <w:p>
      <w:r>
        <w:pict>
          <v:rect style="width:0;height:1.5pt" o:hralign="center" o:hrstd="t" o:hr="t"/>
        </w:pict>
      </w:r>
    </w:p>
    <w:bookmarkEnd w:id="23"/>
    <w:bookmarkStart w:id="24" w:name="mal-condicionamiento"/>
    <w:p>
      <w:pPr>
        <w:pStyle w:val="Heading3"/>
      </w:pPr>
      <w:r>
        <w:t xml:space="preserve">2.2 Mal condicionamiento</w:t>
      </w:r>
    </w:p>
    <w:p>
      <w:pPr>
        <w:pStyle w:val="FirstParagraph"/>
      </w:pPr>
      <w:r>
        <w:t xml:space="preserve">Incluso si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es invertible:</w:t>
      </w:r>
    </w:p>
    <w:p>
      <w:pPr>
        <w:pStyle w:val="Compact"/>
        <w:numPr>
          <w:ilvl w:val="0"/>
          <w:numId w:val="1002"/>
        </w:numPr>
      </w:pPr>
      <w:r>
        <w:t xml:space="preserve">puede tener número de condición muy alto</w:t>
      </w:r>
    </w:p>
    <w:p>
      <w:pPr>
        <w:pStyle w:val="Compact"/>
        <w:numPr>
          <w:ilvl w:val="0"/>
          <w:numId w:val="1002"/>
        </w:numPr>
      </w:pPr>
      <w:r>
        <w:t xml:space="preserve">amplifica errores numéricos</w:t>
      </w:r>
    </w:p>
    <w:p>
      <w:r>
        <w:pict>
          <v:rect style="width:0;height:1.5pt" o:hralign="center" o:hrstd="t" o:hr="t"/>
        </w:pict>
      </w:r>
    </w:p>
    <w:bookmarkEnd w:id="24"/>
    <w:bookmarkStart w:id="25" w:name="inestabilidad-espectral"/>
    <w:p>
      <w:pPr>
        <w:pStyle w:val="Heading3"/>
      </w:pPr>
      <w:r>
        <w:t xml:space="preserve">2.3 Inestabilidad espectral</w:t>
      </w:r>
    </w:p>
    <w:p>
      <w:pPr>
        <w:pStyle w:val="FirstParagraph"/>
      </w:pPr>
      <w:r>
        <w:t xml:space="preserve">Numéricamente,</w:t>
      </w:r>
      <w:r>
        <w:t xml:space="preserve"> </w:t>
      </w:r>
      <m:oMath>
        <m:sSubSup>
          <m:e>
            <m:r>
              <m:t>S</m:t>
            </m:r>
          </m:e>
          <m:sub>
            <m:r>
              <m:t>W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puede generar:</w:t>
      </w:r>
    </w:p>
    <w:p>
      <w:pPr>
        <w:pStyle w:val="Compact"/>
        <w:numPr>
          <w:ilvl w:val="0"/>
          <w:numId w:val="1003"/>
        </w:numPr>
      </w:pPr>
      <w:r>
        <w:t xml:space="preserve">autovalores complejos (ruido numérico)</w:t>
      </w:r>
    </w:p>
    <w:p>
      <w:pPr>
        <w:pStyle w:val="Compact"/>
        <w:numPr>
          <w:ilvl w:val="0"/>
          <w:numId w:val="1003"/>
        </w:numPr>
      </w:pPr>
      <w:r>
        <w:t xml:space="preserve">vectores propios inestables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iagnóstico-de-problemas"/>
    <w:p>
      <w:pPr>
        <w:pStyle w:val="Heading2"/>
      </w:pPr>
      <w:r>
        <w:t xml:space="preserve">3. Diagnóstico de problemas</w:t>
      </w:r>
    </w:p>
    <w:p>
      <w:pPr>
        <w:pStyle w:val="FirstParagraph"/>
      </w:pPr>
      <w:r>
        <w:t xml:space="preserve">En la práctica, los problemas se detectan con:</w:t>
      </w:r>
    </w:p>
    <w:bookmarkStart w:id="27" w:name="rango"/>
    <w:p>
      <w:pPr>
        <w:pStyle w:val="Heading3"/>
      </w:pPr>
      <w:r>
        <w:t xml:space="preserve">3.1 Rango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singularidad</m:t>
          </m:r>
        </m:oMath>
      </m:oMathPara>
    </w:p>
    <w:bookmarkEnd w:id="27"/>
    <w:bookmarkStart w:id="28" w:name="número-de-condición"/>
    <w:p>
      <w:pPr>
        <w:pStyle w:val="Heading3"/>
      </w:pPr>
      <w:r>
        <w:t xml:space="preserve">3.2 Número de condición</w:t>
      </w:r>
    </w:p>
    <w:p>
      <w:pPr>
        <w:pStyle w:val="FirstParagraph"/>
      </w:pPr>
      <m:oMathPara>
        <m:oMathParaPr>
          <m:jc m:val="center"/>
        </m:oMathParaPr>
        <m:oMath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≫</m:t>
          </m:r>
          <m:r>
            <m:t>1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mal condicionamiento</m:t>
          </m:r>
        </m:oMath>
      </m:oMathPara>
    </w:p>
    <w:bookmarkEnd w:id="28"/>
    <w:bookmarkStart w:id="29" w:name="parte-imaginaria"/>
    <w:p>
      <w:pPr>
        <w:pStyle w:val="Heading3"/>
      </w:pPr>
      <w:r>
        <w:t xml:space="preserve">3.3 Parte imaginaria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</m:e>
              </m:d>
            </m:e>
          </m:d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Compact"/>
        <w:numPr>
          <w:ilvl w:val="0"/>
          <w:numId w:val="1004"/>
        </w:numPr>
      </w:pP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: ruido numérico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: inestabilidad real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seudoinversa-de-moorepenrose"/>
    <w:p>
      <w:pPr>
        <w:pStyle w:val="Heading2"/>
      </w:pPr>
      <w:r>
        <w:t xml:space="preserve">4. Pseudoinversa de Moore–Penrose</w:t>
      </w:r>
    </w:p>
    <w:p>
      <w:pPr>
        <w:pStyle w:val="FirstParagraph"/>
      </w:pPr>
      <w:r>
        <w:t xml:space="preserve">Se reemplaza: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t xml:space="preserve">Usando SVD: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U</m:t>
          </m:r>
          <m:r>
            <m:t>Σ</m:t>
          </m:r>
          <m:sSup>
            <m:e>
              <m:r>
                <m:t>U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U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t>U</m:t>
              </m:r>
            </m:e>
            <m:sup>
              <m:r>
                <m:t>T</m:t>
              </m:r>
            </m:sup>
          </m:sSup>
        </m:oMath>
      </m:oMathPara>
    </w:p>
    <w:bookmarkStart w:id="31" w:name="ventajas"/>
    <w:p>
      <w:pPr>
        <w:pStyle w:val="Heading3"/>
      </w:pPr>
      <w:r>
        <w:t xml:space="preserve">Ventajas</w:t>
      </w:r>
    </w:p>
    <w:p>
      <w:pPr>
        <w:pStyle w:val="Compact"/>
        <w:numPr>
          <w:ilvl w:val="0"/>
          <w:numId w:val="1005"/>
        </w:numPr>
      </w:pPr>
      <w:r>
        <w:t xml:space="preserve">Permite invertir matrices singulares</w:t>
      </w:r>
    </w:p>
    <w:p>
      <w:pPr>
        <w:pStyle w:val="Compact"/>
        <w:numPr>
          <w:ilvl w:val="0"/>
          <w:numId w:val="1005"/>
        </w:numPr>
      </w:pPr>
      <w:r>
        <w:t xml:space="preserve">Extiende LDA al caso</w:t>
      </w:r>
      <w:r>
        <w:t xml:space="preserve"> </w:t>
      </w:r>
      <m:oMath>
        <m:r>
          <m:t>p</m:t>
        </m:r>
        <m:r>
          <m:rPr>
            <m:sty m:val="p"/>
          </m:rPr>
          <m:t>≫</m:t>
        </m:r>
        <m:r>
          <m:t>n</m:t>
        </m:r>
      </m:oMath>
    </w:p>
    <w:bookmarkEnd w:id="31"/>
    <w:bookmarkStart w:id="32" w:name="limitaciones"/>
    <w:p>
      <w:pPr>
        <w:pStyle w:val="Heading3"/>
      </w:pPr>
      <w:r>
        <w:t xml:space="preserve">Limitaciones</w:t>
      </w:r>
    </w:p>
    <w:p>
      <w:pPr>
        <w:pStyle w:val="Compact"/>
        <w:numPr>
          <w:ilvl w:val="0"/>
          <w:numId w:val="1006"/>
        </w:numPr>
      </w:pPr>
      <w:r>
        <w:t xml:space="preserve">No elimina la degeneración del problema</w:t>
      </w:r>
    </w:p>
    <w:p>
      <w:pPr>
        <w:pStyle w:val="Compact"/>
        <w:numPr>
          <w:ilvl w:val="0"/>
          <w:numId w:val="1006"/>
        </w:numPr>
      </w:pPr>
      <w:r>
        <w:t xml:space="preserve">Mantiene el espacio original completo</w:t>
      </w:r>
    </w:p>
    <w:p>
      <w:pPr>
        <w:pStyle w:val="Compact"/>
        <w:numPr>
          <w:ilvl w:val="0"/>
          <w:numId w:val="1006"/>
        </w:numPr>
      </w:pPr>
      <w:r>
        <w:t xml:space="preserve">Puede generar soluciones no únicas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vd-y-blanqueamiento-whitening"/>
    <w:p>
      <w:pPr>
        <w:pStyle w:val="Heading2"/>
      </w:pPr>
      <w:r>
        <w:t xml:space="preserve">5. SVD y blanqueamiento (whitening)</w:t>
      </w:r>
    </w:p>
    <w:p>
      <w:pPr>
        <w:pStyle w:val="FirstParagraph"/>
      </w:pPr>
      <w:r>
        <w:t xml:space="preserve">Otra alternativa más estable es transformar el problema.</w:t>
      </w:r>
    </w:p>
    <w:bookmarkStart w:id="34" w:name="descomposición"/>
    <w:p>
      <w:pPr>
        <w:pStyle w:val="Heading3"/>
      </w:pPr>
      <w:r>
        <w:t xml:space="preserve">Descomposición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U</m:t>
          </m:r>
          <m:r>
            <m:t>Σ</m:t>
          </m:r>
          <m:sSup>
            <m:e>
              <m:r>
                <m:t>U</m:t>
              </m:r>
            </m:e>
            <m:sup>
              <m:r>
                <m:t>T</m:t>
              </m:r>
            </m:sup>
          </m:sSup>
        </m:oMath>
      </m:oMathPara>
    </w:p>
    <w:bookmarkEnd w:id="34"/>
    <w:bookmarkStart w:id="35" w:name="transformación"/>
    <w:p>
      <w:pPr>
        <w:pStyle w:val="Heading3"/>
      </w:pPr>
      <w:r>
        <w:t xml:space="preserve">Transformación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w</m:t>
              </m:r>
              <m:r>
                <m:t>h</m:t>
              </m:r>
              <m:r>
                <m:t>i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U</m:t>
              </m:r>
            </m:e>
            <m:sup>
              <m:r>
                <m:t>T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Entonces: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→</m:t>
          </m:r>
          <m:r>
            <m:t>I</m:t>
          </m:r>
        </m:oMath>
      </m:oMathPara>
    </w:p>
    <w:p>
      <w:pPr>
        <w:pStyle w:val="FirstParagraph"/>
      </w:pPr>
      <w:r>
        <w:t xml:space="preserve">y el problema se convierte en: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>
            <m:e>
              <m:r>
                <m:t>S</m:t>
              </m:r>
            </m:e>
            <m:sub>
              <m:r>
                <m:t>B</m:t>
              </m:r>
            </m:sub>
          </m:sSub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p>
      <w:r>
        <w:pict>
          <v:rect style="width:0;height:1.5pt" o:hralign="center" o:hrstd="t" o:hr="t"/>
        </w:pict>
      </w:r>
    </w:p>
    <w:bookmarkEnd w:id="35"/>
    <w:bookmarkStart w:id="36" w:name="ventajas-del-whitening"/>
    <w:p>
      <w:pPr>
        <w:pStyle w:val="Heading3"/>
      </w:pPr>
      <w:r>
        <w:t xml:space="preserve">Ventajas del whitening</w:t>
      </w:r>
    </w:p>
    <w:p>
      <w:pPr>
        <w:pStyle w:val="Compact"/>
        <w:numPr>
          <w:ilvl w:val="0"/>
          <w:numId w:val="1007"/>
        </w:numPr>
      </w:pPr>
      <w:r>
        <w:t xml:space="preserve">Matriz simétrica garantizada</w:t>
      </w:r>
    </w:p>
    <w:p>
      <w:pPr>
        <w:pStyle w:val="Compact"/>
        <w:numPr>
          <w:ilvl w:val="0"/>
          <w:numId w:val="1007"/>
        </w:numPr>
      </w:pPr>
      <w:r>
        <w:t xml:space="preserve">Autovalores reales</w:t>
      </w:r>
    </w:p>
    <w:p>
      <w:pPr>
        <w:pStyle w:val="Compact"/>
        <w:numPr>
          <w:ilvl w:val="0"/>
          <w:numId w:val="1007"/>
        </w:numPr>
      </w:pPr>
      <w:r>
        <w:t xml:space="preserve">Estabilidad numérica alta</w:t>
      </w:r>
    </w:p>
    <w:p>
      <w:pPr>
        <w:pStyle w:val="Compact"/>
        <w:numPr>
          <w:ilvl w:val="0"/>
          <w:numId w:val="1007"/>
        </w:numPr>
      </w:pPr>
      <w:r>
        <w:t xml:space="preserve">Eliminación de escalas redundantes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mplementación-en-masslda"/>
    <w:p>
      <w:pPr>
        <w:pStyle w:val="Heading2"/>
      </w:pPr>
      <w:r>
        <w:t xml:space="preserve">6. Implementación en MASS::lda</w:t>
      </w:r>
    </w:p>
    <w:p>
      <w:pPr>
        <w:pStyle w:val="FirstParagraph"/>
      </w:pPr>
      <w:r>
        <w:t xml:space="preserve">La implementación de LDA en R:</w:t>
      </w:r>
    </w:p>
    <w:p>
      <w:pPr>
        <w:pStyle w:val="BodyText"/>
      </w:pPr>
      <w:r>
        <w:t xml:space="preserve">:contentReference</w:t>
      </w:r>
      <w:r>
        <w:t xml:space="preserve">oaicite:0</w:t>
      </w:r>
    </w:p>
    <w:p>
      <w:pPr>
        <w:pStyle w:val="BodyText"/>
      </w:pPr>
      <w:r>
        <w:t xml:space="preserve">no calcula directamente</w:t>
      </w:r>
      <w:r>
        <w:t xml:space="preserve"> </w:t>
      </w:r>
      <m:oMath>
        <m:sSubSup>
          <m:e>
            <m:r>
              <m:t>S</m:t>
            </m:r>
          </m:e>
          <m:sub>
            <m:r>
              <m:t>W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 su lugar:</w:t>
      </w:r>
    </w:p>
    <w:p>
      <w:pPr>
        <w:pStyle w:val="Compact"/>
        <w:numPr>
          <w:ilvl w:val="0"/>
          <w:numId w:val="1008"/>
        </w:numPr>
      </w:pPr>
      <w:r>
        <w:t xml:space="preserve">utiliza descomposición QR/SVD</w:t>
      </w:r>
    </w:p>
    <w:p>
      <w:pPr>
        <w:pStyle w:val="Compact"/>
        <w:numPr>
          <w:ilvl w:val="0"/>
          <w:numId w:val="1008"/>
        </w:numPr>
      </w:pPr>
      <w:r>
        <w:t xml:space="preserve">elimina direcciones de rango nulo</w:t>
      </w:r>
    </w:p>
    <w:p>
      <w:pPr>
        <w:pStyle w:val="Compact"/>
        <w:numPr>
          <w:ilvl w:val="0"/>
          <w:numId w:val="1008"/>
        </w:numPr>
      </w:pPr>
      <w:r>
        <w:t xml:space="preserve">proyecta datos en el subespacio de dimensión</w:t>
      </w:r>
      <w:r>
        <w:t xml:space="preserve"> </w:t>
      </w:r>
      <m:oMath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t xml:space="preserve">Esto implica:</w:t>
      </w:r>
    </w:p>
    <w:p>
      <w:pPr>
        <w:pStyle w:val="BlockText"/>
      </w:pPr>
      <w:r>
        <w:t xml:space="preserve">El problema se resuelve en el subespacio donde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es efectivamente invertible.</w:t>
      </w:r>
    </w:p>
    <w:p>
      <w:r>
        <w:pict>
          <v:rect style="width:0;height:1.5pt" o:hralign="center" o:hrstd="t" o:hr="t"/>
        </w:pict>
      </w:r>
    </w:p>
    <w:bookmarkEnd w:id="38"/>
    <w:bookmarkStart w:id="39" w:name="comparación-conceptual"/>
    <w:p>
      <w:pPr>
        <w:pStyle w:val="Heading2"/>
      </w:pPr>
      <w:r>
        <w:t xml:space="preserve">7. Comparación conceptual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Manejo SSS</w:t>
            </w:r>
          </w:p>
        </w:tc>
        <w:tc>
          <w:tcPr/>
          <w:p>
            <w:pPr>
              <w:pStyle w:val="Compact"/>
            </w:pPr>
            <w:r>
              <w:t xml:space="preserve">Estabilidad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 clásico</w:t>
            </w:r>
          </w:p>
        </w:tc>
        <w:tc>
          <w:tcPr/>
          <w:p>
            <w:pPr>
              <w:pStyle w:val="Compact"/>
            </w:pPr>
            <w:r>
              <w:t xml:space="preserve">Inversa directa</w:t>
            </w:r>
          </w:p>
        </w:tc>
        <w:tc>
          <w:tcPr/>
          <w:p>
            <w:pPr>
              <w:pStyle w:val="Compact"/>
            </w:pPr>
            <w:r>
              <w:t xml:space="preserve">No soporta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 + pseudoinversa</w:t>
            </w:r>
          </w:p>
        </w:tc>
        <w:tc>
          <w:tcPr/>
          <w:p>
            <w:pPr>
              <w:pStyle w:val="Compact"/>
            </w:pPr>
            <w:r>
              <w:t xml:space="preserve">Regularización algebraica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 + SVD / whitening (MASS)</w:t>
            </w:r>
          </w:p>
        </w:tc>
        <w:tc>
          <w:tcPr/>
          <w:p>
            <w:pPr>
              <w:pStyle w:val="Compact"/>
            </w:pPr>
            <w:r>
              <w:t xml:space="preserve">Reducción de subespacio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nclusión"/>
    <w:p>
      <w:pPr>
        <w:pStyle w:val="Heading2"/>
      </w:pPr>
      <w:r>
        <w:t xml:space="preserve">8. Conclusión</w:t>
      </w:r>
    </w:p>
    <w:p>
      <w:pPr>
        <w:pStyle w:val="FirstParagraph"/>
      </w:pPr>
      <w:r>
        <w:t xml:space="preserve">El problema del LDA clásico no es únicamente de inversión matricial, sino de estructura geométrica del espacio de datos.</w:t>
      </w:r>
    </w:p>
    <w:p>
      <w:pPr>
        <w:pStyle w:val="BodyText"/>
      </w:pPr>
      <w:r>
        <w:t xml:space="preserve">Las soluciones modernas no</w:t>
      </w:r>
      <w:r>
        <w:t xml:space="preserve"> </w:t>
      </w:r>
      <w:r>
        <w:t xml:space="preserve">“corrigen”</w:t>
      </w:r>
      <w:r>
        <w:t xml:space="preserve"> </w:t>
      </w:r>
      <w:r>
        <w:t xml:space="preserve">el método clásico, sino que:</w:t>
      </w:r>
    </w:p>
    <w:p>
      <w:pPr>
        <w:pStyle w:val="BlockText"/>
      </w:pPr>
      <w:r>
        <w:t xml:space="preserve">reformulan el problema en un subespacio donde la solución es computable y estable.</w:t>
      </w:r>
    </w:p>
    <w:p>
      <w:pPr>
        <w:pStyle w:val="FirstParagraph"/>
      </w:pPr>
      <w:r>
        <w:t xml:space="preserve">En particular:</w:t>
      </w:r>
    </w:p>
    <w:p>
      <w:pPr>
        <w:pStyle w:val="Compact"/>
        <w:numPr>
          <w:ilvl w:val="0"/>
          <w:numId w:val="1009"/>
        </w:numPr>
      </w:pPr>
      <w:r>
        <w:t xml:space="preserve">la pseudoinversa extiende el método a matrices singulares</w:t>
      </w:r>
    </w:p>
    <w:p>
      <w:pPr>
        <w:pStyle w:val="Compact"/>
        <w:numPr>
          <w:ilvl w:val="0"/>
          <w:numId w:val="1009"/>
        </w:numPr>
      </w:pPr>
      <w:r>
        <w:t xml:space="preserve">SVD y whitening estabilizan la geometría del problema</w:t>
      </w:r>
    </w:p>
    <w:p>
      <w:pPr>
        <w:pStyle w:val="Compact"/>
        <w:numPr>
          <w:ilvl w:val="0"/>
          <w:numId w:val="1009"/>
        </w:numPr>
      </w:pPr>
      <w:r>
        <w:t xml:space="preserve">MASS::lda evita la inversión directa y trabaja en el subespacio de rango efectivo</w:t>
      </w:r>
    </w:p>
    <w:p>
      <w:r>
        <w:pict>
          <v:rect style="width:0;height:1.5pt" o:hralign="center" o:hrstd="t" o:hr="t"/>
        </w:pict>
      </w:r>
    </w:p>
    <w:bookmarkEnd w:id="40"/>
    <w:bookmarkStart w:id="41" w:name="interpretación-final"/>
    <w:p>
      <w:pPr>
        <w:pStyle w:val="Heading2"/>
      </w:pPr>
      <w:r>
        <w:t xml:space="preserve">9. Interpretación final</w:t>
      </w:r>
    </w:p>
    <w:p>
      <w:pPr>
        <w:pStyle w:val="FirstParagraph"/>
      </w:pPr>
      <w:r>
        <w:t xml:space="preserve">El fenómeno SSS no es un error de implementación, sino una propiedad inherente a los problemas de alta dimensionalidad.</w:t>
      </w:r>
    </w:p>
    <w:p>
      <w:pPr>
        <w:pStyle w:val="BodyText"/>
      </w:pPr>
      <w:r>
        <w:t xml:space="preserve">Por ello, la diferencia entre el LDA clásico y implementaciones robustas como MASS::lda no es solo numérica, sino estructural y geométrica.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LDA y MASS LDA</dc:title>
  <dc:creator>Angel</dc:creator>
  <cp:keywords/>
  <dcterms:created xsi:type="dcterms:W3CDTF">2026-06-02T19:37:40Z</dcterms:created>
  <dcterms:modified xsi:type="dcterms:W3CDTF">2026-06-02T19:37:40Z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2026-06-02</vt:lpwstr>
  </property>
  <property fmtid="{D5CDD505-2E9C-101B-9397-08002B2CF9AE}" pid="3" name="output">
    <vt:lpwstr>word_document</vt:lpwstr>
  </property>
</Properties>
</file>