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LDA y MASS LDA</w:t>
      </w:r>
    </w:p>
    <w:p>
      <w:pPr>
        <w:pStyle w:val="Author"/>
      </w:pPr>
      <w:r>
        <w:t xml:space="preserve">Angel</w:t>
      </w:r>
    </w:p>
    <w:p>
      <w:pPr>
        <w:pStyle w:val="Date"/>
      </w:pPr>
      <w:r>
        <w:t xml:space="preserve">2026-06-02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2" w:name="X25ae26e96e96afaa318d4fed728c406b0a78b78"/>
    <w:p>
      <w:pPr>
        <w:pStyle w:val="Heading1"/>
      </w:pPr>
      <w:r>
        <w:t xml:space="preserve">LDA clásico, problemas numéricos y soluciones modernas</w:t>
      </w:r>
    </w:p>
    <w:bookmarkStart w:id="22" w:name="lda-base-formulación-clásica"/>
    <w:p>
      <w:pPr>
        <w:pStyle w:val="Heading2"/>
      </w:pPr>
      <w:r>
        <w:t xml:space="preserve">1. LDA base (formulación clásica)</w:t>
      </w:r>
    </w:p>
    <w:p>
      <w:pPr>
        <w:pStyle w:val="FirstParagraph"/>
      </w:pPr>
      <w:r>
        <w:t xml:space="preserve">El Análisis Discriminante Lineal (LDA) busca encontrar una proyección lineal que maximice la separación entre clases en relación con la variabilidad intra-clase.</w:t>
      </w:r>
    </w:p>
    <w:p>
      <w:pPr>
        <w:pStyle w:val="BodyText"/>
      </w:pPr>
      <w:r>
        <w:t xml:space="preserve">Se definen las matrices:</w:t>
      </w:r>
    </w:p>
    <w:bookmarkStart w:id="20" w:name="dispersión-intra-clase"/>
    <w:p>
      <w:pPr>
        <w:pStyle w:val="Heading3"/>
      </w:pPr>
      <w:r>
        <w:t xml:space="preserve">Dispersión intra-clase</w:t>
      </w:r>
    </w:p>
    <w:p>
      <w:pPr>
        <w:pStyle w:val="FirstParagraph"/>
      </w:pPr>
      <m:oMathPara>
        <m:oMathParaPr>
          <m:jc m:val="center"/>
        </m:oMathParaPr>
        <m:oMath>
          <m:sSub>
            <m:e>
              <m:r>
                <m:t>S</m:t>
              </m:r>
            </m:e>
            <m:sub>
              <m:r>
                <m:t>W</m:t>
              </m:r>
            </m:sub>
          </m:sSub>
          <m:r>
            <m:rPr>
              <m:sty m:val="p"/>
            </m:rPr>
            <m:t>=</m:t>
          </m:r>
          <m:nary>
            <m:naryPr>
              <m:chr m:val="∑"/>
              <m:limLoc m:val="undOvr"/>
              <m:subHide m:val="off"/>
              <m:supHide m:val="off"/>
            </m:naryPr>
            <m:sub>
              <m:r>
                <m:t>k</m:t>
              </m:r>
              <m:r>
                <m:rPr>
                  <m:sty m:val="p"/>
                </m:rPr>
                <m:t>=</m:t>
              </m:r>
              <m:r>
                <m:t>1</m:t>
              </m:r>
            </m:sub>
            <m:sup>
              <m:r>
                <m:t>K</m:t>
              </m:r>
            </m:sup>
            <m:e>
              <m:nary>
                <m:naryPr>
                  <m:chr m:val="∑"/>
                  <m:limLoc m:val="undOvr"/>
                  <m:subHide m:val="off"/>
                  <m:supHide m:val="on"/>
                </m:naryPr>
                <m:sub>
                  <m:sSub>
                    <m:e>
                      <m:r>
                        <m:t>x</m:t>
                      </m:r>
                    </m:e>
                    <m:sub>
                      <m:r>
                        <m:t>i</m:t>
                      </m:r>
                    </m:sub>
                  </m:sSub>
                  <m:r>
                    <m:rPr>
                      <m:sty m:val="p"/>
                    </m:rPr>
                    <m:t>∈</m:t>
                  </m:r>
                  <m:sSub>
                    <m:e>
                      <m:r>
                        <m:t>C</m:t>
                      </m:r>
                    </m:e>
                    <m:sub>
                      <m:r>
                        <m:t>k</m:t>
                      </m:r>
                    </m:sub>
                  </m:sSub>
                </m:sub>
                <m:sup>
                  <m:r>
                    <m:t>​</m:t>
                  </m:r>
                </m:sup>
                <m:e>
                  <m:d>
                    <m:dPr>
                      <m:begChr m:val="("/>
                      <m:sepChr m:val=""/>
                      <m:endChr m:val=")"/>
                      <m:grow/>
                    </m:dPr>
                    <m:e>
                      <m:sSub>
                        <m:e>
                          <m:r>
                            <m:t>x</m:t>
                          </m:r>
                        </m:e>
                        <m:sub>
                          <m:r>
                            <m:t>i</m:t>
                          </m:r>
                        </m:sub>
                      </m:sSub>
                      <m:r>
                        <m:rPr>
                          <m:sty m:val="p"/>
                        </m:rPr>
                        <m:t>−</m:t>
                      </m:r>
                      <m:sSub>
                        <m:e>
                          <m:r>
                            <m:t>μ</m:t>
                          </m:r>
                        </m:e>
                        <m:sub>
                          <m:r>
                            <m:t>k</m:t>
                          </m:r>
                        </m:sub>
                      </m:sSub>
                    </m:e>
                  </m:d>
                </m:e>
              </m:nary>
            </m:e>
          </m:nary>
          <m:sSup>
            <m:e>
              <m:d>
                <m:dPr>
                  <m:begChr m:val="("/>
                  <m:sepChr m:val=""/>
                  <m:endChr m:val=")"/>
                  <m:grow/>
                </m:dPr>
                <m:e>
                  <m:sSub>
                    <m:e>
                      <m:r>
                        <m:t>x</m:t>
                      </m:r>
                    </m:e>
                    <m:sub>
                      <m:r>
                        <m:t>i</m:t>
                      </m:r>
                    </m:sub>
                  </m:sSub>
                  <m:r>
                    <m:rPr>
                      <m:sty m:val="p"/>
                    </m:rPr>
                    <m:t>−</m:t>
                  </m:r>
                  <m:sSub>
                    <m:e>
                      <m:r>
                        <m:t>μ</m:t>
                      </m:r>
                    </m:e>
                    <m:sub>
                      <m:r>
                        <m:t>k</m:t>
                      </m:r>
                    </m:sub>
                  </m:sSub>
                </m:e>
              </m:d>
            </m:e>
            <m:sup>
              <m:r>
                <m:t>T</m:t>
              </m:r>
            </m:sup>
          </m:sSup>
        </m:oMath>
      </m:oMathPara>
    </w:p>
    <w:bookmarkEnd w:id="20"/>
    <w:bookmarkStart w:id="21" w:name="dispersión-entre-clases"/>
    <w:p>
      <w:pPr>
        <w:pStyle w:val="Heading3"/>
      </w:pPr>
      <w:r>
        <w:t xml:space="preserve">Dispersión entre clases</w:t>
      </w:r>
    </w:p>
    <w:p>
      <w:pPr>
        <w:pStyle w:val="FirstParagraph"/>
      </w:pPr>
      <m:oMathPara>
        <m:oMathParaPr>
          <m:jc m:val="center"/>
        </m:oMathParaPr>
        <m:oMath>
          <m:sSub>
            <m:e>
              <m:r>
                <m:t>S</m:t>
              </m:r>
            </m:e>
            <m:sub>
              <m:r>
                <m:t>B</m:t>
              </m:r>
            </m:sub>
          </m:sSub>
          <m:r>
            <m:rPr>
              <m:sty m:val="p"/>
            </m:rPr>
            <m:t>=</m:t>
          </m:r>
          <m:nary>
            <m:naryPr>
              <m:chr m:val="∑"/>
              <m:limLoc m:val="undOvr"/>
              <m:subHide m:val="off"/>
              <m:supHide m:val="off"/>
            </m:naryPr>
            <m:sub>
              <m:r>
                <m:t>k</m:t>
              </m:r>
              <m:r>
                <m:rPr>
                  <m:sty m:val="p"/>
                </m:rPr>
                <m:t>=</m:t>
              </m:r>
              <m:r>
                <m:t>1</m:t>
              </m:r>
            </m:sub>
            <m:sup>
              <m:r>
                <m:t>K</m:t>
              </m:r>
            </m:sup>
            <m:e>
              <m:sSub>
                <m:e>
                  <m:r>
                    <m:t>n</m:t>
                  </m:r>
                </m:e>
                <m:sub>
                  <m:r>
                    <m:t>k</m:t>
                  </m:r>
                </m:sub>
              </m:sSub>
            </m:e>
          </m:nary>
          <m:d>
            <m:dPr>
              <m:begChr m:val="("/>
              <m:sepChr m:val=""/>
              <m:endChr m:val=")"/>
              <m:grow/>
            </m:dPr>
            <m:e>
              <m:sSub>
                <m:e>
                  <m:r>
                    <m:t>μ</m:t>
                  </m:r>
                </m:e>
                <m:sub>
                  <m:r>
                    <m:t>k</m:t>
                  </m:r>
                </m:sub>
              </m:sSub>
              <m:r>
                <m:rPr>
                  <m:sty m:val="p"/>
                </m:rPr>
                <m:t>−</m:t>
              </m:r>
              <m:r>
                <m:t>μ</m:t>
              </m:r>
            </m:e>
          </m:d>
          <m:sSup>
            <m:e>
              <m:d>
                <m:dPr>
                  <m:begChr m:val="("/>
                  <m:sepChr m:val=""/>
                  <m:endChr m:val=")"/>
                  <m:grow/>
                </m:dPr>
                <m:e>
                  <m:sSub>
                    <m:e>
                      <m:r>
                        <m:t>μ</m:t>
                      </m:r>
                    </m:e>
                    <m:sub>
                      <m:r>
                        <m:t>k</m:t>
                      </m:r>
                    </m:sub>
                  </m:sSub>
                  <m:r>
                    <m:rPr>
                      <m:sty m:val="p"/>
                    </m:rPr>
                    <m:t>−</m:t>
                  </m:r>
                  <m:r>
                    <m:t>μ</m:t>
                  </m:r>
                </m:e>
              </m:d>
            </m:e>
            <m:sup>
              <m:r>
                <m:t>T</m:t>
              </m:r>
            </m:sup>
          </m:sSup>
        </m:oMath>
      </m:oMathPara>
    </w:p>
    <w:p>
      <w:pPr>
        <w:pStyle w:val="FirstParagraph"/>
      </w:pPr>
      <w:r>
        <w:t xml:space="preserve">El problema clásico se formula como:</w:t>
      </w:r>
    </w:p>
    <w:p>
      <w:pPr>
        <w:pStyle w:val="BodyText"/>
      </w:pPr>
      <m:oMathPara>
        <m:oMathParaPr>
          <m:jc m:val="center"/>
        </m:oMathParaPr>
        <m:oMath>
          <m:sSubSup>
            <m:e>
              <m:r>
                <m:t>S</m:t>
              </m:r>
            </m:e>
            <m:sub>
              <m:r>
                <m:t>W</m:t>
              </m:r>
            </m:sub>
            <m:sup>
              <m:r>
                <m:rPr>
                  <m:sty m:val="p"/>
                </m:rPr>
                <m:t>−</m:t>
              </m:r>
              <m:r>
                <m:t>1</m:t>
              </m:r>
            </m:sup>
          </m:sSubSup>
          <m:sSub>
            <m:e>
              <m:r>
                <m:t>S</m:t>
              </m:r>
            </m:e>
            <m:sub>
              <m:r>
                <m:t>B</m:t>
              </m:r>
            </m:sub>
          </m:sSub>
          <m:r>
            <m:t>w</m:t>
          </m:r>
          <m:r>
            <m:rPr>
              <m:sty m:val="p"/>
            </m:rPr>
            <m:t>=</m:t>
          </m:r>
          <m:r>
            <m:t>λ</m:t>
          </m:r>
          <m:r>
            <m:t>w</m:t>
          </m:r>
        </m:oMath>
      </m:oMathPara>
    </w:p>
    <w:p>
      <w:pPr>
        <w:pStyle w:val="FirstParagraph"/>
      </w:pPr>
      <w:r>
        <w:t xml:space="preserve">o equivalentemente:</w:t>
      </w:r>
    </w:p>
    <w:p>
      <w:pPr>
        <w:pStyle w:val="BodyText"/>
      </w:pPr>
      <m:oMathPara>
        <m:oMathParaPr>
          <m:jc m:val="center"/>
        </m:oMathParaPr>
        <m:oMath>
          <m:r>
            <m:rPr>
              <m:sty m:val="p"/>
            </m:rPr>
            <m:t>arg</m:t>
          </m:r>
          <m:limLow>
            <m:e>
              <m:r>
                <m:rPr>
                  <m:sty m:val="p"/>
                </m:rPr>
                <m:t>max</m:t>
              </m:r>
            </m:e>
            <m:lim>
              <m:r>
                <m:t>W</m:t>
              </m:r>
            </m:lim>
          </m:limLow>
          <m:f>
            <m:fPr>
              <m:type m:val="bar"/>
            </m:fPr>
            <m:num>
              <m:r>
                <m:rPr>
                  <m:sty m:val="p"/>
                </m:rPr>
                <m:t>t</m:t>
              </m:r>
              <m:r>
                <m:rPr>
                  <m:sty m:val="p"/>
                </m:rPr>
                <m:t>r</m:t>
              </m:r>
              <m:d>
                <m:dPr>
                  <m:begChr m:val="("/>
                  <m:sepChr m:val=""/>
                  <m:endChr m:val=")"/>
                  <m:grow/>
                </m:dPr>
                <m:e>
                  <m:sSup>
                    <m:e>
                      <m:r>
                        <m:t>W</m:t>
                      </m:r>
                    </m:e>
                    <m:sup>
                      <m:r>
                        <m:t>T</m:t>
                      </m:r>
                    </m:sup>
                  </m:sSup>
                  <m:sSub>
                    <m:e>
                      <m:r>
                        <m:t>S</m:t>
                      </m:r>
                    </m:e>
                    <m:sub>
                      <m:r>
                        <m:t>B</m:t>
                      </m:r>
                    </m:sub>
                  </m:sSub>
                  <m:r>
                    <m:t>W</m:t>
                  </m:r>
                </m:e>
              </m:d>
            </m:num>
            <m:den>
              <m:r>
                <m:rPr>
                  <m:sty m:val="p"/>
                </m:rPr>
                <m:t>t</m:t>
              </m:r>
              <m:r>
                <m:rPr>
                  <m:sty m:val="p"/>
                </m:rPr>
                <m:t>r</m:t>
              </m:r>
              <m:d>
                <m:dPr>
                  <m:begChr m:val="("/>
                  <m:sepChr m:val=""/>
                  <m:endChr m:val=")"/>
                  <m:grow/>
                </m:dPr>
                <m:e>
                  <m:sSup>
                    <m:e>
                      <m:r>
                        <m:t>W</m:t>
                      </m:r>
                    </m:e>
                    <m:sup>
                      <m:r>
                        <m:t>T</m:t>
                      </m:r>
                    </m:sup>
                  </m:sSup>
                  <m:sSub>
                    <m:e>
                      <m:r>
                        <m:t>S</m:t>
                      </m:r>
                    </m:e>
                    <m:sub>
                      <m:r>
                        <m:t>W</m:t>
                      </m:r>
                    </m:sub>
                  </m:sSub>
                  <m:r>
                    <m:t>W</m:t>
                  </m:r>
                </m:e>
              </m:d>
            </m:den>
          </m:f>
        </m:oMath>
      </m:oMathPara>
    </w:p>
    <w:p>
      <w:r>
        <w:pict>
          <v:rect style="width:0;height:1.5pt" o:hralign="center" o:hrstd="t" o:hr="t"/>
        </w:pict>
      </w:r>
    </w:p>
    <w:bookmarkEnd w:id="21"/>
    <w:bookmarkEnd w:id="22"/>
    <w:bookmarkStart w:id="26" w:name="problemas-del-lda-clásico"/>
    <w:p>
      <w:pPr>
        <w:pStyle w:val="Heading2"/>
      </w:pPr>
      <w:r>
        <w:t xml:space="preserve">2. Problemas del LDA clásico</w:t>
      </w:r>
    </w:p>
    <w:bookmarkStart w:id="23" w:name="singularidad-de-s_w-sss-problem"/>
    <w:p>
      <w:pPr>
        <w:pStyle w:val="Heading3"/>
      </w:pPr>
      <w:r>
        <w:t xml:space="preserve">2.1 Singularidad de</w:t>
      </w:r>
      <w:r>
        <w:t xml:space="preserve"> </w:t>
      </w:r>
      <m:oMath>
        <m:sSub>
          <m:e>
            <m:r>
              <m:t>S</m:t>
            </m:r>
          </m:e>
          <m:sub>
            <m:r>
              <m:t>W</m:t>
            </m:r>
          </m:sub>
        </m:sSub>
      </m:oMath>
      <w:r>
        <w:t xml:space="preserve"> </w:t>
      </w:r>
      <w:r>
        <w:t xml:space="preserve">(SSS problem)</w:t>
      </w:r>
    </w:p>
    <w:p>
      <w:pPr>
        <w:pStyle w:val="FirstParagraph"/>
      </w:pPr>
      <w:r>
        <w:t xml:space="preserve">Cuando:</w:t>
      </w:r>
    </w:p>
    <w:p>
      <w:pPr>
        <w:pStyle w:val="Compact"/>
        <w:numPr>
          <w:ilvl w:val="0"/>
          <w:numId w:val="1001"/>
        </w:numPr>
      </w:pPr>
      <m:oMath>
        <m:r>
          <m:t>p</m:t>
        </m:r>
        <m:r>
          <m:rPr>
            <m:sty m:val="p"/>
          </m:rPr>
          <m:t>&gt;</m:t>
        </m:r>
        <m:r>
          <m:t>n</m:t>
        </m:r>
      </m:oMath>
    </w:p>
    <w:p>
      <w:pPr>
        <w:pStyle w:val="Compact"/>
        <w:numPr>
          <w:ilvl w:val="0"/>
          <w:numId w:val="1001"/>
        </w:numPr>
      </w:pPr>
      <w:r>
        <w:t xml:space="preserve">o existen variables colineales</w:t>
      </w:r>
    </w:p>
    <w:p>
      <w:pPr>
        <w:pStyle w:val="FirstParagraph"/>
      </w:pPr>
      <w:r>
        <w:t xml:space="preserve">entonces:</w:t>
      </w:r>
    </w:p>
    <w:p>
      <w:pPr>
        <w:pStyle w:val="BodyText"/>
      </w:pPr>
      <m:oMathPara>
        <m:oMathParaPr>
          <m:jc m:val="center"/>
        </m:oMathParaPr>
        <m:oMath>
          <m:r>
            <m:rPr>
              <m:sty m:val="p"/>
            </m:rPr>
            <m:t>det</m:t>
          </m:r>
          <m:d>
            <m:dPr>
              <m:begChr m:val="("/>
              <m:sepChr m:val=""/>
              <m:endChr m:val=")"/>
              <m:grow/>
            </m:dPr>
            <m:e>
              <m:sSub>
                <m:e>
                  <m:r>
                    <m:t>S</m:t>
                  </m:r>
                </m:e>
                <m:sub>
                  <m:r>
                    <m:t>W</m:t>
                  </m:r>
                </m:sub>
              </m:sSub>
            </m:e>
          </m:d>
          <m:r>
            <m:rPr>
              <m:sty m:val="p"/>
            </m:rPr>
            <m:t>=</m:t>
          </m:r>
          <m:r>
            <m:t>0</m:t>
          </m:r>
        </m:oMath>
      </m:oMathPara>
    </w:p>
    <w:p>
      <w:pPr>
        <w:pStyle w:val="FirstParagraph"/>
      </w:pPr>
      <w:r>
        <w:t xml:space="preserve">y</w:t>
      </w:r>
      <w:r>
        <w:t xml:space="preserve"> </w:t>
      </w:r>
      <m:oMath>
        <m:sSub>
          <m:e>
            <m:r>
              <m:t>S</m:t>
            </m:r>
          </m:e>
          <m:sub>
            <m:r>
              <m:t>W</m:t>
            </m:r>
          </m:sub>
        </m:sSub>
      </m:oMath>
      <w:r>
        <w:t xml:space="preserve"> </w:t>
      </w:r>
      <w:r>
        <w:t xml:space="preserve">no es invertible.</w:t>
      </w:r>
    </w:p>
    <w:p>
      <w:r>
        <w:pict>
          <v:rect style="width:0;height:1.5pt" o:hralign="center" o:hrstd="t" o:hr="t"/>
        </w:pict>
      </w:r>
    </w:p>
    <w:bookmarkEnd w:id="23"/>
    <w:bookmarkStart w:id="24" w:name="mal-condicionamiento"/>
    <w:p>
      <w:pPr>
        <w:pStyle w:val="Heading3"/>
      </w:pPr>
      <w:r>
        <w:t xml:space="preserve">2.2 Mal condicionamiento</w:t>
      </w:r>
    </w:p>
    <w:p>
      <w:pPr>
        <w:pStyle w:val="FirstParagraph"/>
      </w:pPr>
      <w:r>
        <w:t xml:space="preserve">Incluso si</w:t>
      </w:r>
      <w:r>
        <w:t xml:space="preserve"> </w:t>
      </w:r>
      <m:oMath>
        <m:sSub>
          <m:e>
            <m:r>
              <m:t>S</m:t>
            </m:r>
          </m:e>
          <m:sub>
            <m:r>
              <m:t>W</m:t>
            </m:r>
          </m:sub>
        </m:sSub>
      </m:oMath>
      <w:r>
        <w:t xml:space="preserve"> </w:t>
      </w:r>
      <w:r>
        <w:t xml:space="preserve">es invertible:</w:t>
      </w:r>
    </w:p>
    <w:p>
      <w:pPr>
        <w:pStyle w:val="Compact"/>
        <w:numPr>
          <w:ilvl w:val="0"/>
          <w:numId w:val="1002"/>
        </w:numPr>
      </w:pPr>
      <w:r>
        <w:t xml:space="preserve">puede tener número de condición muy alto</w:t>
      </w:r>
    </w:p>
    <w:p>
      <w:pPr>
        <w:pStyle w:val="Compact"/>
        <w:numPr>
          <w:ilvl w:val="0"/>
          <w:numId w:val="1002"/>
        </w:numPr>
      </w:pPr>
      <w:r>
        <w:t xml:space="preserve">amplifica errores numéricos</w:t>
      </w:r>
    </w:p>
    <w:p>
      <w:r>
        <w:pict>
          <v:rect style="width:0;height:1.5pt" o:hralign="center" o:hrstd="t" o:hr="t"/>
        </w:pict>
      </w:r>
    </w:p>
    <w:bookmarkEnd w:id="24"/>
    <w:bookmarkStart w:id="25" w:name="inestabilidad-espectral"/>
    <w:p>
      <w:pPr>
        <w:pStyle w:val="Heading3"/>
      </w:pPr>
      <w:r>
        <w:t xml:space="preserve">2.3 Inestabilidad espectral</w:t>
      </w:r>
    </w:p>
    <w:p>
      <w:pPr>
        <w:pStyle w:val="FirstParagraph"/>
      </w:pPr>
      <w:r>
        <w:t xml:space="preserve">Numéricamente,</w:t>
      </w:r>
      <w:r>
        <w:t xml:space="preserve"> </w:t>
      </w:r>
      <m:oMath>
        <m:sSubSup>
          <m:e>
            <m:r>
              <m:t>S</m:t>
            </m:r>
          </m:e>
          <m:sub>
            <m:r>
              <m:t>W</m:t>
            </m:r>
          </m:sub>
          <m:sup>
            <m:r>
              <m:rPr>
                <m:sty m:val="p"/>
              </m:rPr>
              <m:t>−</m:t>
            </m:r>
            <m:r>
              <m:t>1</m:t>
            </m:r>
          </m:sup>
        </m:sSubSup>
        <m:sSub>
          <m:e>
            <m:r>
              <m:t>S</m:t>
            </m:r>
          </m:e>
          <m:sub>
            <m:r>
              <m:t>B</m:t>
            </m:r>
          </m:sub>
        </m:sSub>
      </m:oMath>
      <w:r>
        <w:t xml:space="preserve"> </w:t>
      </w:r>
      <w:r>
        <w:t xml:space="preserve">puede generar:</w:t>
      </w:r>
    </w:p>
    <w:p>
      <w:pPr>
        <w:pStyle w:val="Compact"/>
        <w:numPr>
          <w:ilvl w:val="0"/>
          <w:numId w:val="1003"/>
        </w:numPr>
      </w:pPr>
      <w:r>
        <w:t xml:space="preserve">autovalores complejos (ruido numérico)</w:t>
      </w:r>
    </w:p>
    <w:p>
      <w:pPr>
        <w:pStyle w:val="Compact"/>
        <w:numPr>
          <w:ilvl w:val="0"/>
          <w:numId w:val="1003"/>
        </w:numPr>
      </w:pPr>
      <w:r>
        <w:t xml:space="preserve">vectores propios inestables</w:t>
      </w:r>
    </w:p>
    <w:p>
      <w:r>
        <w:pict>
          <v:rect style="width:0;height:1.5pt" o:hralign="center" o:hrstd="t" o:hr="t"/>
        </w:pict>
      </w:r>
    </w:p>
    <w:bookmarkEnd w:id="25"/>
    <w:bookmarkEnd w:id="26"/>
    <w:bookmarkStart w:id="30" w:name="diagnóstico-de-problemas"/>
    <w:p>
      <w:pPr>
        <w:pStyle w:val="Heading2"/>
      </w:pPr>
      <w:r>
        <w:t xml:space="preserve">3. Diagnóstico de problemas</w:t>
      </w:r>
    </w:p>
    <w:p>
      <w:pPr>
        <w:pStyle w:val="FirstParagraph"/>
      </w:pPr>
      <w:r>
        <w:t xml:space="preserve">En la práctica, los problemas se detectan con:</w:t>
      </w:r>
    </w:p>
    <w:bookmarkStart w:id="27" w:name="rango"/>
    <w:p>
      <w:pPr>
        <w:pStyle w:val="Heading3"/>
      </w:pPr>
      <w:r>
        <w:t xml:space="preserve">3.1 Rango</w:t>
      </w:r>
    </w:p>
    <w:p>
      <w:pPr>
        <w:pStyle w:val="FirstParagraph"/>
      </w:pPr>
      <m:oMathPara>
        <m:oMathParaPr>
          <m:jc m:val="center"/>
        </m:oMathParaPr>
        <m:oMath>
          <m:r>
            <m:rPr>
              <m:sty m:val="p"/>
            </m:rPr>
            <m:t>r</m:t>
          </m:r>
          <m:r>
            <m:rPr>
              <m:sty m:val="p"/>
            </m:rPr>
            <m:t>a</m:t>
          </m:r>
          <m:r>
            <m:rPr>
              <m:sty m:val="p"/>
            </m:rPr>
            <m:t>n</m:t>
          </m:r>
          <m:r>
            <m:rPr>
              <m:sty m:val="p"/>
            </m:rPr>
            <m:t>k</m:t>
          </m:r>
          <m:d>
            <m:dPr>
              <m:begChr m:val="("/>
              <m:sepChr m:val=""/>
              <m:endChr m:val=")"/>
              <m:grow/>
            </m:dPr>
            <m:e>
              <m:sSub>
                <m:e>
                  <m:r>
                    <m:t>S</m:t>
                  </m:r>
                </m:e>
                <m:sub>
                  <m:r>
                    <m:t>W</m:t>
                  </m:r>
                </m:sub>
              </m:sSub>
            </m:e>
          </m:d>
          <m:r>
            <m:rPr>
              <m:sty m:val="p"/>
            </m:rPr>
            <m:t>&lt;</m:t>
          </m:r>
          <m:r>
            <m:t>p</m:t>
          </m:r>
          <m:r>
            <m:rPr>
              <m:sty m:val="p"/>
            </m:rPr>
            <m:t>⇒</m:t>
          </m:r>
          <m:r>
            <m:rPr>
              <m:nor/>
              <m:sty m:val="p"/>
            </m:rPr>
            <m:t>singularidad</m:t>
          </m:r>
        </m:oMath>
      </m:oMathPara>
    </w:p>
    <w:bookmarkEnd w:id="27"/>
    <w:bookmarkStart w:id="28" w:name="número-de-condición"/>
    <w:p>
      <w:pPr>
        <w:pStyle w:val="Heading3"/>
      </w:pPr>
      <w:r>
        <w:t xml:space="preserve">3.2 Número de condición</w:t>
      </w:r>
    </w:p>
    <w:p>
      <w:pPr>
        <w:pStyle w:val="FirstParagraph"/>
      </w:pPr>
      <m:oMathPara>
        <m:oMathParaPr>
          <m:jc m:val="center"/>
        </m:oMathParaPr>
        <m:oMath>
          <m:r>
            <m:t>κ</m:t>
          </m:r>
          <m:d>
            <m:dPr>
              <m:begChr m:val="("/>
              <m:sepChr m:val=""/>
              <m:endChr m:val=")"/>
              <m:grow/>
            </m:dPr>
            <m:e>
              <m:sSub>
                <m:e>
                  <m:r>
                    <m:t>S</m:t>
                  </m:r>
                </m:e>
                <m:sub>
                  <m:r>
                    <m:t>W</m:t>
                  </m:r>
                </m:sub>
              </m:sSub>
            </m:e>
          </m:d>
          <m:r>
            <m:rPr>
              <m:sty m:val="p"/>
            </m:rPr>
            <m:t>≫</m:t>
          </m:r>
          <m:r>
            <m:t>1</m:t>
          </m:r>
          <m:r>
            <m:rPr>
              <m:sty m:val="p"/>
            </m:rPr>
            <m:t>⇒</m:t>
          </m:r>
          <m:r>
            <m:rPr>
              <m:nor/>
              <m:sty m:val="p"/>
            </m:rPr>
            <m:t>mal condicionamiento</m:t>
          </m:r>
        </m:oMath>
      </m:oMathPara>
    </w:p>
    <w:bookmarkEnd w:id="28"/>
    <w:bookmarkStart w:id="29" w:name="parte-imaginaria"/>
    <w:p>
      <w:pPr>
        <w:pStyle w:val="Heading3"/>
      </w:pPr>
      <w:r>
        <w:t xml:space="preserve">3.3 Parte imaginaria</w:t>
      </w:r>
    </w:p>
    <w:p>
      <w:pPr>
        <w:pStyle w:val="FirstParagraph"/>
      </w:pPr>
      <m:oMathPara>
        <m:oMathParaPr>
          <m:jc m:val="center"/>
        </m:oMathParaPr>
        <m:oMath>
          <m:r>
            <m:rPr>
              <m:sty m:val="p"/>
            </m:rPr>
            <m:t>max</m:t>
          </m:r>
          <m:d>
            <m:dPr>
              <m:begChr m:val="|"/>
              <m:sepChr m:val=""/>
              <m:endChr m:val="|"/>
              <m:grow/>
            </m:dPr>
            <m:e>
              <m:r>
                <m:rPr>
                  <m:sty m:val="p"/>
                </m:rPr>
                <m:t>I</m:t>
              </m:r>
              <m:r>
                <m:rPr>
                  <m:sty m:val="p"/>
                </m:rPr>
                <m:t>m</m:t>
              </m:r>
              <m:d>
                <m:dPr>
                  <m:begChr m:val="("/>
                  <m:sepChr m:val=""/>
                  <m:endChr m:val=")"/>
                  <m:grow/>
                </m:dPr>
                <m:e>
                  <m:r>
                    <m:t>λ</m:t>
                  </m:r>
                </m:e>
              </m:d>
            </m:e>
          </m:d>
          <m:r>
            <m:rPr>
              <m:sty m:val="p"/>
            </m:rPr>
            <m:t>≈</m:t>
          </m:r>
          <m:r>
            <m:t>0</m:t>
          </m:r>
        </m:oMath>
      </m:oMathPara>
    </w:p>
    <w:p>
      <w:pPr>
        <w:pStyle w:val="Compact"/>
        <w:numPr>
          <w:ilvl w:val="0"/>
          <w:numId w:val="1004"/>
        </w:numPr>
      </w:pPr>
      <m:oMath>
        <m:sSup>
          <m:e>
            <m:r>
              <m:t>10</m:t>
            </m:r>
          </m:e>
          <m:sup>
            <m:r>
              <m:rPr>
                <m:sty m:val="p"/>
              </m:rPr>
              <m:t>−</m:t>
            </m:r>
            <m:r>
              <m:t>15</m:t>
            </m:r>
          </m:sup>
        </m:sSup>
      </m:oMath>
      <w:r>
        <w:t xml:space="preserve">: ruido numérico</w:t>
      </w:r>
    </w:p>
    <w:p>
      <w:pPr>
        <w:pStyle w:val="Compact"/>
        <w:numPr>
          <w:ilvl w:val="0"/>
          <w:numId w:val="1004"/>
        </w:numPr>
      </w:pPr>
      <m:oMath>
        <m:r>
          <m:rPr>
            <m:sty m:val="p"/>
          </m:rPr>
          <m:t>&gt;</m:t>
        </m:r>
        <m:sSup>
          <m:e>
            <m:r>
              <m:t>10</m:t>
            </m:r>
          </m:e>
          <m:sup>
            <m:r>
              <m:rPr>
                <m:sty m:val="p"/>
              </m:rPr>
              <m:t>−</m:t>
            </m:r>
            <m:r>
              <m:t>10</m:t>
            </m:r>
          </m:sup>
        </m:sSup>
      </m:oMath>
      <w:r>
        <w:t xml:space="preserve">: inestabilidad real</w:t>
      </w:r>
    </w:p>
    <w:p>
      <w:r>
        <w:pict>
          <v:rect style="width:0;height:1.5pt" o:hralign="center" o:hrstd="t" o:hr="t"/>
        </w:pict>
      </w:r>
    </w:p>
    <w:bookmarkEnd w:id="29"/>
    <w:bookmarkEnd w:id="30"/>
    <w:bookmarkStart w:id="33" w:name="pseudoinversa-de-moorepenrose"/>
    <w:p>
      <w:pPr>
        <w:pStyle w:val="Heading2"/>
      </w:pPr>
      <w:r>
        <w:t xml:space="preserve">4. Pseudoinversa de Moore–Penrose</w:t>
      </w:r>
    </w:p>
    <w:p>
      <w:pPr>
        <w:pStyle w:val="FirstParagraph"/>
      </w:pPr>
      <w:r>
        <w:t xml:space="preserve">Se reemplaza:</w:t>
      </w:r>
    </w:p>
    <w:p>
      <w:pPr>
        <w:pStyle w:val="BodyText"/>
      </w:pPr>
      <m:oMathPara>
        <m:oMathParaPr>
          <m:jc m:val="center"/>
        </m:oMathParaPr>
        <m:oMath>
          <m:sSubSup>
            <m:e>
              <m:r>
                <m:t>S</m:t>
              </m:r>
            </m:e>
            <m:sub>
              <m:r>
                <m:t>W</m:t>
              </m:r>
            </m:sub>
            <m:sup>
              <m:r>
                <m:rPr>
                  <m:sty m:val="p"/>
                </m:rPr>
                <m:t>−</m:t>
              </m:r>
              <m:r>
                <m:t>1</m:t>
              </m:r>
            </m:sup>
          </m:sSubSup>
          <m:r>
            <m:rPr>
              <m:sty m:val="p"/>
            </m:rPr>
            <m:t>→</m:t>
          </m:r>
          <m:sSubSup>
            <m:e>
              <m:r>
                <m:t>S</m:t>
              </m:r>
            </m:e>
            <m:sub>
              <m:r>
                <m:t>W</m:t>
              </m:r>
            </m:sub>
            <m:sup>
              <m:r>
                <m:rPr>
                  <m:sty m:val="p"/>
                </m:rPr>
                <m:t>+</m:t>
              </m:r>
            </m:sup>
          </m:sSubSup>
        </m:oMath>
      </m:oMathPara>
    </w:p>
    <w:p>
      <w:pPr>
        <w:pStyle w:val="FirstParagraph"/>
      </w:pPr>
      <w:r>
        <w:t xml:space="preserve">Usando SVD:</w:t>
      </w:r>
    </w:p>
    <w:p>
      <w:pPr>
        <w:pStyle w:val="BodyText"/>
      </w:pPr>
      <m:oMathPara>
        <m:oMathParaPr>
          <m:jc m:val="center"/>
        </m:oMathParaPr>
        <m:oMath>
          <m:sSub>
            <m:e>
              <m:r>
                <m:t>S</m:t>
              </m:r>
            </m:e>
            <m:sub>
              <m:r>
                <m:t>W</m:t>
              </m:r>
            </m:sub>
          </m:sSub>
          <m:r>
            <m:rPr>
              <m:sty m:val="p"/>
            </m:rPr>
            <m:t>=</m:t>
          </m:r>
          <m:r>
            <m:t>U</m:t>
          </m:r>
          <m:r>
            <m:t>Σ</m:t>
          </m:r>
          <m:sSup>
            <m:e>
              <m:r>
                <m:t>U</m:t>
              </m:r>
            </m:e>
            <m:sup>
              <m:r>
                <m:t>T</m:t>
              </m:r>
            </m:sup>
          </m:sSup>
        </m:oMath>
      </m:oMathPara>
    </w:p>
    <w:p>
      <w:pPr>
        <w:pStyle w:val="FirstParagraph"/>
      </w:pPr>
      <m:oMathPara>
        <m:oMathParaPr>
          <m:jc m:val="center"/>
        </m:oMathParaPr>
        <m:oMath>
          <m:sSubSup>
            <m:e>
              <m:r>
                <m:t>S</m:t>
              </m:r>
            </m:e>
            <m:sub>
              <m:r>
                <m:t>W</m:t>
              </m:r>
            </m:sub>
            <m:sup>
              <m:r>
                <m:rPr>
                  <m:sty m:val="p"/>
                </m:rPr>
                <m:t>+</m:t>
              </m:r>
            </m:sup>
          </m:sSubSup>
          <m:r>
            <m:rPr>
              <m:sty m:val="p"/>
            </m:rPr>
            <m:t>=</m:t>
          </m:r>
          <m:r>
            <m:t>U</m:t>
          </m:r>
          <m:sSup>
            <m:e>
              <m:r>
                <m:t>Σ</m:t>
              </m:r>
            </m:e>
            <m:sup>
              <m:r>
                <m:rPr>
                  <m:sty m:val="p"/>
                </m:rPr>
                <m:t>+</m:t>
              </m:r>
            </m:sup>
          </m:sSup>
          <m:sSup>
            <m:e>
              <m:r>
                <m:t>U</m:t>
              </m:r>
            </m:e>
            <m:sup>
              <m:r>
                <m:t>T</m:t>
              </m:r>
            </m:sup>
          </m:sSup>
        </m:oMath>
      </m:oMathPara>
    </w:p>
    <w:bookmarkStart w:id="31" w:name="ventajas"/>
    <w:p>
      <w:pPr>
        <w:pStyle w:val="Heading3"/>
      </w:pPr>
      <w:r>
        <w:t xml:space="preserve">Ventajas</w:t>
      </w:r>
    </w:p>
    <w:p>
      <w:pPr>
        <w:pStyle w:val="Compact"/>
        <w:numPr>
          <w:ilvl w:val="0"/>
          <w:numId w:val="1005"/>
        </w:numPr>
      </w:pPr>
      <w:r>
        <w:t xml:space="preserve">Permite invertir matrices singulares</w:t>
      </w:r>
    </w:p>
    <w:p>
      <w:pPr>
        <w:pStyle w:val="Compact"/>
        <w:numPr>
          <w:ilvl w:val="0"/>
          <w:numId w:val="1005"/>
        </w:numPr>
      </w:pPr>
      <w:r>
        <w:t xml:space="preserve">Extiende LDA al caso</w:t>
      </w:r>
      <w:r>
        <w:t xml:space="preserve"> </w:t>
      </w:r>
      <m:oMath>
        <m:r>
          <m:t>p</m:t>
        </m:r>
        <m:r>
          <m:rPr>
            <m:sty m:val="p"/>
          </m:rPr>
          <m:t>≫</m:t>
        </m:r>
        <m:r>
          <m:t>n</m:t>
        </m:r>
      </m:oMath>
    </w:p>
    <w:bookmarkEnd w:id="31"/>
    <w:bookmarkStart w:id="32" w:name="limitaciones"/>
    <w:p>
      <w:pPr>
        <w:pStyle w:val="Heading3"/>
      </w:pPr>
      <w:r>
        <w:t xml:space="preserve">Limitaciones</w:t>
      </w:r>
    </w:p>
    <w:p>
      <w:pPr>
        <w:pStyle w:val="Compact"/>
        <w:numPr>
          <w:ilvl w:val="0"/>
          <w:numId w:val="1006"/>
        </w:numPr>
      </w:pPr>
      <w:r>
        <w:t xml:space="preserve">No elimina la degeneración del problema</w:t>
      </w:r>
    </w:p>
    <w:p>
      <w:pPr>
        <w:pStyle w:val="Compact"/>
        <w:numPr>
          <w:ilvl w:val="0"/>
          <w:numId w:val="1006"/>
        </w:numPr>
      </w:pPr>
      <w:r>
        <w:t xml:space="preserve">Mantiene el espacio original completo</w:t>
      </w:r>
    </w:p>
    <w:p>
      <w:pPr>
        <w:pStyle w:val="Compact"/>
        <w:numPr>
          <w:ilvl w:val="0"/>
          <w:numId w:val="1006"/>
        </w:numPr>
      </w:pPr>
      <w:r>
        <w:t xml:space="preserve">Puede generar soluciones no únicas</w:t>
      </w:r>
    </w:p>
    <w:p>
      <w:r>
        <w:pict>
          <v:rect style="width:0;height:1.5pt" o:hralign="center" o:hrstd="t" o:hr="t"/>
        </w:pict>
      </w:r>
    </w:p>
    <w:bookmarkEnd w:id="32"/>
    <w:bookmarkEnd w:id="33"/>
    <w:bookmarkStart w:id="37" w:name="svd-y-blanqueamiento-whitening"/>
    <w:p>
      <w:pPr>
        <w:pStyle w:val="Heading2"/>
      </w:pPr>
      <w:r>
        <w:t xml:space="preserve">5. SVD y blanqueamiento (whitening)</w:t>
      </w:r>
    </w:p>
    <w:p>
      <w:pPr>
        <w:pStyle w:val="FirstParagraph"/>
      </w:pPr>
      <w:r>
        <w:t xml:space="preserve">Otra alternativa más estable es transformar el problema.</w:t>
      </w:r>
    </w:p>
    <w:bookmarkStart w:id="34" w:name="descomposición"/>
    <w:p>
      <w:pPr>
        <w:pStyle w:val="Heading3"/>
      </w:pPr>
      <w:r>
        <w:t xml:space="preserve">Descomposición</w:t>
      </w:r>
    </w:p>
    <w:p>
      <w:pPr>
        <w:pStyle w:val="FirstParagraph"/>
      </w:pPr>
      <m:oMathPara>
        <m:oMathParaPr>
          <m:jc m:val="center"/>
        </m:oMathParaPr>
        <m:oMath>
          <m:sSub>
            <m:e>
              <m:r>
                <m:t>S</m:t>
              </m:r>
            </m:e>
            <m:sub>
              <m:r>
                <m:t>W</m:t>
              </m:r>
            </m:sub>
          </m:sSub>
          <m:r>
            <m:rPr>
              <m:sty m:val="p"/>
            </m:rPr>
            <m:t>=</m:t>
          </m:r>
          <m:r>
            <m:t>U</m:t>
          </m:r>
          <m:r>
            <m:t>Σ</m:t>
          </m:r>
          <m:sSup>
            <m:e>
              <m:r>
                <m:t>U</m:t>
              </m:r>
            </m:e>
            <m:sup>
              <m:r>
                <m:t>T</m:t>
              </m:r>
            </m:sup>
          </m:sSup>
        </m:oMath>
      </m:oMathPara>
    </w:p>
    <w:bookmarkEnd w:id="34"/>
    <w:bookmarkStart w:id="35" w:name="transformación"/>
    <w:p>
      <w:pPr>
        <w:pStyle w:val="Heading3"/>
      </w:pPr>
      <w:r>
        <w:t xml:space="preserve">Transformación</w:t>
      </w:r>
    </w:p>
    <w:p>
      <w:pPr>
        <w:pStyle w:val="FirstParagraph"/>
      </w:pPr>
      <m:oMathPara>
        <m:oMathParaPr>
          <m:jc m:val="center"/>
        </m:oMathParaPr>
        <m:oMath>
          <m:sSub>
            <m:e>
              <m:r>
                <m:t>X</m:t>
              </m:r>
            </m:e>
            <m:sub>
              <m:r>
                <m:t>w</m:t>
              </m:r>
              <m:r>
                <m:t>h</m:t>
              </m:r>
              <m:r>
                <m:t>i</m:t>
              </m:r>
              <m:r>
                <m:t>t</m:t>
              </m:r>
              <m:r>
                <m:t>e</m:t>
              </m:r>
            </m:sub>
          </m:sSub>
          <m:r>
            <m:rPr>
              <m:sty m:val="p"/>
            </m:rPr>
            <m:t>=</m:t>
          </m:r>
          <m:sSup>
            <m:e>
              <m:r>
                <m:t>Σ</m:t>
              </m:r>
            </m:e>
            <m:sup>
              <m:r>
                <m:rPr>
                  <m:sty m:val="p"/>
                </m:rPr>
                <m:t>−</m:t>
              </m:r>
              <m:r>
                <m:t>1</m:t>
              </m:r>
              <m:r>
                <m:rPr>
                  <m:sty m:val="p"/>
                </m:rPr>
                <m:t>/</m:t>
              </m:r>
              <m:r>
                <m:t>2</m:t>
              </m:r>
            </m:sup>
          </m:sSup>
          <m:sSup>
            <m:e>
              <m:r>
                <m:t>U</m:t>
              </m:r>
            </m:e>
            <m:sup>
              <m:r>
                <m:t>T</m:t>
              </m:r>
            </m:sup>
          </m:sSup>
          <m:r>
            <m:t>X</m:t>
          </m:r>
        </m:oMath>
      </m:oMathPara>
    </w:p>
    <w:p>
      <w:pPr>
        <w:pStyle w:val="FirstParagraph"/>
      </w:pPr>
      <w:r>
        <w:t xml:space="preserve">Entonces:</w:t>
      </w:r>
    </w:p>
    <w:p>
      <w:pPr>
        <w:pStyle w:val="BodyText"/>
      </w:pPr>
      <m:oMathPara>
        <m:oMathParaPr>
          <m:jc m:val="center"/>
        </m:oMathParaPr>
        <m:oMath>
          <m:sSub>
            <m:e>
              <m:r>
                <m:t>S</m:t>
              </m:r>
            </m:e>
            <m:sub>
              <m:r>
                <m:t>W</m:t>
              </m:r>
            </m:sub>
          </m:sSub>
          <m:r>
            <m:rPr>
              <m:sty m:val="p"/>
            </m:rPr>
            <m:t>→</m:t>
          </m:r>
          <m:r>
            <m:t>I</m:t>
          </m:r>
        </m:oMath>
      </m:oMathPara>
    </w:p>
    <w:p>
      <w:pPr>
        <w:pStyle w:val="FirstParagraph"/>
      </w:pPr>
      <w:r>
        <w:t xml:space="preserve">y el problema se convierte en:</w:t>
      </w:r>
    </w:p>
    <w:p>
      <w:pPr>
        <w:pStyle w:val="BodyText"/>
      </w:pPr>
      <m:oMathPara>
        <m:oMathParaPr>
          <m:jc m:val="center"/>
        </m:oMathParaPr>
        <m:oMath>
          <m:sSubSup>
            <m:e>
              <m:r>
                <m:t>S</m:t>
              </m:r>
            </m:e>
            <m:sub>
              <m:r>
                <m:t>W</m:t>
              </m:r>
            </m:sub>
            <m:sup>
              <m:r>
                <m:rPr>
                  <m:sty m:val="p"/>
                </m:rPr>
                <m:t>−</m:t>
              </m:r>
              <m:r>
                <m:t>1</m:t>
              </m:r>
              <m:r>
                <m:rPr>
                  <m:sty m:val="p"/>
                </m:rPr>
                <m:t>/</m:t>
              </m:r>
              <m:r>
                <m:t>2</m:t>
              </m:r>
            </m:sup>
          </m:sSubSup>
          <m:sSub>
            <m:e>
              <m:r>
                <m:t>S</m:t>
              </m:r>
            </m:e>
            <m:sub>
              <m:r>
                <m:t>B</m:t>
              </m:r>
            </m:sub>
          </m:sSub>
          <m:sSubSup>
            <m:e>
              <m:r>
                <m:t>S</m:t>
              </m:r>
            </m:e>
            <m:sub>
              <m:r>
                <m:t>W</m:t>
              </m:r>
            </m:sub>
            <m:sup>
              <m:r>
                <m:rPr>
                  <m:sty m:val="p"/>
                </m:rPr>
                <m:t>−</m:t>
              </m:r>
              <m:r>
                <m:t>1</m:t>
              </m:r>
              <m:r>
                <m:rPr>
                  <m:sty m:val="p"/>
                </m:rPr>
                <m:t>/</m:t>
              </m:r>
              <m:r>
                <m:t>2</m:t>
              </m:r>
            </m:sup>
          </m:sSubSup>
        </m:oMath>
      </m:oMathPara>
    </w:p>
    <w:p>
      <w:r>
        <w:pict>
          <v:rect style="width:0;height:1.5pt" o:hralign="center" o:hrstd="t" o:hr="t"/>
        </w:pict>
      </w:r>
    </w:p>
    <w:bookmarkEnd w:id="35"/>
    <w:bookmarkStart w:id="36" w:name="ventajas-del-whitening"/>
    <w:p>
      <w:pPr>
        <w:pStyle w:val="Heading3"/>
      </w:pPr>
      <w:r>
        <w:t xml:space="preserve">Ventajas del whitening</w:t>
      </w:r>
    </w:p>
    <w:p>
      <w:pPr>
        <w:pStyle w:val="Compact"/>
        <w:numPr>
          <w:ilvl w:val="0"/>
          <w:numId w:val="1007"/>
        </w:numPr>
      </w:pPr>
      <w:r>
        <w:t xml:space="preserve">Matriz simétrica garantizada</w:t>
      </w:r>
    </w:p>
    <w:p>
      <w:pPr>
        <w:pStyle w:val="Compact"/>
        <w:numPr>
          <w:ilvl w:val="0"/>
          <w:numId w:val="1007"/>
        </w:numPr>
      </w:pPr>
      <w:r>
        <w:t xml:space="preserve">Autovalores reales</w:t>
      </w:r>
    </w:p>
    <w:p>
      <w:pPr>
        <w:pStyle w:val="Compact"/>
        <w:numPr>
          <w:ilvl w:val="0"/>
          <w:numId w:val="1007"/>
        </w:numPr>
      </w:pPr>
      <w:r>
        <w:t xml:space="preserve">Estabilidad numérica alta</w:t>
      </w:r>
    </w:p>
    <w:p>
      <w:pPr>
        <w:pStyle w:val="Compact"/>
        <w:numPr>
          <w:ilvl w:val="0"/>
          <w:numId w:val="1007"/>
        </w:numPr>
      </w:pPr>
      <w:r>
        <w:t xml:space="preserve">Eliminación de escalas redundantes</w:t>
      </w:r>
    </w:p>
    <w:p>
      <w:r>
        <w:pict>
          <v:rect style="width:0;height:1.5pt" o:hralign="center" o:hrstd="t" o:hr="t"/>
        </w:pict>
      </w:r>
    </w:p>
    <w:bookmarkEnd w:id="36"/>
    <w:bookmarkEnd w:id="37"/>
    <w:bookmarkStart w:id="38" w:name="implementación-en-masslda"/>
    <w:p>
      <w:pPr>
        <w:pStyle w:val="Heading2"/>
      </w:pPr>
      <w:r>
        <w:t xml:space="preserve">6. Implementación en MASS::lda</w:t>
      </w:r>
    </w:p>
    <w:p>
      <w:pPr>
        <w:pStyle w:val="FirstParagraph"/>
      </w:pPr>
      <w:r>
        <w:t xml:space="preserve">La implementación de LDA en R:</w:t>
      </w:r>
    </w:p>
    <w:p>
      <w:pPr>
        <w:pStyle w:val="BodyText"/>
      </w:pPr>
      <w:r>
        <w:t xml:space="preserve">:contentReference</w:t>
      </w:r>
      <w:r>
        <w:t xml:space="preserve">oaicite:0</w:t>
      </w:r>
    </w:p>
    <w:p>
      <w:pPr>
        <w:pStyle w:val="BodyText"/>
      </w:pPr>
      <w:r>
        <w:t xml:space="preserve">no calcula directamente</w:t>
      </w:r>
      <w:r>
        <w:t xml:space="preserve"> </w:t>
      </w:r>
      <m:oMath>
        <m:sSubSup>
          <m:e>
            <m:r>
              <m:t>S</m:t>
            </m:r>
          </m:e>
          <m:sub>
            <m:r>
              <m:t>W</m:t>
            </m:r>
          </m:sub>
          <m:sup>
            <m:r>
              <m:rPr>
                <m:sty m:val="p"/>
              </m:rPr>
              <m:t>−</m:t>
            </m:r>
            <m:r>
              <m:t>1</m:t>
            </m:r>
          </m:sup>
        </m:sSubSup>
        <m:sSub>
          <m:e>
            <m:r>
              <m:t>S</m:t>
            </m:r>
          </m:e>
          <m:sub>
            <m:r>
              <m:t>B</m:t>
            </m:r>
          </m:sub>
        </m:sSub>
      </m:oMath>
      <w:r>
        <w:t xml:space="preserve">.</w:t>
      </w:r>
    </w:p>
    <w:p>
      <w:pPr>
        <w:pStyle w:val="BodyText"/>
      </w:pPr>
      <w:r>
        <w:t xml:space="preserve">En su lugar:</w:t>
      </w:r>
    </w:p>
    <w:p>
      <w:pPr>
        <w:pStyle w:val="Compact"/>
        <w:numPr>
          <w:ilvl w:val="0"/>
          <w:numId w:val="1008"/>
        </w:numPr>
      </w:pPr>
      <w:r>
        <w:t xml:space="preserve">utiliza descomposición QR/SVD</w:t>
      </w:r>
    </w:p>
    <w:p>
      <w:pPr>
        <w:pStyle w:val="Compact"/>
        <w:numPr>
          <w:ilvl w:val="0"/>
          <w:numId w:val="1008"/>
        </w:numPr>
      </w:pPr>
      <w:r>
        <w:t xml:space="preserve">elimina direcciones de rango nulo</w:t>
      </w:r>
    </w:p>
    <w:p>
      <w:pPr>
        <w:pStyle w:val="Compact"/>
        <w:numPr>
          <w:ilvl w:val="0"/>
          <w:numId w:val="1008"/>
        </w:numPr>
      </w:pPr>
      <w:r>
        <w:t xml:space="preserve">proyecta datos en el subespacio de dimensión</w:t>
      </w:r>
      <w:r>
        <w:t xml:space="preserve"> </w:t>
      </w:r>
      <m:oMath>
        <m:r>
          <m:rPr>
            <m:sty m:val="p"/>
          </m:rPr>
          <m:t>≤</m:t>
        </m:r>
        <m:r>
          <m:t>K</m:t>
        </m:r>
        <m:r>
          <m:rPr>
            <m:sty m:val="p"/>
          </m:rPr>
          <m:t>−</m:t>
        </m:r>
        <m:r>
          <m:t>1</m:t>
        </m:r>
      </m:oMath>
    </w:p>
    <w:p>
      <w:pPr>
        <w:pStyle w:val="FirstParagraph"/>
      </w:pPr>
      <w:r>
        <w:t xml:space="preserve">Esto implica:</w:t>
      </w:r>
    </w:p>
    <w:p>
      <w:pPr>
        <w:pStyle w:val="BlockText"/>
      </w:pPr>
      <w:r>
        <w:t xml:space="preserve">El problema se resuelve en el subespacio donde</w:t>
      </w:r>
      <w:r>
        <w:t xml:space="preserve"> </w:t>
      </w:r>
      <m:oMath>
        <m:sSub>
          <m:e>
            <m:r>
              <m:t>S</m:t>
            </m:r>
          </m:e>
          <m:sub>
            <m:r>
              <m:t>W</m:t>
            </m:r>
          </m:sub>
        </m:sSub>
      </m:oMath>
      <w:r>
        <w:t xml:space="preserve"> </w:t>
      </w:r>
      <w:r>
        <w:t xml:space="preserve">es efectivamente invertible.</w:t>
      </w:r>
    </w:p>
    <w:p>
      <w:r>
        <w:pict>
          <v:rect style="width:0;height:1.5pt" o:hralign="center" o:hrstd="t" o:hr="t"/>
        </w:pict>
      </w:r>
    </w:p>
    <w:bookmarkEnd w:id="38"/>
    <w:bookmarkStart w:id="39" w:name="comparación-conceptual"/>
    <w:p>
      <w:pPr>
        <w:pStyle w:val="Heading2"/>
      </w:pPr>
      <w:r>
        <w:t xml:space="preserve">7. Comparación conceptual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Método</w:t>
            </w:r>
          </w:p>
        </w:tc>
        <w:tc>
          <w:tcPr/>
          <w:p>
            <w:pPr>
              <w:pStyle w:val="Compact"/>
            </w:pPr>
            <w:r>
              <w:t xml:space="preserve">Estrategia</w:t>
            </w:r>
          </w:p>
        </w:tc>
        <w:tc>
          <w:tcPr/>
          <w:p>
            <w:pPr>
              <w:pStyle w:val="Compact"/>
            </w:pPr>
            <w:r>
              <w:t xml:space="preserve">Manejo SSS</w:t>
            </w:r>
          </w:p>
        </w:tc>
        <w:tc>
          <w:tcPr/>
          <w:p>
            <w:pPr>
              <w:pStyle w:val="Compact"/>
            </w:pPr>
            <w:r>
              <w:t xml:space="preserve">Estabilidad</w:t>
            </w:r>
          </w:p>
        </w:tc>
      </w:tr>
      <w:tr>
        <w:tc>
          <w:tcPr/>
          <w:p>
            <w:pPr>
              <w:pStyle w:val="Compact"/>
            </w:pPr>
            <w:r>
              <w:t xml:space="preserve">LDA clásico</w:t>
            </w:r>
          </w:p>
        </w:tc>
        <w:tc>
          <w:tcPr/>
          <w:p>
            <w:pPr>
              <w:pStyle w:val="Compact"/>
            </w:pPr>
            <w:r>
              <w:t xml:space="preserve">Inversa directa</w:t>
            </w:r>
          </w:p>
        </w:tc>
        <w:tc>
          <w:tcPr/>
          <w:p>
            <w:pPr>
              <w:pStyle w:val="Compact"/>
            </w:pPr>
            <w:r>
              <w:t xml:space="preserve">No soporta</w:t>
            </w:r>
          </w:p>
        </w:tc>
        <w:tc>
          <w:tcPr/>
          <w:p>
            <w:pPr>
              <w:pStyle w:val="Compact"/>
            </w:pPr>
            <w:r>
              <w:t xml:space="preserve">Baja</w:t>
            </w:r>
          </w:p>
        </w:tc>
      </w:tr>
      <w:tr>
        <w:tc>
          <w:tcPr/>
          <w:p>
            <w:pPr>
              <w:pStyle w:val="Compact"/>
            </w:pPr>
            <w:r>
              <w:t xml:space="preserve">LDA + pseudoinversa</w:t>
            </w:r>
          </w:p>
        </w:tc>
        <w:tc>
          <w:tcPr/>
          <w:p>
            <w:pPr>
              <w:pStyle w:val="Compact"/>
            </w:pPr>
            <w:r>
              <w:t xml:space="preserve">Regularización algebraica</w:t>
            </w:r>
          </w:p>
        </w:tc>
        <w:tc>
          <w:tcPr/>
          <w:p>
            <w:pPr>
              <w:pStyle w:val="Compact"/>
            </w:pPr>
            <w:r>
              <w:t xml:space="preserve">Parcial</w:t>
            </w:r>
          </w:p>
        </w:tc>
        <w:tc>
          <w:tcPr/>
          <w:p>
            <w:pPr>
              <w:pStyle w:val="Compact"/>
            </w:pPr>
            <w:r>
              <w:t xml:space="preserve">Media</w:t>
            </w:r>
          </w:p>
        </w:tc>
      </w:tr>
      <w:tr>
        <w:tc>
          <w:tcPr/>
          <w:p>
            <w:pPr>
              <w:pStyle w:val="Compact"/>
            </w:pPr>
            <w:r>
              <w:t xml:space="preserve">LDA + SVD / whitening (MASS)</w:t>
            </w:r>
          </w:p>
        </w:tc>
        <w:tc>
          <w:tcPr/>
          <w:p>
            <w:pPr>
              <w:pStyle w:val="Compact"/>
            </w:pPr>
            <w:r>
              <w:t xml:space="preserve">Reducción de subespacio</w:t>
            </w:r>
          </w:p>
        </w:tc>
        <w:tc>
          <w:tcPr/>
          <w:p>
            <w:pPr>
              <w:pStyle w:val="Compact"/>
            </w:pPr>
            <w:r>
              <w:t xml:space="preserve">Sí</w:t>
            </w:r>
          </w:p>
        </w:tc>
        <w:tc>
          <w:tcPr/>
          <w:p>
            <w:pPr>
              <w:pStyle w:val="Compact"/>
            </w:pPr>
            <w:r>
              <w:t xml:space="preserve">Alta</w:t>
            </w:r>
          </w:p>
        </w:tc>
      </w:tr>
    </w:tbl>
    <w:p>
      <w:r>
        <w:pict>
          <v:rect style="width:0;height:1.5pt" o:hralign="center" o:hrstd="t" o:hr="t"/>
        </w:pict>
      </w:r>
    </w:p>
    <w:bookmarkEnd w:id="39"/>
    <w:bookmarkStart w:id="40" w:name="conclusión"/>
    <w:p>
      <w:pPr>
        <w:pStyle w:val="Heading2"/>
      </w:pPr>
      <w:r>
        <w:t xml:space="preserve">8. Conclusión</w:t>
      </w:r>
    </w:p>
    <w:p>
      <w:pPr>
        <w:pStyle w:val="FirstParagraph"/>
      </w:pPr>
      <w:r>
        <w:t xml:space="preserve">El problema del LDA clásico no es únicamente de inversión matricial, sino de estructura geométrica del espacio de datos.</w:t>
      </w:r>
    </w:p>
    <w:p>
      <w:pPr>
        <w:pStyle w:val="BodyText"/>
      </w:pPr>
      <w:r>
        <w:t xml:space="preserve">Las soluciones modernas no</w:t>
      </w:r>
      <w:r>
        <w:t xml:space="preserve"> </w:t>
      </w:r>
      <w:r>
        <w:t xml:space="preserve">“corrigen”</w:t>
      </w:r>
      <w:r>
        <w:t xml:space="preserve"> </w:t>
      </w:r>
      <w:r>
        <w:t xml:space="preserve">el método clásico, sino que:</w:t>
      </w:r>
    </w:p>
    <w:p>
      <w:pPr>
        <w:pStyle w:val="BlockText"/>
      </w:pPr>
      <w:r>
        <w:t xml:space="preserve">reformulan el problema en un subespacio donde la solución es computable y estable.</w:t>
      </w:r>
    </w:p>
    <w:p>
      <w:pPr>
        <w:pStyle w:val="FirstParagraph"/>
      </w:pPr>
      <w:r>
        <w:t xml:space="preserve">En particular:</w:t>
      </w:r>
    </w:p>
    <w:p>
      <w:pPr>
        <w:pStyle w:val="Compact"/>
        <w:numPr>
          <w:ilvl w:val="0"/>
          <w:numId w:val="1009"/>
        </w:numPr>
      </w:pPr>
      <w:r>
        <w:t xml:space="preserve">la pseudoinversa extiende el método a matrices singulares</w:t>
      </w:r>
    </w:p>
    <w:p>
      <w:pPr>
        <w:pStyle w:val="Compact"/>
        <w:numPr>
          <w:ilvl w:val="0"/>
          <w:numId w:val="1009"/>
        </w:numPr>
      </w:pPr>
      <w:r>
        <w:t xml:space="preserve">SVD y whitening estabilizan la geometría del problema</w:t>
      </w:r>
    </w:p>
    <w:p>
      <w:pPr>
        <w:pStyle w:val="Compact"/>
        <w:numPr>
          <w:ilvl w:val="0"/>
          <w:numId w:val="1009"/>
        </w:numPr>
      </w:pPr>
      <w:r>
        <w:t xml:space="preserve">MASS::lda evita la inversión directa y trabaja en el subespacio de rango efectivo</w:t>
      </w:r>
    </w:p>
    <w:p>
      <w:r>
        <w:pict>
          <v:rect style="width:0;height:1.5pt" o:hralign="center" o:hrstd="t" o:hr="t"/>
        </w:pict>
      </w:r>
    </w:p>
    <w:bookmarkEnd w:id="40"/>
    <w:bookmarkStart w:id="41" w:name="interpretación-final"/>
    <w:p>
      <w:pPr>
        <w:pStyle w:val="Heading2"/>
      </w:pPr>
      <w:r>
        <w:t xml:space="preserve">9. Interpretación final</w:t>
      </w:r>
    </w:p>
    <w:p>
      <w:pPr>
        <w:pStyle w:val="FirstParagraph"/>
      </w:pPr>
      <w:r>
        <w:t xml:space="preserve">El fenómeno SSS no es un error de implementación, sino una propiedad inherente a los problemas de alta dimensionalidad.</w:t>
      </w:r>
    </w:p>
    <w:p>
      <w:pPr>
        <w:pStyle w:val="BodyText"/>
      </w:pPr>
      <w:r>
        <w:t xml:space="preserve">Por ello, la diferencia entre el LDA clásico y implementaciones robustas como MASS::lda no es solo numérica, sino estructural y geométrica.</w:t>
      </w:r>
    </w:p>
    <w:p>
      <w:r>
        <w:br w:type="page"/>
      </w:r>
    </w:p>
    <w:bookmarkEnd w:id="41"/>
    <w:bookmarkEnd w:id="42"/>
    <w:bookmarkStart w:id="72" w:name="kernel-fisher-discriminant-analysis-kfda"/>
    <w:p>
      <w:pPr>
        <w:pStyle w:val="Heading1"/>
      </w:pPr>
      <w:r>
        <w:t xml:space="preserve">Kernel Fisher Discriminant Analysis (KFDA)</w:t>
      </w:r>
    </w:p>
    <w:bookmarkStart w:id="43" w:name="motivación"/>
    <w:p>
      <w:pPr>
        <w:pStyle w:val="Heading2"/>
      </w:pPr>
      <w:r>
        <w:t xml:space="preserve">1. Motivación</w:t>
      </w:r>
    </w:p>
    <w:p>
      <w:pPr>
        <w:pStyle w:val="FirstParagraph"/>
      </w:pPr>
      <w:r>
        <w:t xml:space="preserve">El Análisis Discriminante Lineal (LDA) busca encontrar una combinación lineal de variables que maximice la separación entre clases respecto a la variabilidad intra-clase.</w:t>
      </w:r>
    </w:p>
    <w:p>
      <w:pPr>
        <w:pStyle w:val="BodyText"/>
      </w:pPr>
      <w:r>
        <w:t xml:space="preserve">Sin embargo, LDA presenta una limitación fundamental:</w:t>
      </w:r>
    </w:p>
    <w:p>
      <w:pPr>
        <w:pStyle w:val="BlockText"/>
      </w:pPr>
      <w:r>
        <w:t xml:space="preserve">Sólo puede encontrar estructuras discriminantes lineales en el espacio original de variables.</w:t>
      </w:r>
    </w:p>
    <w:p>
      <w:pPr>
        <w:pStyle w:val="FirstParagraph"/>
      </w:pPr>
      <w:r>
        <w:t xml:space="preserve">Cuando las clases presentan fronteras no lineales, LDA puede fallar incluso si las clases son perfectamente separables mediante una transformación adecuada del espacio.</w:t>
      </w:r>
    </w:p>
    <w:p>
      <w:r>
        <w:pict>
          <v:rect style="width:0;height:1.5pt" o:hralign="center" o:hrstd="t" o:hr="t"/>
        </w:pict>
      </w:r>
    </w:p>
    <w:bookmarkEnd w:id="43"/>
    <w:bookmarkStart w:id="45" w:name="idea-fundamental-de-los-métodos-kernel"/>
    <w:p>
      <w:pPr>
        <w:pStyle w:val="Heading2"/>
      </w:pPr>
      <w:r>
        <w:t xml:space="preserve">2. Idea fundamental de los métodos kernel</w:t>
      </w:r>
    </w:p>
    <w:p>
      <w:pPr>
        <w:pStyle w:val="FirstParagraph"/>
      </w:pPr>
      <w:r>
        <w:t xml:space="preserve">La idea consiste en transformar implícitamente los datos originales</w:t>
      </w:r>
    </w:p>
    <w:p>
      <w:pPr>
        <w:pStyle w:val="BodyText"/>
      </w:pPr>
      <w:r>
        <w:t xml:space="preserve">[</w:t>
      </w:r>
      <w:r>
        <w:t xml:space="preserve"> </w:t>
      </w:r>
      <w:r>
        <w:t xml:space="preserve">x</w:t>
      </w:r>
      <w:r>
        <w:t xml:space="preserve"> </w:t>
      </w:r>
      <w:r>
        <w:t xml:space="preserve">^p]</w:t>
      </w:r>
    </w:p>
    <w:p>
      <w:pPr>
        <w:pStyle w:val="BodyText"/>
      </w:pPr>
      <w:r>
        <w:t xml:space="preserve">a un espacio de características de mayor dimensión</w:t>
      </w:r>
    </w:p>
    <w:p>
      <w:pPr>
        <w:pStyle w:val="BodyText"/>
      </w:pPr>
      <w:r>
        <w:t xml:space="preserve">[</w:t>
      </w:r>
      <w:r>
        <w:t xml:space="preserve"> </w:t>
      </w:r>
      <w:r>
        <w:t xml:space="preserve">(x)</w:t>
      </w:r>
      <w:r>
        <w:t xml:space="preserve"> </w:t>
      </w:r>
      <w:r>
        <w:t xml:space="preserve">]</w:t>
      </w:r>
    </w:p>
    <w:p>
      <w:pPr>
        <w:pStyle w:val="BodyText"/>
      </w:pPr>
      <w:r>
        <w:t xml:space="preserve">donde:</w:t>
      </w:r>
    </w:p>
    <w:p>
      <w:pPr>
        <w:pStyle w:val="Compact"/>
        <w:numPr>
          <w:ilvl w:val="0"/>
          <w:numId w:val="1010"/>
        </w:numPr>
      </w:pPr>
      <w:r>
        <w:t xml:space="preserve">(</w:t>
      </w:r>
      <w:r>
        <w:t xml:space="preserve">) puede tener dimensión muy alta;</w:t>
      </w:r>
    </w:p>
    <w:p>
      <w:pPr>
        <w:pStyle w:val="Compact"/>
        <w:numPr>
          <w:ilvl w:val="0"/>
          <w:numId w:val="1010"/>
        </w:numPr>
      </w:pPr>
      <w:r>
        <w:t xml:space="preserve">incluso puede ser un espacio de dimensión infinita.</w:t>
      </w:r>
    </w:p>
    <w:p>
      <w:pPr>
        <w:pStyle w:val="FirstParagraph"/>
      </w:pPr>
      <w:r>
        <w:t xml:space="preserve">En este nuevo espacio, estructuras no lineales pueden volverse linealmente separables.</w:t>
      </w:r>
    </w:p>
    <w:p>
      <w:r>
        <w:pict>
          <v:rect style="width:0;height:1.5pt" o:hralign="center" o:hrstd="t" o:hr="t"/>
        </w:pict>
      </w:r>
    </w:p>
    <w:bookmarkStart w:id="44" w:name="ejemplo-conceptual"/>
    <w:p>
      <w:pPr>
        <w:pStyle w:val="Heading3"/>
      </w:pPr>
      <w:r>
        <w:t xml:space="preserve">Ejemplo conceptual</w:t>
      </w:r>
    </w:p>
    <w:p>
      <w:pPr>
        <w:pStyle w:val="FirstParagraph"/>
      </w:pPr>
      <w:r>
        <w:t xml:space="preserve">Considérese un problema donde una clase se encuentra dentro de un círculo y otra clase forma un anillo exterior.</w:t>
      </w:r>
    </w:p>
    <w:p>
      <w:pPr>
        <w:pStyle w:val="BodyText"/>
      </w:pPr>
      <w:r>
        <w:t xml:space="preserve">En el espacio original no existe ninguna recta capaz de separar ambas clases.</w:t>
      </w:r>
    </w:p>
    <w:p>
      <w:pPr>
        <w:pStyle w:val="BodyText"/>
      </w:pPr>
      <w:r>
        <w:t xml:space="preserve">Sin embargo, mediante una transformación apropiada:</w:t>
      </w:r>
    </w:p>
    <w:p>
      <w:pPr>
        <w:pStyle w:val="BodyText"/>
      </w:pPr>
      <w:r>
        <w:t xml:space="preserve">[</w:t>
      </w:r>
      <w:r>
        <w:t xml:space="preserve"> </w:t>
      </w:r>
      <w:r>
        <w:t xml:space="preserve">(x)</w:t>
      </w:r>
      <w:r>
        <w:t xml:space="preserve"> </w:t>
      </w:r>
      <w:r>
        <w:t xml:space="preserve">=======</w:t>
      </w:r>
    </w:p>
    <w:p>
      <w:pPr>
        <w:pStyle w:val="BodyText"/>
      </w:pPr>
      <w:r>
        <w:t xml:space="preserve">(x_1</w:t>
      </w:r>
      <w:r>
        <w:rPr>
          <w:vertAlign w:val="superscript"/>
        </w:rPr>
        <w:t xml:space="preserve">2,</w:t>
      </w:r>
      <w:r>
        <w:rPr>
          <w:vertAlign w:val="superscript"/>
        </w:rPr>
        <w:t xml:space="preserve">x_1x_2,x_2</w:t>
      </w:r>
      <w:r>
        <w:t xml:space="preserve">2)</w:t>
      </w:r>
      <w:r>
        <w:t xml:space="preserve"> </w:t>
      </w:r>
      <w:r>
        <w:t xml:space="preserve">]</w:t>
      </w:r>
    </w:p>
    <w:p>
      <w:pPr>
        <w:pStyle w:val="BodyText"/>
      </w:pPr>
      <w:r>
        <w:t xml:space="preserve">la frontera circular puede transformarse en una separación lineal dentro del espacio de características.</w:t>
      </w:r>
    </w:p>
    <w:p>
      <w:r>
        <w:pict>
          <v:rect style="width:0;height:1.5pt" o:hralign="center" o:hrstd="t" o:hr="t"/>
        </w:pict>
      </w:r>
    </w:p>
    <w:bookmarkEnd w:id="44"/>
    <w:bookmarkEnd w:id="45"/>
    <w:bookmarkStart w:id="46" w:name="el-kernel-trick"/>
    <w:p>
      <w:pPr>
        <w:pStyle w:val="Heading2"/>
      </w:pPr>
      <w:r>
        <w:t xml:space="preserve">3. El Kernel Trick</w:t>
      </w:r>
    </w:p>
    <w:p>
      <w:pPr>
        <w:pStyle w:val="FirstParagraph"/>
      </w:pPr>
      <w:r>
        <w:t xml:space="preserve">Construir explícitamente (</w:t>
      </w:r>
      <w:r>
        <w:t xml:space="preserve">(x)) puede resultar computacionalmente imposible.</w:t>
      </w:r>
    </w:p>
    <w:p>
      <w:pPr>
        <w:pStyle w:val="BodyText"/>
      </w:pPr>
      <w:r>
        <w:t xml:space="preserve">Para evitarlo se utiliza una función kernel definida como:</w:t>
      </w:r>
    </w:p>
    <w:p>
      <w:pPr>
        <w:pStyle w:val="BodyText"/>
      </w:pPr>
      <w:r>
        <w:t xml:space="preserve">[</w:t>
      </w:r>
      <w:r>
        <w:t xml:space="preserve"> </w:t>
      </w:r>
      <w:r>
        <w:t xml:space="preserve">K(x_i,x_j)</w:t>
      </w:r>
      <w:r>
        <w:t xml:space="preserve"> </w:t>
      </w:r>
      <w:r>
        <w:t xml:space="preserve">==========</w:t>
      </w:r>
    </w:p>
    <w:p>
      <w:pPr>
        <w:pStyle w:val="BodyText"/>
      </w:pPr>
      <w:r>
        <w:t xml:space="preserve">(x_i),</w:t>
      </w:r>
      <w:r>
        <w:t xml:space="preserve"> </w:t>
      </w:r>
      <w:r>
        <w:t xml:space="preserve">(x_j)</w:t>
      </w:r>
      <w:r>
        <w:t xml:space="preserve"> </w:t>
      </w:r>
      <w:r>
        <w:t xml:space="preserve">.</w:t>
      </w:r>
      <w:r>
        <w:t xml:space="preserve"> </w:t>
      </w:r>
      <w:r>
        <w:t xml:space="preserve">]</w:t>
      </w:r>
    </w:p>
    <w:p>
      <w:pPr>
        <w:pStyle w:val="BodyText"/>
      </w:pPr>
      <w:r>
        <w:t xml:space="preserve">El kernel permite calcular productos internos en el espacio transformado sin construir explícitamente (</w:t>
      </w:r>
      <w:r>
        <w:t xml:space="preserve">(x)).</w:t>
      </w:r>
    </w:p>
    <w:p>
      <w:pPr>
        <w:pStyle w:val="BodyText"/>
      </w:pPr>
      <w:r>
        <w:t xml:space="preserve">Este resultado es conocido como:</w:t>
      </w:r>
    </w:p>
    <w:p>
      <w:pPr>
        <w:pStyle w:val="BlockText"/>
      </w:pPr>
      <w:r>
        <w:rPr>
          <w:b/>
          <w:bCs/>
        </w:rPr>
        <w:t xml:space="preserve">Kernel Trick</w:t>
      </w:r>
    </w:p>
    <w:p>
      <w:r>
        <w:pict>
          <v:rect style="width:0;height:1.5pt" o:hralign="center" o:hrstd="t" o:hr="t"/>
        </w:pict>
      </w:r>
    </w:p>
    <w:bookmarkEnd w:id="46"/>
    <w:bookmarkStart w:id="50" w:name="kernels-más-utilizados"/>
    <w:p>
      <w:pPr>
        <w:pStyle w:val="Heading2"/>
      </w:pPr>
      <w:r>
        <w:t xml:space="preserve">4. Kernels más utilizados</w:t>
      </w:r>
    </w:p>
    <w:bookmarkStart w:id="47" w:name="kernel-lineal"/>
    <w:p>
      <w:pPr>
        <w:pStyle w:val="Heading3"/>
      </w:pPr>
      <w:r>
        <w:t xml:space="preserve">Kernel lineal</w:t>
      </w:r>
    </w:p>
    <w:p>
      <w:pPr>
        <w:pStyle w:val="FirstParagraph"/>
      </w:pPr>
      <w:r>
        <w:t xml:space="preserve">[</w:t>
      </w:r>
      <w:r>
        <w:t xml:space="preserve"> </w:t>
      </w:r>
      <w:r>
        <w:t xml:space="preserve">K(x,y)=x^Ty]</w:t>
      </w:r>
    </w:p>
    <w:p>
      <w:pPr>
        <w:pStyle w:val="BodyText"/>
      </w:pPr>
      <w:r>
        <w:t xml:space="preserve">Equivale al caso clásico de LDA.</w:t>
      </w:r>
    </w:p>
    <w:p>
      <w:r>
        <w:pict>
          <v:rect style="width:0;height:1.5pt" o:hralign="center" o:hrstd="t" o:hr="t"/>
        </w:pict>
      </w:r>
    </w:p>
    <w:bookmarkEnd w:id="47"/>
    <w:bookmarkStart w:id="48" w:name="kernel-polinomial"/>
    <w:p>
      <w:pPr>
        <w:pStyle w:val="Heading3"/>
      </w:pPr>
      <w:r>
        <w:t xml:space="preserve">Kernel polinomial</w:t>
      </w:r>
    </w:p>
    <w:p>
      <w:pPr>
        <w:pStyle w:val="FirstParagraph"/>
      </w:pPr>
      <w:r>
        <w:t xml:space="preserve">[</w:t>
      </w:r>
      <w:r>
        <w:t xml:space="preserve"> </w:t>
      </w:r>
      <w:r>
        <w:t xml:space="preserve">K(x,y)</w:t>
      </w:r>
      <w:r>
        <w:t xml:space="preserve"> </w:t>
      </w:r>
      <w:r>
        <w:t xml:space="preserve">======</w:t>
      </w:r>
    </w:p>
    <w:p>
      <w:pPr>
        <w:pStyle w:val="BodyText"/>
      </w:pPr>
      <w:r>
        <w:t xml:space="preserve">(x</w:t>
      </w:r>
      <w:r>
        <w:rPr>
          <w:vertAlign w:val="superscript"/>
        </w:rPr>
        <w:t xml:space="preserve">Ty+c)</w:t>
      </w:r>
      <w:r>
        <w:t xml:space="preserve">d</w:t>
      </w:r>
      <w:r>
        <w:t xml:space="preserve"> </w:t>
      </w:r>
      <w:r>
        <w:t xml:space="preserve">]</w:t>
      </w:r>
    </w:p>
    <w:p>
      <w:pPr>
        <w:pStyle w:val="BodyText"/>
      </w:pPr>
      <w:r>
        <w:t xml:space="preserve">donde:</w:t>
      </w:r>
    </w:p>
    <w:p>
      <w:pPr>
        <w:pStyle w:val="Compact"/>
        <w:numPr>
          <w:ilvl w:val="0"/>
          <w:numId w:val="1011"/>
        </w:numPr>
      </w:pPr>
    </w:p>
    <w:p>
      <w:pPr>
        <w:pStyle w:val="Compact"/>
        <w:numPr>
          <w:ilvl w:val="1"/>
          <w:numId w:val="1012"/>
        </w:numPr>
      </w:pPr>
      <w:r>
        <w:t xml:space="preserve">es una constante;</w:t>
      </w:r>
    </w:p>
    <w:p>
      <w:pPr>
        <w:pStyle w:val="Compact"/>
        <w:numPr>
          <w:ilvl w:val="0"/>
          <w:numId w:val="1011"/>
        </w:numPr>
      </w:pPr>
    </w:p>
    <w:p>
      <w:pPr>
        <w:pStyle w:val="Compact"/>
        <w:numPr>
          <w:ilvl w:val="1"/>
          <w:numId w:val="1013"/>
        </w:numPr>
      </w:pPr>
      <w:r>
        <w:t xml:space="preserve">es el grado del polinomio.</w:t>
      </w:r>
    </w:p>
    <w:p>
      <w:r>
        <w:pict>
          <v:rect style="width:0;height:1.5pt" o:hralign="center" o:hrstd="t" o:hr="t"/>
        </w:pict>
      </w:r>
    </w:p>
    <w:bookmarkEnd w:id="48"/>
    <w:bookmarkStart w:id="49" w:name="kernel-gaussiano-rbf"/>
    <w:p>
      <w:pPr>
        <w:pStyle w:val="Heading3"/>
      </w:pPr>
      <w:r>
        <w:t xml:space="preserve">Kernel Gaussiano (RBF)</w:t>
      </w:r>
    </w:p>
    <w:p>
      <w:pPr>
        <w:pStyle w:val="FirstParagraph"/>
      </w:pPr>
      <w:r>
        <w:t xml:space="preserve">[</w:t>
      </w:r>
      <w:r>
        <w:t xml:space="preserve"> </w:t>
      </w:r>
      <w:r>
        <w:t xml:space="preserve">K(x,y)</w:t>
      </w:r>
      <w:r>
        <w:t xml:space="preserve"> </w:t>
      </w:r>
      <w:r>
        <w:t xml:space="preserve">======</w:t>
      </w:r>
    </w:p>
    <w:p>
      <w:pPr>
        <w:pStyle w:val="BodyText"/>
      </w:pPr>
      <w:r>
        <w:t xml:space="preserve">(</w:t>
      </w:r>
      <w:r>
        <w:t xml:space="preserve"> </w:t>
      </w:r>
      <w:r>
        <w:t xml:space="preserve">-</w:t>
      </w:r>
      <w:r>
        <w:t xml:space="preserve"> </w:t>
      </w:r>
      <w:r>
        <w:t xml:space="preserve">)</w:t>
      </w:r>
      <w:r>
        <w:t xml:space="preserve"> </w:t>
      </w:r>
      <w:r>
        <w:t xml:space="preserve">]</w:t>
      </w:r>
    </w:p>
    <w:p>
      <w:pPr>
        <w:pStyle w:val="BodyText"/>
      </w:pPr>
      <w:r>
        <w:t xml:space="preserve">Es uno de los kernels más utilizados debido a su capacidad para modelar fronteras altamente no lineales.</w:t>
      </w:r>
    </w:p>
    <w:p>
      <w:r>
        <w:pict>
          <v:rect style="width:0;height:1.5pt" o:hralign="center" o:hrstd="t" o:hr="t"/>
        </w:pict>
      </w:r>
    </w:p>
    <w:bookmarkEnd w:id="49"/>
    <w:bookmarkEnd w:id="50"/>
    <w:bookmarkStart w:id="53" w:name="Xaf88ad1ec12359e9034814bbb55ff50261b9dd0"/>
    <w:p>
      <w:pPr>
        <w:pStyle w:val="Heading2"/>
      </w:pPr>
      <w:r>
        <w:t xml:space="preserve">5. Formulación de Fisher en el espacio kernel</w:t>
      </w:r>
    </w:p>
    <w:p>
      <w:pPr>
        <w:pStyle w:val="FirstParagraph"/>
      </w:pPr>
      <w:r>
        <w:t xml:space="preserve">En lugar de trabajar directamente con los datos originales, KFDA aplica el criterio de Fisher en el espacio transformado.</w:t>
      </w:r>
    </w:p>
    <w:p>
      <w:pPr>
        <w:pStyle w:val="BodyText"/>
      </w:pPr>
      <w:r>
        <w:t xml:space="preserve">Se definen:</w:t>
      </w:r>
    </w:p>
    <w:bookmarkStart w:id="51" w:name="dispersión-intra-clase-1"/>
    <w:p>
      <w:pPr>
        <w:pStyle w:val="Heading3"/>
      </w:pPr>
      <w:r>
        <w:t xml:space="preserve">Dispersión intra-clase</w:t>
      </w:r>
    </w:p>
    <w:p>
      <w:pPr>
        <w:pStyle w:val="FirstParagraph"/>
      </w:pPr>
      <w:r>
        <w:t xml:space="preserve">[</w:t>
      </w:r>
      <w:r>
        <w:t xml:space="preserve"> </w:t>
      </w:r>
      <w:r>
        <w:t xml:space="preserve">S_W^</w:t>
      </w:r>
      <w:r>
        <w:t xml:space="preserve">]</w:t>
      </w:r>
    </w:p>
    <w:bookmarkEnd w:id="51"/>
    <w:bookmarkStart w:id="52" w:name="dispersión-entre-clases-1"/>
    <w:p>
      <w:pPr>
        <w:pStyle w:val="Heading3"/>
      </w:pPr>
      <w:r>
        <w:t xml:space="preserve">Dispersión entre clases</w:t>
      </w:r>
    </w:p>
    <w:p>
      <w:pPr>
        <w:pStyle w:val="FirstParagraph"/>
      </w:pPr>
      <w:r>
        <w:t xml:space="preserve">[</w:t>
      </w:r>
      <w:r>
        <w:t xml:space="preserve"> </w:t>
      </w:r>
      <w:r>
        <w:t xml:space="preserve">S_B^</w:t>
      </w:r>
      <w:r>
        <w:t xml:space="preserve">]</w:t>
      </w:r>
    </w:p>
    <w:p>
      <w:pPr>
        <w:pStyle w:val="BodyText"/>
      </w:pPr>
      <w:r>
        <w:t xml:space="preserve">calculadas utilizando las representaciones (</w:t>
      </w:r>
      <w:r>
        <w:t xml:space="preserve">(x)).</w:t>
      </w:r>
    </w:p>
    <w:p>
      <w:pPr>
        <w:pStyle w:val="BodyText"/>
      </w:pPr>
      <w:r>
        <w:t xml:space="preserve">El criterio de optimización es:</w:t>
      </w:r>
    </w:p>
    <w:p>
      <w:pPr>
        <w:pStyle w:val="BodyText"/>
      </w:pPr>
      <w:r>
        <w:t xml:space="preserve">[</w:t>
      </w:r>
      <w:r>
        <w:t xml:space="preserve"> </w:t>
      </w:r>
      <w:r>
        <w:t xml:space="preserve">J(w)</w:t>
      </w:r>
      <w:r>
        <w:t xml:space="preserve"> </w:t>
      </w:r>
      <w:r>
        <w:t xml:space="preserve">====</w:t>
      </w:r>
    </w:p>
    <w:p>
      <w:pPr>
        <w:pStyle w:val="BodyText"/>
      </w:pPr>
      <w:r>
        <w:t xml:space="preserve">{w^T S_W^</w:t>
      </w:r>
      <w:r>
        <w:t xml:space="preserve">w}.</w:t>
      </w:r>
      <w:r>
        <w:t xml:space="preserve"> </w:t>
      </w:r>
      <w:r>
        <w:t xml:space="preserve">]</w:t>
      </w:r>
    </w:p>
    <w:p>
      <w:r>
        <w:pict>
          <v:rect style="width:0;height:1.5pt" o:hralign="center" o:hrstd="t" o:hr="t"/>
        </w:pict>
      </w:r>
    </w:p>
    <w:bookmarkEnd w:id="52"/>
    <w:bookmarkEnd w:id="53"/>
    <w:bookmarkStart w:id="54" w:name="teorema-del-representante"/>
    <w:p>
      <w:pPr>
        <w:pStyle w:val="Heading2"/>
      </w:pPr>
      <w:r>
        <w:t xml:space="preserve">6. Teorema del Representante</w:t>
      </w:r>
    </w:p>
    <w:p>
      <w:pPr>
        <w:pStyle w:val="FirstParagraph"/>
      </w:pPr>
      <w:r>
        <w:t xml:space="preserve">Un resultado fundamental establece que la solución óptima siempre puede escribirse como una combinación lineal de las muestras de entrenamiento:</w:t>
      </w:r>
    </w:p>
    <w:p>
      <w:pPr>
        <w:pStyle w:val="BodyText"/>
      </w:pPr>
      <w:r>
        <w:t xml:space="preserve">[</w:t>
      </w:r>
      <w:r>
        <w:t xml:space="preserve"> </w:t>
      </w:r>
      <w:r>
        <w:t xml:space="preserve">w</w:t>
      </w:r>
      <w:r>
        <w:t xml:space="preserve"> </w:t>
      </w:r>
      <w:r>
        <w:t xml:space="preserve">=</w:t>
      </w:r>
    </w:p>
    <w:p>
      <w:pPr>
        <w:pStyle w:val="BodyText"/>
      </w:pPr>
      <w:r>
        <w:t xml:space="preserve">_{i=1}^{n}</w:t>
      </w:r>
      <w:r>
        <w:t xml:space="preserve"> </w:t>
      </w:r>
      <w:r>
        <w:t xml:space="preserve">_i</w:t>
      </w:r>
      <w:r>
        <w:t xml:space="preserve"> </w:t>
      </w:r>
      <w:r>
        <w:t xml:space="preserve">(x_i).</w:t>
      </w:r>
      <w:r>
        <w:t xml:space="preserve"> </w:t>
      </w:r>
      <w:r>
        <w:t xml:space="preserve">]</w:t>
      </w:r>
    </w:p>
    <w:p>
      <w:pPr>
        <w:pStyle w:val="BodyText"/>
      </w:pPr>
      <w:r>
        <w:t xml:space="preserve">Por lo tanto, en lugar de buscar directamente (w), basta encontrar los coeficientes</w:t>
      </w:r>
    </w:p>
    <w:p>
      <w:pPr>
        <w:pStyle w:val="BodyText"/>
      </w:pPr>
      <w:r>
        <w:t xml:space="preserve">[</w:t>
      </w:r>
      <w:r>
        <w:t xml:space="preserve"> </w:t>
      </w:r>
      <w:r>
        <w:t xml:space="preserve"> </w:t>
      </w:r>
      <w:r>
        <w:t xml:space="preserve">======</w:t>
      </w:r>
    </w:p>
    <w:p>
      <w:pPr>
        <w:pStyle w:val="BodyText"/>
      </w:pPr>
      <w:r>
        <w:t xml:space="preserve">(</w:t>
      </w:r>
      <w:r>
        <w:t xml:space="preserve">_1,</w:t>
      </w:r>
      <w:r>
        <w:t xml:space="preserve">,</w:t>
      </w:r>
      <w:r>
        <w:t xml:space="preserve">_n)^T.</w:t>
      </w:r>
      <w:r>
        <w:t xml:space="preserve"> </w:t>
      </w:r>
      <w:r>
        <w:t xml:space="preserve">]</w:t>
      </w:r>
    </w:p>
    <w:p>
      <w:pPr>
        <w:pStyle w:val="BodyText"/>
      </w:pPr>
      <w:r>
        <w:t xml:space="preserve">Este resultado reduce un problema potencialmente infinito a uno de dimensión finita.</w:t>
      </w:r>
    </w:p>
    <w:p>
      <w:r>
        <w:pict>
          <v:rect style="width:0;height:1.5pt" o:hralign="center" o:hrstd="t" o:hr="t"/>
        </w:pict>
      </w:r>
    </w:p>
    <w:bookmarkEnd w:id="54"/>
    <w:bookmarkStart w:id="56" w:name="matriz-kernel"/>
    <w:p>
      <w:pPr>
        <w:pStyle w:val="Heading2"/>
      </w:pPr>
      <w:r>
        <w:t xml:space="preserve">7. Matriz Kernel</w:t>
      </w:r>
    </w:p>
    <w:p>
      <w:pPr>
        <w:pStyle w:val="FirstParagraph"/>
      </w:pPr>
      <w:r>
        <w:t xml:space="preserve">Se construye la matriz kernel:</w:t>
      </w:r>
    </w:p>
    <w:p>
      <w:pPr>
        <w:pStyle w:val="BodyText"/>
      </w:pPr>
      <w:r>
        <w:t xml:space="preserve">[</w:t>
      </w:r>
      <w:r>
        <w:t xml:space="preserve"> </w:t>
      </w:r>
      <w:r>
        <w:t xml:space="preserve">K=</w:t>
      </w:r>
      <w:r>
        <w:t xml:space="preserve"> </w:t>
      </w:r>
      <w:r>
        <w:t xml:space="preserve">]</w:t>
      </w:r>
    </w:p>
    <w:p>
      <w:pPr>
        <w:pStyle w:val="BodyText"/>
      </w:pPr>
      <w:r>
        <w:t xml:space="preserve">La matriz (K) tiene tamaño</w:t>
      </w:r>
    </w:p>
    <w:p>
      <w:pPr>
        <w:pStyle w:val="BodyText"/>
      </w:pPr>
      <w:r>
        <w:t xml:space="preserve">[</w:t>
      </w:r>
      <w:r>
        <w:t xml:space="preserve"> </w:t>
      </w:r>
      <w:r>
        <w:t xml:space="preserve">n</w:t>
      </w:r>
      <w:r>
        <w:t xml:space="preserve"> </w:t>
      </w:r>
      <w:r>
        <w:t xml:space="preserve">n.]</w:t>
      </w:r>
    </w:p>
    <w:p>
      <w:r>
        <w:pict>
          <v:rect style="width:0;height:1.5pt" o:hralign="center" o:hrstd="t" o:hr="t"/>
        </w:pict>
      </w:r>
    </w:p>
    <w:bookmarkStart w:id="55" w:name="observación-importante"/>
    <w:p>
      <w:pPr>
        <w:pStyle w:val="Heading3"/>
      </w:pPr>
      <w:r>
        <w:t xml:space="preserve">Observación importante</w:t>
      </w:r>
    </w:p>
    <w:p>
      <w:pPr>
        <w:pStyle w:val="FirstParagraph"/>
      </w:pPr>
      <w:r>
        <w:t xml:space="preserve">Mientras que LDA clásico trabaja con matrices de tamaño</w:t>
      </w:r>
    </w:p>
    <w:p>
      <w:pPr>
        <w:pStyle w:val="BodyText"/>
      </w:pPr>
      <w:r>
        <w:t xml:space="preserve">[</w:t>
      </w:r>
      <w:r>
        <w:t xml:space="preserve"> </w:t>
      </w:r>
      <w:r>
        <w:t xml:space="preserve">p</w:t>
      </w:r>
      <w:r>
        <w:t xml:space="preserve"> </w:t>
      </w:r>
      <w:r>
        <w:t xml:space="preserve">p,]</w:t>
      </w:r>
    </w:p>
    <w:p>
      <w:pPr>
        <w:pStyle w:val="BodyText"/>
      </w:pPr>
      <w:r>
        <w:t xml:space="preserve">KFDA trabaja principalmente con matrices de tamaño</w:t>
      </w:r>
    </w:p>
    <w:p>
      <w:pPr>
        <w:pStyle w:val="BodyText"/>
      </w:pPr>
      <w:r>
        <w:t xml:space="preserve">[</w:t>
      </w:r>
      <w:r>
        <w:t xml:space="preserve"> </w:t>
      </w:r>
      <w:r>
        <w:t xml:space="preserve">n</w:t>
      </w:r>
      <w:r>
        <w:t xml:space="preserve"> </w:t>
      </w:r>
      <w:r>
        <w:t xml:space="preserve">n.]</w:t>
      </w:r>
    </w:p>
    <w:p>
      <w:pPr>
        <w:pStyle w:val="BodyText"/>
      </w:pPr>
      <w:r>
        <w:t xml:space="preserve">Esto resulta especialmente útil cuando:</w:t>
      </w:r>
    </w:p>
    <w:p>
      <w:pPr>
        <w:pStyle w:val="BodyText"/>
      </w:pPr>
      <w:r>
        <w:t xml:space="preserve">[</w:t>
      </w:r>
      <w:r>
        <w:t xml:space="preserve"> </w:t>
      </w:r>
      <w:r>
        <w:t xml:space="preserve">p</w:t>
      </w:r>
      <w:r>
        <w:t xml:space="preserve"> </w:t>
      </w:r>
      <w:r>
        <w:t xml:space="preserve">n.]</w:t>
      </w:r>
    </w:p>
    <w:p>
      <w:r>
        <w:pict>
          <v:rect style="width:0;height:1.5pt" o:hralign="center" o:hrstd="t" o:hr="t"/>
        </w:pict>
      </w:r>
    </w:p>
    <w:bookmarkEnd w:id="55"/>
    <w:bookmarkEnd w:id="56"/>
    <w:bookmarkStart w:id="57" w:name="reformulación-del-criterio-de-fisher"/>
    <w:p>
      <w:pPr>
        <w:pStyle w:val="Heading2"/>
      </w:pPr>
      <w:r>
        <w:t xml:space="preserve">8. Reformulación del criterio de Fisher</w:t>
      </w:r>
    </w:p>
    <w:p>
      <w:pPr>
        <w:pStyle w:val="FirstParagraph"/>
      </w:pPr>
      <w:r>
        <w:t xml:space="preserve">Las medias de clase en el espacio kernel se definen como:</w:t>
      </w:r>
    </w:p>
    <w:p>
      <w:pPr>
        <w:pStyle w:val="BodyText"/>
      </w:pPr>
      <w:r>
        <w:t xml:space="preserve">[</w:t>
      </w:r>
      <w:r>
        <w:t xml:space="preserve"> </w:t>
      </w:r>
      <w:r>
        <w:t xml:space="preserve">m_k</w:t>
      </w:r>
      <w:r>
        <w:t xml:space="preserve"> </w:t>
      </w:r>
      <w:r>
        <w:t xml:space="preserve">===</w:t>
      </w:r>
    </w:p>
    <w:p>
      <w:pPr>
        <w:pStyle w:val="BodyText"/>
      </w:pPr>
      <w:r>
        <w:t xml:space="preserve">_{i</w:t>
      </w:r>
      <w:r>
        <w:t xml:space="preserve">C_k}</w:t>
      </w:r>
      <w:r>
        <w:t xml:space="preserve"> </w:t>
      </w:r>
      <w:r>
        <w:t xml:space="preserve">(x_i).</w:t>
      </w:r>
      <w:r>
        <w:t xml:space="preserve"> </w:t>
      </w:r>
      <w:r>
        <w:t xml:space="preserve">]</w:t>
      </w:r>
    </w:p>
    <w:p>
      <w:pPr>
        <w:pStyle w:val="BodyText"/>
      </w:pPr>
      <w:r>
        <w:t xml:space="preserve">Utilizando el Teorema del Representante, todas las cantidades pueden expresarse exclusivamente mediante la matriz kernel.</w:t>
      </w:r>
    </w:p>
    <w:p>
      <w:pPr>
        <w:pStyle w:val="BodyText"/>
      </w:pPr>
      <w:r>
        <w:t xml:space="preserve">Después de la reformulación algebraica se obtiene:</w:t>
      </w:r>
    </w:p>
    <w:p>
      <w:pPr>
        <w:pStyle w:val="BodyText"/>
      </w:pPr>
      <w:r>
        <w:t xml:space="preserve">[</w:t>
      </w:r>
      <w:r>
        <w:t xml:space="preserve"> </w:t>
      </w:r>
      <w:r>
        <w:t xml:space="preserve">J(</w:t>
      </w:r>
      <w:r>
        <w:t xml:space="preserve">)</w:t>
      </w:r>
      <w:r>
        <w:t xml:space="preserve"> </w:t>
      </w:r>
      <w:r>
        <w:t xml:space="preserve">=========</w:t>
      </w:r>
    </w:p>
    <w:p>
      <w:pPr>
        <w:pStyle w:val="BodyText"/>
      </w:pPr>
      <w:r>
        <w:t xml:space="preserve">{</w:t>
      </w:r>
      <w:r>
        <w:t xml:space="preserve">^T N</w:t>
      </w:r>
      <w:r>
        <w:t xml:space="preserve"> </w:t>
      </w:r>
      <w:r>
        <w:t xml:space="preserve">}</w:t>
      </w:r>
      <w:r>
        <w:t xml:space="preserve"> </w:t>
      </w:r>
      <w:r>
        <w:t xml:space="preserve">]</w:t>
      </w:r>
    </w:p>
    <w:p>
      <w:pPr>
        <w:pStyle w:val="BodyText"/>
      </w:pPr>
      <w:r>
        <w:t xml:space="preserve">donde:</w:t>
      </w:r>
    </w:p>
    <w:p>
      <w:pPr>
        <w:pStyle w:val="Compact"/>
        <w:numPr>
          <w:ilvl w:val="0"/>
          <w:numId w:val="1014"/>
        </w:numPr>
      </w:pPr>
    </w:p>
    <w:p>
      <w:pPr>
        <w:pStyle w:val="Compact"/>
        <w:numPr>
          <w:ilvl w:val="1"/>
          <w:numId w:val="1015"/>
        </w:numPr>
      </w:pPr>
      <w:r>
        <w:t xml:space="preserve">representa la dispersión entre clases;</w:t>
      </w:r>
    </w:p>
    <w:p>
      <w:pPr>
        <w:pStyle w:val="Compact"/>
        <w:numPr>
          <w:ilvl w:val="0"/>
          <w:numId w:val="1014"/>
        </w:numPr>
      </w:pPr>
    </w:p>
    <w:p>
      <w:pPr>
        <w:pStyle w:val="Compact"/>
        <w:numPr>
          <w:ilvl w:val="1"/>
          <w:numId w:val="1016"/>
        </w:numPr>
      </w:pPr>
      <w:r>
        <w:t xml:space="preserve">representa la dispersión intra-clase.</w:t>
      </w:r>
    </w:p>
    <w:p>
      <w:pPr>
        <w:pStyle w:val="FirstParagraph"/>
      </w:pPr>
      <w:r>
        <w:t xml:space="preserve">Ambas matrices se construyen únicamente a partir de (K).</w:t>
      </w:r>
    </w:p>
    <w:p>
      <w:r>
        <w:pict>
          <v:rect style="width:0;height:1.5pt" o:hralign="center" o:hrstd="t" o:hr="t"/>
        </w:pict>
      </w:r>
    </w:p>
    <w:bookmarkEnd w:id="57"/>
    <w:bookmarkStart w:id="58" w:name="problema-generalizado-de-autovalores"/>
    <w:p>
      <w:pPr>
        <w:pStyle w:val="Heading2"/>
      </w:pPr>
      <w:r>
        <w:t xml:space="preserve">9. Problema generalizado de autovalores</w:t>
      </w:r>
    </w:p>
    <w:p>
      <w:pPr>
        <w:pStyle w:val="FirstParagraph"/>
      </w:pPr>
      <w:r>
        <w:t xml:space="preserve">La optimización conduce al problema:</w:t>
      </w:r>
    </w:p>
    <w:p>
      <w:pPr>
        <w:pStyle w:val="BodyText"/>
      </w:pPr>
      <w:r>
        <w:t xml:space="preserve">[</w:t>
      </w:r>
      <w:r>
        <w:t xml:space="preserve"> </w:t>
      </w:r>
      <w:r>
        <w:t xml:space="preserve">M</w:t>
      </w:r>
      <w:r>
        <w:t xml:space="preserve"> </w:t>
      </w:r>
      <w:r>
        <w:t xml:space="preserve">=======</w:t>
      </w:r>
    </w:p>
    <w:p>
      <w:pPr>
        <w:pStyle w:val="BodyText"/>
      </w:pPr>
      <w:r>
        <w:t xml:space="preserve">N</w:t>
      </w:r>
      <w:r>
        <w:t xml:space="preserve">.</w:t>
      </w:r>
      <w:r>
        <w:t xml:space="preserve"> </w:t>
      </w:r>
      <w:r>
        <w:t xml:space="preserve">]</w:t>
      </w:r>
    </w:p>
    <w:p>
      <w:pPr>
        <w:pStyle w:val="BodyText"/>
      </w:pPr>
      <w:r>
        <w:t xml:space="preserve">Esta ecuación es el análogo kernelizado del problema clásico de Fisher:</w:t>
      </w:r>
    </w:p>
    <w:p>
      <w:pPr>
        <w:pStyle w:val="BodyText"/>
      </w:pPr>
      <w:r>
        <w:t xml:space="preserve">[</w:t>
      </w:r>
      <w:r>
        <w:t xml:space="preserve"> </w:t>
      </w:r>
      <w:r>
        <w:t xml:space="preserve">S_B w</w:t>
      </w:r>
      <w:r>
        <w:t xml:space="preserve"> </w:t>
      </w:r>
      <w:r>
        <w:t xml:space="preserve">=====</w:t>
      </w:r>
    </w:p>
    <w:p>
      <w:pPr>
        <w:pStyle w:val="BodyText"/>
      </w:pPr>
      <w:r>
        <w:t xml:space="preserve">S_W w.</w:t>
      </w:r>
      <w:r>
        <w:t xml:space="preserve"> </w:t>
      </w:r>
      <w:r>
        <w:t xml:space="preserve">]</w:t>
      </w:r>
    </w:p>
    <w:p>
      <w:pPr>
        <w:pStyle w:val="BodyText"/>
      </w:pPr>
      <w:r>
        <w:t xml:space="preserve">Por tanto, KFDA conserva exactamente la filosofía de LDA, pero en un espacio de características inducido por el kernel.</w:t>
      </w:r>
    </w:p>
    <w:p>
      <w:r>
        <w:pict>
          <v:rect style="width:0;height:1.5pt" o:hralign="center" o:hrstd="t" o:hr="t"/>
        </w:pict>
      </w:r>
    </w:p>
    <w:bookmarkEnd w:id="58"/>
    <w:bookmarkStart w:id="59" w:name="clasificación-de-nuevas-observaciones"/>
    <w:p>
      <w:pPr>
        <w:pStyle w:val="Heading2"/>
      </w:pPr>
      <w:r>
        <w:t xml:space="preserve">10. Clasificación de nuevas observaciones</w:t>
      </w:r>
    </w:p>
    <w:p>
      <w:pPr>
        <w:pStyle w:val="FirstParagraph"/>
      </w:pPr>
      <w:r>
        <w:t xml:space="preserve">Dada una nueva muestra</w:t>
      </w:r>
    </w:p>
    <w:p>
      <w:pPr>
        <w:pStyle w:val="BodyText"/>
      </w:pPr>
      <w:r>
        <w:t xml:space="preserve">[</w:t>
      </w:r>
      <w:r>
        <w:t xml:space="preserve"> </w:t>
      </w:r>
      <w:r>
        <w:t xml:space="preserve">x^*,]</w:t>
      </w:r>
    </w:p>
    <w:p>
      <w:pPr>
        <w:pStyle w:val="BodyText"/>
      </w:pPr>
      <w:r>
        <w:t xml:space="preserve">se construye el vector kernel</w:t>
      </w:r>
    </w:p>
    <w:p>
      <w:pPr>
        <w:pStyle w:val="BodyText"/>
      </w:pPr>
      <w:r>
        <w:t xml:space="preserve">[</w:t>
      </w:r>
      <w:r>
        <w:t xml:space="preserve"> </w:t>
      </w:r>
      <w:r>
        <w:t xml:space="preserve">k(x^*)</w:t>
      </w:r>
      <w:r>
        <w:t xml:space="preserve"> </w:t>
      </w:r>
      <w:r>
        <w:t xml:space="preserve">======</w:t>
      </w:r>
    </w:p>
    <w:p>
      <w:pPr>
        <w:pStyle w:val="BodyText"/>
      </w:pPr>
      <w:r>
        <w:br/>
      </w:r>
      <w:r>
        <w:t xml:space="preserve">K(x_n,x^*)</w:t>
      </w:r>
      <w:r>
        <w:t xml:space="preserve"> </w:t>
      </w:r>
      <w:r>
        <w:t xml:space="preserve">\end{bmatrix}.</w:t>
      </w:r>
      <w:r>
        <w:t xml:space="preserve"> </w:t>
      </w:r>
      <w:r>
        <w:t xml:space="preserve">]</w:t>
      </w:r>
    </w:p>
    <w:p>
      <w:pPr>
        <w:pStyle w:val="BodyText"/>
      </w:pPr>
      <w:r>
        <w:t xml:space="preserve">La proyección discriminante se obtiene mediante:</w:t>
      </w:r>
    </w:p>
    <w:p>
      <w:pPr>
        <w:pStyle w:val="BodyText"/>
      </w:pPr>
      <w:r>
        <w:t xml:space="preserve">[</w:t>
      </w:r>
      <w:r>
        <w:t xml:space="preserve"> </w:t>
      </w:r>
      <w:r>
        <w:t xml:space="preserve">f(x^*)</w:t>
      </w:r>
      <w:r>
        <w:t xml:space="preserve"> </w:t>
      </w:r>
      <w:r>
        <w:t xml:space="preserve">======</w:t>
      </w:r>
    </w:p>
    <w:p>
      <w:pPr>
        <w:pStyle w:val="BodyText"/>
      </w:pPr>
      <w:r>
        <w:t xml:space="preserve">^T k(x^*).</w:t>
      </w:r>
      <w:r>
        <w:t xml:space="preserve"> </w:t>
      </w:r>
      <w:r>
        <w:t xml:space="preserve">]</w:t>
      </w:r>
    </w:p>
    <w:p>
      <w:pPr>
        <w:pStyle w:val="BodyText"/>
      </w:pPr>
      <w:r>
        <w:t xml:space="preserve">Obsérvese que nunca es necesario calcular explícitamente (</w:t>
      </w:r>
      <w:r>
        <w:t xml:space="preserve">(x^*)).</w:t>
      </w:r>
    </w:p>
    <w:p>
      <w:pPr>
        <w:pStyle w:val="BodyText"/>
      </w:pPr>
      <w:r>
        <w:t xml:space="preserve">Todo el procedimiento se realiza únicamente mediante evaluaciones del kernel.</w:t>
      </w:r>
    </w:p>
    <w:p>
      <w:r>
        <w:pict>
          <v:rect style="width:0;height:1.5pt" o:hralign="center" o:hrstd="t" o:hr="t"/>
        </w:pict>
      </w:r>
    </w:p>
    <w:bookmarkEnd w:id="59"/>
    <w:bookmarkStart w:id="60" w:name="singularidad-y-regularización"/>
    <w:p>
      <w:pPr>
        <w:pStyle w:val="Heading2"/>
      </w:pPr>
      <w:r>
        <w:t xml:space="preserve">11. Singularidad y regularización</w:t>
      </w:r>
    </w:p>
    <w:p>
      <w:pPr>
        <w:pStyle w:val="FirstParagraph"/>
      </w:pPr>
      <w:r>
        <w:t xml:space="preserve">Al igual que ocurre con LDA en problemas de alta dimensionalidad, KFDA puede presentar problemas de singularidad.</w:t>
      </w:r>
    </w:p>
    <w:p>
      <w:pPr>
        <w:pStyle w:val="BodyText"/>
      </w:pPr>
      <w:r>
        <w:t xml:space="preserve">La matriz de dispersión intra-clase en el espacio kernel suele ser singular debido a que:</w:t>
      </w:r>
    </w:p>
    <w:p>
      <w:pPr>
        <w:pStyle w:val="Compact"/>
        <w:numPr>
          <w:ilvl w:val="0"/>
          <w:numId w:val="1017"/>
        </w:numPr>
      </w:pPr>
      <w:r>
        <w:t xml:space="preserve">el espacio RKHS puede tener dimensión muy elevada;</w:t>
      </w:r>
    </w:p>
    <w:p>
      <w:pPr>
        <w:pStyle w:val="Compact"/>
        <w:numPr>
          <w:ilvl w:val="0"/>
          <w:numId w:val="1017"/>
        </w:numPr>
      </w:pPr>
      <w:r>
        <w:t xml:space="preserve">la dimensión puede incluso ser infinita;</w:t>
      </w:r>
    </w:p>
    <w:p>
      <w:pPr>
        <w:pStyle w:val="Compact"/>
        <w:numPr>
          <w:ilvl w:val="0"/>
          <w:numId w:val="1017"/>
        </w:numPr>
      </w:pPr>
      <w:r>
        <w:t xml:space="preserve">las muestras disponibles son finitas.</w:t>
      </w:r>
    </w:p>
    <w:p>
      <w:pPr>
        <w:pStyle w:val="FirstParagraph"/>
      </w:pPr>
      <w:r>
        <w:t xml:space="preserve">Por esta razón, las implementaciones prácticas incorporan regularización.</w:t>
      </w:r>
    </w:p>
    <w:p>
      <w:pPr>
        <w:pStyle w:val="BodyText"/>
      </w:pPr>
      <w:r>
        <w:t xml:space="preserve">Una estrategia común consiste en reemplazar:</w:t>
      </w:r>
    </w:p>
    <w:p>
      <w:pPr>
        <w:pStyle w:val="BodyText"/>
      </w:pPr>
      <w:r>
        <w:t xml:space="preserve">[</w:t>
      </w:r>
      <w:r>
        <w:t xml:space="preserve"> </w:t>
      </w:r>
      <w:r>
        <w:t xml:space="preserve">N</w:t>
      </w:r>
      <w:r>
        <w:t xml:space="preserve"> </w:t>
      </w:r>
      <w:r>
        <w:t xml:space="preserve"> </w:t>
      </w:r>
      <w:r>
        <w:t xml:space="preserve">N+</w:t>
      </w:r>
      <w:r>
        <w:t xml:space="preserve">I]</w:t>
      </w:r>
    </w:p>
    <w:p>
      <w:pPr>
        <w:pStyle w:val="BodyText"/>
      </w:pPr>
      <w:r>
        <w:t xml:space="preserve">donde:</w:t>
      </w:r>
    </w:p>
    <w:p>
      <w:pPr>
        <w:pStyle w:val="Compact"/>
        <w:numPr>
          <w:ilvl w:val="0"/>
          <w:numId w:val="1018"/>
        </w:numPr>
      </w:pPr>
      <w:r>
        <w:t xml:space="preserve">(</w:t>
      </w:r>
      <w:r>
        <w:t xml:space="preserve">&gt; 0) es un parámetro de regularización;</w:t>
      </w:r>
    </w:p>
    <w:p>
      <w:pPr>
        <w:pStyle w:val="Compact"/>
        <w:numPr>
          <w:ilvl w:val="0"/>
          <w:numId w:val="1018"/>
        </w:numPr>
      </w:pPr>
    </w:p>
    <w:p>
      <w:pPr>
        <w:pStyle w:val="Compact"/>
        <w:numPr>
          <w:ilvl w:val="1"/>
          <w:numId w:val="1019"/>
        </w:numPr>
      </w:pPr>
      <w:r>
        <w:t xml:space="preserve">es la matriz identidad.</w:t>
      </w:r>
    </w:p>
    <w:p>
      <w:pPr>
        <w:pStyle w:val="FirstParagraph"/>
      </w:pPr>
      <w:r>
        <w:t xml:space="preserve">Esta regularización es análoga a los enfoques tipo ridge utilizados en implementaciones modernas de LDA.</w:t>
      </w:r>
    </w:p>
    <w:p>
      <w:r>
        <w:pict>
          <v:rect style="width:0;height:1.5pt" o:hralign="center" o:hrstd="t" o:hr="t"/>
        </w:pict>
      </w:r>
    </w:p>
    <w:bookmarkEnd w:id="60"/>
    <w:bookmarkStart w:id="61" w:name="comparación-entre-lda-y-kfda"/>
    <w:p>
      <w:pPr>
        <w:pStyle w:val="Heading2"/>
      </w:pPr>
      <w:r>
        <w:t xml:space="preserve">12. Comparación entre LDA y KFDA</w:t>
      </w:r>
    </w:p>
    <w:tbl>
      <w:tblPr>
        <w:tblStyle w:val="Table"/>
        <w:tblW w:type="pct" w:w="5000"/>
        <w:tblLayout w:type="fixed"/>
        <w:tblLook w:firstRow="1" w:lastRow="0" w:firstColumn="0" w:lastColumn="0" w:noHBand="0" w:noVBand="0" w:val="0020"/>
      </w:tblPr>
      <w:tblGrid>
        <w:gridCol w:w="3144"/>
        <w:gridCol w:w="1863"/>
        <w:gridCol w:w="2911"/>
      </w:tblGrid>
      <w:tr>
        <w:trPr>
          <w:tblHeader w:val="on"/>
        </w:trPr>
        <w:tc>
          <w:tcPr/>
          <w:p>
            <w:pPr>
              <w:pStyle w:val="Compact"/>
            </w:pPr>
            <w:r>
              <w:t xml:space="preserve">Característica</w:t>
            </w:r>
          </w:p>
        </w:tc>
        <w:tc>
          <w:tcPr/>
          <w:p>
            <w:pPr>
              <w:pStyle w:val="Compact"/>
            </w:pPr>
            <w:r>
              <w:t xml:space="preserve">LDA</w:t>
            </w:r>
          </w:p>
        </w:tc>
        <w:tc>
          <w:tcPr/>
          <w:p>
            <w:pPr>
              <w:pStyle w:val="Compact"/>
            </w:pPr>
            <w:r>
              <w:t xml:space="preserve">KFDA</w:t>
            </w:r>
          </w:p>
        </w:tc>
      </w:tr>
      <w:tr>
        <w:tc>
          <w:tcPr/>
          <w:p>
            <w:pPr>
              <w:pStyle w:val="Compact"/>
            </w:pPr>
            <w:r>
              <w:t xml:space="preserve">Espacio de trabajo</w:t>
            </w:r>
          </w:p>
        </w:tc>
        <w:tc>
          <w:tcPr/>
          <w:p>
            <w:pPr>
              <w:pStyle w:val="Compact"/>
            </w:pPr>
            <w:r>
              <w:t xml:space="preserve">(</w:t>
            </w:r>
            <w:r>
              <w:t xml:space="preserve">^p)</w:t>
            </w:r>
          </w:p>
        </w:tc>
        <w:tc>
          <w:tcPr/>
          <w:p>
            <w:pPr>
              <w:pStyle w:val="Compact"/>
            </w:pPr>
            <w:r>
              <w:t xml:space="preserve">RKHS (</w:t>
            </w:r>
            <w:r>
              <w:t xml:space="preserve">)</w:t>
            </w:r>
          </w:p>
        </w:tc>
      </w:tr>
      <w:tr>
        <w:tc>
          <w:tcPr/>
          <w:p>
            <w:pPr>
              <w:pStyle w:val="Compact"/>
            </w:pPr>
            <w:r>
              <w:t xml:space="preserve">Tipo de separación</w:t>
            </w:r>
          </w:p>
        </w:tc>
        <w:tc>
          <w:tcPr/>
          <w:p>
            <w:pPr>
              <w:pStyle w:val="Compact"/>
            </w:pPr>
            <w:r>
              <w:t xml:space="preserve">Lineal</w:t>
            </w:r>
          </w:p>
        </w:tc>
        <w:tc>
          <w:tcPr/>
          <w:p>
            <w:pPr>
              <w:pStyle w:val="Compact"/>
            </w:pPr>
            <w:r>
              <w:t xml:space="preserve">No lineal</w:t>
            </w:r>
          </w:p>
        </w:tc>
      </w:tr>
      <w:tr>
        <w:tc>
          <w:tcPr/>
          <w:p>
            <w:pPr>
              <w:pStyle w:val="Compact"/>
            </w:pPr>
            <w:r>
              <w:t xml:space="preserve">Transformación de variables</w:t>
            </w:r>
          </w:p>
        </w:tc>
        <w:tc>
          <w:tcPr/>
          <w:p>
            <w:pPr>
              <w:pStyle w:val="Compact"/>
            </w:pPr>
            <w:r>
              <w:t xml:space="preserve">No</w:t>
            </w:r>
          </w:p>
        </w:tc>
        <w:tc>
          <w:tcPr/>
          <w:p>
            <w:pPr>
              <w:pStyle w:val="Compact"/>
            </w:pPr>
            <w:r>
              <w:t xml:space="preserve">Implícita mediante kernel</w:t>
            </w:r>
          </w:p>
        </w:tc>
      </w:tr>
      <w:tr>
        <w:tc>
          <w:tcPr/>
          <w:p>
            <w:pPr>
              <w:pStyle w:val="Compact"/>
            </w:pPr>
            <w:r>
              <w:t xml:space="preserve">Matriz principal</w:t>
            </w:r>
          </w:p>
        </w:tc>
        <w:tc>
          <w:tcPr/>
          <w:p>
            <w:pPr>
              <w:pStyle w:val="Compact"/>
            </w:pPr>
            <w:r>
              <w:t xml:space="preserve">(S_W, S_B)</w:t>
            </w:r>
          </w:p>
        </w:tc>
        <w:tc>
          <w:tcPr/>
          <w:p>
            <w:pPr>
              <w:pStyle w:val="Compact"/>
            </w:pPr>
            <w:r>
              <w:t xml:space="preserve">Matriz kernel (K)</w:t>
            </w:r>
          </w:p>
        </w:tc>
      </w:tr>
      <w:tr>
        <w:tc>
          <w:tcPr/>
          <w:p>
            <w:pPr>
              <w:pStyle w:val="Compact"/>
            </w:pPr>
            <w:r>
              <w:t xml:space="preserve">Dimensión del problema</w:t>
            </w:r>
          </w:p>
        </w:tc>
        <w:tc>
          <w:tcPr/>
          <w:p>
            <w:pPr>
              <w:pStyle w:val="Compact"/>
            </w:pPr>
            <w:r>
              <w:t xml:space="preserve">(p)</w:t>
            </w:r>
          </w:p>
        </w:tc>
        <w:tc>
          <w:tcPr/>
          <w:p>
            <w:pPr>
              <w:pStyle w:val="Compact"/>
            </w:pPr>
            <w:r>
              <w:t xml:space="preserve">(n)</w:t>
            </w:r>
          </w:p>
        </w:tc>
      </w:tr>
      <w:tr>
        <w:tc>
          <w:tcPr/>
          <w:p>
            <w:pPr>
              <w:pStyle w:val="Compact"/>
            </w:pPr>
            <w:r>
              <w:t xml:space="preserve">Interpretabilidad</w:t>
            </w:r>
          </w:p>
        </w:tc>
        <w:tc>
          <w:tcPr/>
          <w:p>
            <w:pPr>
              <w:pStyle w:val="Compact"/>
            </w:pPr>
            <w:r>
              <w:t xml:space="preserve">Alta</w:t>
            </w:r>
          </w:p>
        </w:tc>
        <w:tc>
          <w:tcPr/>
          <w:p>
            <w:pPr>
              <w:pStyle w:val="Compact"/>
            </w:pPr>
            <w:r>
              <w:t xml:space="preserve">Menor</w:t>
            </w:r>
          </w:p>
        </w:tc>
      </w:tr>
      <w:tr>
        <w:tc>
          <w:tcPr/>
          <w:p>
            <w:pPr>
              <w:pStyle w:val="Compact"/>
            </w:pPr>
            <w:r>
              <w:t xml:space="preserve">Riesgo de sobreajuste</w:t>
            </w:r>
          </w:p>
        </w:tc>
        <w:tc>
          <w:tcPr/>
          <w:p>
            <w:pPr>
              <w:pStyle w:val="Compact"/>
            </w:pPr>
            <w:r>
              <w:t xml:space="preserve">Moderado</w:t>
            </w:r>
          </w:p>
        </w:tc>
        <w:tc>
          <w:tcPr/>
          <w:p>
            <w:pPr>
              <w:pStyle w:val="Compact"/>
            </w:pPr>
            <w:r>
              <w:t xml:space="preserve">Mayor</w:t>
            </w:r>
          </w:p>
        </w:tc>
      </w:tr>
      <w:tr>
        <w:tc>
          <w:tcPr/>
          <w:p>
            <w:pPr>
              <w:pStyle w:val="Compact"/>
            </w:pPr>
            <w:r>
              <w:t xml:space="preserve">Necesidad de regularización</w:t>
            </w:r>
          </w:p>
        </w:tc>
        <w:tc>
          <w:tcPr/>
          <w:p>
            <w:pPr>
              <w:pStyle w:val="Compact"/>
            </w:pPr>
            <w:r>
              <w:t xml:space="preserve">Frecuente en SSS</w:t>
            </w:r>
          </w:p>
        </w:tc>
        <w:tc>
          <w:tcPr/>
          <w:p>
            <w:pPr>
              <w:pStyle w:val="Compact"/>
            </w:pPr>
            <w:r>
              <w:t xml:space="preserve">Muy frecuente</w:t>
            </w:r>
          </w:p>
        </w:tc>
      </w:tr>
    </w:tbl>
    <w:p>
      <w:r>
        <w:pict>
          <v:rect style="width:0;height:1.5pt" o:hralign="center" o:hrstd="t" o:hr="t"/>
        </w:pict>
      </w:r>
    </w:p>
    <w:bookmarkEnd w:id="61"/>
    <w:bookmarkStart w:id="62" w:name="relación-con-svm"/>
    <w:p>
      <w:pPr>
        <w:pStyle w:val="Heading2"/>
      </w:pPr>
      <w:r>
        <w:t xml:space="preserve">13. Relación con SVM</w:t>
      </w:r>
    </w:p>
    <w:p>
      <w:pPr>
        <w:pStyle w:val="FirstParagraph"/>
      </w:pPr>
      <w:r>
        <w:t xml:space="preserve">KFDA y las Máquinas de Vectores de Soporte (SVM) comparten una base matemática similar.</w:t>
      </w:r>
    </w:p>
    <w:p>
      <w:pPr>
        <w:pStyle w:val="BodyText"/>
      </w:pPr>
      <w:r>
        <w:t xml:space="preserve">Ambos métodos:</w:t>
      </w:r>
    </w:p>
    <w:p>
      <w:pPr>
        <w:pStyle w:val="Compact"/>
        <w:numPr>
          <w:ilvl w:val="0"/>
          <w:numId w:val="1020"/>
        </w:numPr>
      </w:pPr>
      <w:r>
        <w:t xml:space="preserve">utilizan kernels;</w:t>
      </w:r>
    </w:p>
    <w:p>
      <w:pPr>
        <w:pStyle w:val="Compact"/>
        <w:numPr>
          <w:ilvl w:val="0"/>
          <w:numId w:val="1020"/>
        </w:numPr>
      </w:pPr>
      <w:r>
        <w:t xml:space="preserve">operan en espacios RKHS;</w:t>
      </w:r>
    </w:p>
    <w:p>
      <w:pPr>
        <w:pStyle w:val="Compact"/>
        <w:numPr>
          <w:ilvl w:val="0"/>
          <w:numId w:val="1020"/>
        </w:numPr>
      </w:pPr>
      <w:r>
        <w:t xml:space="preserve">generan fronteras no lineales en el espacio original.</w:t>
      </w:r>
    </w:p>
    <w:p>
      <w:pPr>
        <w:pStyle w:val="FirstParagraph"/>
      </w:pPr>
      <w:r>
        <w:t xml:space="preserve">La diferencia principal es que:</w:t>
      </w:r>
    </w:p>
    <w:p>
      <w:pPr>
        <w:pStyle w:val="Compact"/>
        <w:numPr>
          <w:ilvl w:val="0"/>
          <w:numId w:val="1021"/>
        </w:numPr>
      </w:pPr>
      <w:r>
        <w:t xml:space="preserve">KFDA maximiza la razón entre dispersión entre clases y dispersión intra-clase;</w:t>
      </w:r>
    </w:p>
    <w:p>
      <w:pPr>
        <w:pStyle w:val="Compact"/>
        <w:numPr>
          <w:ilvl w:val="0"/>
          <w:numId w:val="1021"/>
        </w:numPr>
      </w:pPr>
      <w:r>
        <w:t xml:space="preserve">SVM maximiza el margen de separación entre clases.</w:t>
      </w:r>
    </w:p>
    <w:p>
      <w:r>
        <w:pict>
          <v:rect style="width:0;height:1.5pt" o:hralign="center" o:hrstd="t" o:hr="t"/>
        </w:pict>
      </w:r>
    </w:p>
    <w:bookmarkEnd w:id="62"/>
    <w:bookmarkStart w:id="63" w:name="interpretación-geométrica"/>
    <w:p>
      <w:pPr>
        <w:pStyle w:val="Heading2"/>
      </w:pPr>
      <w:r>
        <w:t xml:space="preserve">14. Interpretación geométrica</w:t>
      </w:r>
    </w:p>
    <w:p>
      <w:pPr>
        <w:pStyle w:val="FirstParagraph"/>
      </w:pPr>
      <w:r>
        <w:t xml:space="preserve">Desde una perspectiva geométrica, KFDA puede interpretarse como una generalización no lineal del criterio de Fisher.</w:t>
      </w:r>
    </w:p>
    <w:p>
      <w:pPr>
        <w:pStyle w:val="BodyText"/>
      </w:pPr>
      <w:r>
        <w:t xml:space="preserve">Mientras que LDA busca:</w:t>
      </w:r>
    </w:p>
    <w:p>
      <w:pPr>
        <w:pStyle w:val="BodyText"/>
      </w:pPr>
      <w:r>
        <w:t xml:space="preserve">[</w:t>
      </w:r>
      <w:r>
        <w:t xml:space="preserve"> </w:t>
      </w:r>
      <w:r>
        <w:t xml:space="preserve">x</w:t>
      </w:r>
      <w:r>
        <w:t xml:space="preserve"> </w:t>
      </w:r>
      <w:r>
        <w:t xml:space="preserve"> </w:t>
      </w:r>
      <w:r>
        <w:t xml:space="preserve">w^T x,]</w:t>
      </w:r>
    </w:p>
    <w:p>
      <w:pPr>
        <w:pStyle w:val="BodyText"/>
      </w:pPr>
      <w:r>
        <w:t xml:space="preserve">KFDA busca:</w:t>
      </w:r>
    </w:p>
    <w:p>
      <w:pPr>
        <w:pStyle w:val="BodyText"/>
      </w:pPr>
      <w:r>
        <w:t xml:space="preserve">[</w:t>
      </w:r>
      <w:r>
        <w:t xml:space="preserve"> </w:t>
      </w:r>
      <w:r>
        <w:t xml:space="preserve">x</w:t>
      </w:r>
      <w:r>
        <w:t xml:space="preserve"> </w:t>
      </w:r>
      <w:r>
        <w:t xml:space="preserve"> </w:t>
      </w:r>
      <w:r>
        <w:t xml:space="preserve">(x)</w:t>
      </w:r>
      <w:r>
        <w:t xml:space="preserve"> </w:t>
      </w:r>
      <w:r>
        <w:t xml:space="preserve"> </w:t>
      </w:r>
      <w:r>
        <w:t xml:space="preserve">w^T</w:t>
      </w:r>
      <w:r>
        <w:t xml:space="preserve">(x).]</w:t>
      </w:r>
    </w:p>
    <w:p>
      <w:pPr>
        <w:pStyle w:val="BodyText"/>
      </w:pPr>
      <w:r>
        <w:t xml:space="preserve">La separación sigue siendo lineal en el espacio de características, pero se vuelve no lineal cuando se observa desde el espacio original.</w:t>
      </w:r>
    </w:p>
    <w:p>
      <w:pPr>
        <w:pStyle w:val="BodyText"/>
      </w:pPr>
      <w:r>
        <w:t xml:space="preserve">Por ello, KFDA puede resolver problemas donde las clases presentan:</w:t>
      </w:r>
    </w:p>
    <w:p>
      <w:pPr>
        <w:pStyle w:val="Compact"/>
        <w:numPr>
          <w:ilvl w:val="0"/>
          <w:numId w:val="1022"/>
        </w:numPr>
      </w:pPr>
      <w:r>
        <w:t xml:space="preserve">fronteras circulares;</w:t>
      </w:r>
    </w:p>
    <w:p>
      <w:pPr>
        <w:pStyle w:val="Compact"/>
        <w:numPr>
          <w:ilvl w:val="0"/>
          <w:numId w:val="1022"/>
        </w:numPr>
      </w:pPr>
      <w:r>
        <w:t xml:space="preserve">estructuras concéntricas;</w:t>
      </w:r>
    </w:p>
    <w:p>
      <w:pPr>
        <w:pStyle w:val="Compact"/>
        <w:numPr>
          <w:ilvl w:val="0"/>
          <w:numId w:val="1022"/>
        </w:numPr>
      </w:pPr>
      <w:r>
        <w:t xml:space="preserve">espirales;</w:t>
      </w:r>
    </w:p>
    <w:p>
      <w:pPr>
        <w:pStyle w:val="Compact"/>
        <w:numPr>
          <w:ilvl w:val="0"/>
          <w:numId w:val="1022"/>
        </w:numPr>
      </w:pPr>
      <w:r>
        <w:t xml:space="preserve">distribuciones altamente no lineales.</w:t>
      </w:r>
    </w:p>
    <w:p>
      <w:r>
        <w:pict>
          <v:rect style="width:0;height:1.5pt" o:hralign="center" o:hrstd="t" o:hr="t"/>
        </w:pict>
      </w:r>
    </w:p>
    <w:bookmarkEnd w:id="63"/>
    <w:bookmarkStart w:id="64" w:name="conclusión-1"/>
    <w:p>
      <w:pPr>
        <w:pStyle w:val="Heading2"/>
      </w:pPr>
      <w:r>
        <w:t xml:space="preserve">15. Conclusión</w:t>
      </w:r>
    </w:p>
    <w:p>
      <w:pPr>
        <w:pStyle w:val="FirstParagraph"/>
      </w:pPr>
      <w:r>
        <w:t xml:space="preserve">Kernel Fisher Discriminant Analysis extiende el criterio clásico de Fisher a espacios de características inducidos por funciones kernel.</w:t>
      </w:r>
    </w:p>
    <w:p>
      <w:pPr>
        <w:pStyle w:val="BodyText"/>
      </w:pPr>
      <w:r>
        <w:t xml:space="preserve">Su principal ventaja consiste en permitir separaciones no lineales manteniendo la formulación discriminante original.</w:t>
      </w:r>
    </w:p>
    <w:p>
      <w:pPr>
        <w:pStyle w:val="BodyText"/>
      </w:pPr>
      <w:r>
        <w:t xml:space="preserve">En esencia:</w:t>
      </w:r>
    </w:p>
    <w:p>
      <w:pPr>
        <w:pStyle w:val="BlockText"/>
      </w:pPr>
      <w:r>
        <w:t xml:space="preserve">LDA busca la mejor proyección lineal en el espacio original de variables, mientras que KFDA busca la mejor proyección lineal en un espacio de características inducido por un kernel, lo que equivale a una separación no lineal en el espacio original.</w:t>
      </w:r>
    </w:p>
    <w:p>
      <w:pPr>
        <w:pStyle w:val="FirstParagraph"/>
      </w:pPr>
      <w:r>
        <w:t xml:space="preserve">De esta manera, KFDA combina la interpretación estadística del criterio de Fisher con la flexibilidad de los métodos kernel modernos.</w:t>
      </w:r>
    </w:p>
    <w:p>
      <w:r>
        <w:pict>
          <v:rect style="width:0;height:1.5pt" o:hralign="center" o:hrstd="t" o:hr="t"/>
        </w:pict>
      </w:r>
    </w:p>
    <w:bookmarkEnd w:id="64"/>
    <w:bookmarkStart w:id="71" w:name="Xa9897d2bcc9824bd7a1888a87bdb47596ac7789"/>
    <w:p>
      <w:pPr>
        <w:pStyle w:val="Heading2"/>
      </w:pPr>
      <w:r>
        <w:t xml:space="preserve">Kernel Fisher Discriminant Analysis (KFDA)</w:t>
      </w:r>
    </w:p>
    <w:bookmarkStart w:id="65" w:name="matriz-kernel-1"/>
    <w:p>
      <w:pPr>
        <w:pStyle w:val="Heading3"/>
      </w:pPr>
      <w:r>
        <w:t xml:space="preserve">Matriz Kernel</w:t>
      </w:r>
    </w:p>
    <w:p>
      <w:pPr>
        <w:pStyle w:val="FirstParagraph"/>
      </w:pPr>
      <m:oMathPara>
        <m:oMathParaPr>
          <m:jc m:val="center"/>
        </m:oMathParaPr>
        <m:oMath>
          <m:sSub>
            <m:e>
              <m:r>
                <m:t>K</m:t>
              </m:r>
            </m:e>
            <m:sub>
              <m:r>
                <m:t>i</m:t>
              </m:r>
              <m:r>
                <m:t>j</m:t>
              </m:r>
            </m:sub>
          </m:sSub>
          <m:r>
            <m:rPr>
              <m:sty m:val="p"/>
            </m:rPr>
            <m:t>=</m:t>
          </m:r>
          <m:r>
            <m:t>K</m:t>
          </m:r>
          <m:d>
            <m:dPr>
              <m:begChr m:val="("/>
              <m:sepChr m:val=""/>
              <m:endChr m:val=")"/>
              <m:grow/>
            </m:dPr>
            <m:e>
              <m:sSub>
                <m:e>
                  <m:r>
                    <m:t>x</m:t>
                  </m:r>
                </m:e>
                <m:sub>
                  <m:r>
                    <m:t>i</m:t>
                  </m:r>
                </m:sub>
              </m:sSub>
              <m:r>
                <m:rPr>
                  <m:sty m:val="p"/>
                </m:rPr>
                <m:t>,</m:t>
              </m:r>
              <m:sSub>
                <m:e>
                  <m:r>
                    <m:t>x</m:t>
                  </m:r>
                </m:e>
                <m:sub>
                  <m:r>
                    <m:t>j</m:t>
                  </m:r>
                </m:sub>
              </m:sSub>
            </m:e>
          </m:d>
        </m:oMath>
      </m:oMathPara>
    </w:p>
    <w:p>
      <w:r>
        <w:pict>
          <v:rect style="width:0;height:1.5pt" o:hralign="center" o:hrstd="t" o:hr="t"/>
        </w:pict>
      </w:r>
    </w:p>
    <w:bookmarkEnd w:id="65"/>
    <w:bookmarkStart w:id="66" w:name="representación"/>
    <w:p>
      <w:pPr>
        <w:pStyle w:val="Heading3"/>
      </w:pPr>
      <w:r>
        <w:t xml:space="preserve">Representación</w:t>
      </w:r>
    </w:p>
    <w:p>
      <w:pPr>
        <w:pStyle w:val="FirstParagraph"/>
      </w:pPr>
      <m:oMathPara>
        <m:oMathParaPr>
          <m:jc m:val="center"/>
        </m:oMathParaPr>
        <m:oMath>
          <m:r>
            <m:t>w</m:t>
          </m:r>
          <m:r>
            <m:rPr>
              <m:sty m:val="p"/>
            </m:rPr>
            <m:t>=</m:t>
          </m:r>
          <m:nary>
            <m:naryPr>
              <m:chr m:val="∑"/>
              <m:limLoc m:val="undOvr"/>
              <m:subHide m:val="off"/>
              <m:supHide m:val="off"/>
            </m:naryPr>
            <m:sub>
              <m:r>
                <m:t>i</m:t>
              </m:r>
              <m:r>
                <m:rPr>
                  <m:sty m:val="p"/>
                </m:rPr>
                <m:t>=</m:t>
              </m:r>
              <m:r>
                <m:t>1</m:t>
              </m:r>
            </m:sub>
            <m:sup>
              <m:r>
                <m:t>n</m:t>
              </m:r>
            </m:sup>
            <m:e>
              <m:sSub>
                <m:e>
                  <m:r>
                    <m:t>α</m:t>
                  </m:r>
                </m:e>
                <m:sub>
                  <m:r>
                    <m:t>i</m:t>
                  </m:r>
                </m:sub>
              </m:sSub>
            </m:e>
          </m:nary>
          <m:r>
            <m:t> </m:t>
          </m:r>
          <m:r>
            <m:t>ϕ</m:t>
          </m:r>
          <m:d>
            <m:dPr>
              <m:begChr m:val="("/>
              <m:sepChr m:val=""/>
              <m:endChr m:val=")"/>
              <m:grow/>
            </m:dPr>
            <m:e>
              <m:sSub>
                <m:e>
                  <m:r>
                    <m:t>x</m:t>
                  </m:r>
                </m:e>
                <m:sub>
                  <m:r>
                    <m:t>i</m:t>
                  </m:r>
                </m:sub>
              </m:sSub>
            </m:e>
          </m:d>
        </m:oMath>
      </m:oMathPara>
    </w:p>
    <w:p>
      <w:r>
        <w:pict>
          <v:rect style="width:0;height:1.5pt" o:hralign="center" o:hrstd="t" o:hr="t"/>
        </w:pict>
      </w:r>
    </w:p>
    <w:bookmarkEnd w:id="66"/>
    <w:bookmarkStart w:id="67" w:name="problema-de-fisher"/>
    <w:p>
      <w:pPr>
        <w:pStyle w:val="Heading3"/>
      </w:pPr>
      <w:r>
        <w:t xml:space="preserve">Problema de Fisher</w:t>
      </w:r>
    </w:p>
    <w:p>
      <w:pPr>
        <w:pStyle w:val="FirstParagraph"/>
      </w:pPr>
      <m:oMathPara>
        <m:oMathParaPr>
          <m:jc m:val="center"/>
        </m:oMathParaPr>
        <m:oMath>
          <m:r>
            <m:t>J</m:t>
          </m:r>
          <m:d>
            <m:dPr>
              <m:begChr m:val="("/>
              <m:sepChr m:val=""/>
              <m:endChr m:val=")"/>
              <m:grow/>
            </m:dPr>
            <m:e>
              <m:r>
                <m:t>α</m:t>
              </m:r>
            </m:e>
          </m:d>
          <m:r>
            <m:rPr>
              <m:sty m:val="p"/>
            </m:rPr>
            <m:t>=</m:t>
          </m:r>
          <m:f>
            <m:fPr>
              <m:type m:val="bar"/>
            </m:fPr>
            <m:num>
              <m:sSup>
                <m:e>
                  <m:r>
                    <m:t>α</m:t>
                  </m:r>
                </m:e>
                <m:sup>
                  <m:r>
                    <m:t>T</m:t>
                  </m:r>
                </m:sup>
              </m:sSup>
              <m:r>
                <m:t>M</m:t>
              </m:r>
              <m:r>
                <m:t>α</m:t>
              </m:r>
            </m:num>
            <m:den>
              <m:sSup>
                <m:e>
                  <m:r>
                    <m:t>α</m:t>
                  </m:r>
                </m:e>
                <m:sup>
                  <m:r>
                    <m:t>T</m:t>
                  </m:r>
                </m:sup>
              </m:sSup>
              <m:r>
                <m:t>N</m:t>
              </m:r>
              <m:r>
                <m:t>α</m:t>
              </m:r>
            </m:den>
          </m:f>
        </m:oMath>
      </m:oMathPara>
    </w:p>
    <w:p>
      <w:r>
        <w:pict>
          <v:rect style="width:0;height:1.5pt" o:hralign="center" o:hrstd="t" o:hr="t"/>
        </w:pict>
      </w:r>
    </w:p>
    <w:bookmarkEnd w:id="67"/>
    <w:bookmarkStart w:id="68" w:name="problema-de-autovalores"/>
    <w:p>
      <w:pPr>
        <w:pStyle w:val="Heading3"/>
      </w:pPr>
      <w:r>
        <w:t xml:space="preserve">Problema de Autovalores</w:t>
      </w:r>
    </w:p>
    <w:p>
      <w:pPr>
        <w:pStyle w:val="FirstParagraph"/>
      </w:pPr>
      <m:oMathPara>
        <m:oMathParaPr>
          <m:jc m:val="center"/>
        </m:oMathParaPr>
        <m:oMath>
          <m:r>
            <m:t>M</m:t>
          </m:r>
          <m:r>
            <m:t>α</m:t>
          </m:r>
          <m:r>
            <m:rPr>
              <m:sty m:val="p"/>
            </m:rPr>
            <m:t>=</m:t>
          </m:r>
          <m:r>
            <m:t>λ</m:t>
          </m:r>
          <m:d>
            <m:dPr>
              <m:begChr m:val="("/>
              <m:sepChr m:val=""/>
              <m:endChr m:val=")"/>
              <m:grow/>
            </m:dPr>
            <m:e>
              <m:r>
                <m:t>N</m:t>
              </m:r>
              <m:r>
                <m:rPr>
                  <m:sty m:val="p"/>
                </m:rPr>
                <m:t>+</m:t>
              </m:r>
              <m:r>
                <m:t>γ</m:t>
              </m:r>
              <m:r>
                <m:t>I</m:t>
              </m:r>
            </m:e>
          </m:d>
          <m:r>
            <m:t>α</m:t>
          </m:r>
        </m:oMath>
      </m:oMathPara>
    </w:p>
    <w:p>
      <w:r>
        <w:pict>
          <v:rect style="width:0;height:1.5pt" o:hralign="center" o:hrstd="t" o:hr="t"/>
        </w:pict>
      </w:r>
    </w:p>
    <w:bookmarkEnd w:id="68"/>
    <w:bookmarkStart w:id="69" w:name="entonces"/>
    <w:p>
      <w:pPr>
        <w:pStyle w:val="Heading3"/>
      </w:pPr>
      <w:r>
        <w:t xml:space="preserve">Entonces</w:t>
      </w:r>
    </w:p>
    <w:p>
      <w:pPr>
        <w:pStyle w:val="FirstParagraph"/>
      </w:pPr>
      <m:oMathPara>
        <m:oMathParaPr>
          <m:jc m:val="center"/>
        </m:oMathParaPr>
        <m:oMath>
          <m:r>
            <m:t>f</m:t>
          </m:r>
          <m:d>
            <m:dPr>
              <m:begChr m:val="("/>
              <m:sepChr m:val=""/>
              <m:endChr m:val=")"/>
              <m:grow/>
            </m:dPr>
            <m:e>
              <m:r>
                <m:t>x</m:t>
              </m:r>
            </m:e>
          </m:d>
          <m:r>
            <m:rPr>
              <m:sty m:val="p"/>
            </m:rPr>
            <m:t>=</m:t>
          </m:r>
          <m:sSup>
            <m:e>
              <m:r>
                <m:t>α</m:t>
              </m:r>
            </m:e>
            <m:sup>
              <m:r>
                <m:t>T</m:t>
              </m:r>
            </m:sup>
          </m:sSup>
          <m:r>
            <m:t>k</m:t>
          </m:r>
          <m:d>
            <m:dPr>
              <m:begChr m:val="("/>
              <m:sepChr m:val=""/>
              <m:endChr m:val=")"/>
              <m:grow/>
            </m:dPr>
            <m:e>
              <m:r>
                <m:t>x</m:t>
              </m:r>
            </m:e>
          </m:d>
        </m:oMath>
      </m:oMathPara>
    </w:p>
    <w:p>
      <w:r>
        <w:pict>
          <v:rect style="width:0;height:1.5pt" o:hralign="center" o:hrstd="t" o:hr="t"/>
        </w:pict>
      </w:r>
    </w:p>
    <w:bookmarkEnd w:id="69"/>
    <w:bookmarkStart w:id="70" w:name="interpretación"/>
    <w:p>
      <w:pPr>
        <w:pStyle w:val="Heading3"/>
      </w:pPr>
      <w:r>
        <w:t xml:space="preserve">Interpretación</w:t>
      </w:r>
    </w:p>
    <w:p>
      <w:pPr>
        <w:pStyle w:val="FirstParagraph"/>
      </w:pPr>
      <m:oMathPara>
        <m:oMathParaPr>
          <m:jc m:val="center"/>
        </m:oMathParaPr>
        <m:oMath>
          <m:r>
            <m:t>x</m:t>
          </m:r>
          <m:r>
            <m:t> </m:t>
          </m:r>
          <m:r>
            <m:rPr>
              <m:sty m:val="p"/>
            </m:rPr>
            <m:t>→</m:t>
          </m:r>
          <m:r>
            <m:t> </m:t>
          </m:r>
          <m:r>
            <m:t>ϕ</m:t>
          </m:r>
          <m:d>
            <m:dPr>
              <m:begChr m:val="("/>
              <m:sepChr m:val=""/>
              <m:endChr m:val=")"/>
              <m:grow/>
            </m:dPr>
            <m:e>
              <m:r>
                <m:t>x</m:t>
              </m:r>
            </m:e>
          </m:d>
          <m:r>
            <m:t> </m:t>
          </m:r>
          <m:r>
            <m:rPr>
              <m:sty m:val="p"/>
            </m:rPr>
            <m:t>→</m:t>
          </m:r>
          <m:r>
            <m:t> </m:t>
          </m:r>
          <m:sSup>
            <m:e>
              <m:r>
                <m:t>w</m:t>
              </m:r>
            </m:e>
            <m:sup>
              <m:r>
                <m:t>T</m:t>
              </m:r>
            </m:sup>
          </m:sSup>
          <m:r>
            <m:t>ϕ</m:t>
          </m:r>
          <m:d>
            <m:dPr>
              <m:begChr m:val="("/>
              <m:sepChr m:val=""/>
              <m:endChr m:val=")"/>
              <m:grow/>
            </m:dPr>
            <m:e>
              <m:r>
                <m:t>x</m:t>
              </m:r>
            </m:e>
          </m:d>
        </m:oMath>
      </m:oMathPara>
    </w:p>
    <w:p>
      <w:pPr>
        <w:pStyle w:val="Compact"/>
        <w:numPr>
          <w:ilvl w:val="0"/>
          <w:numId w:val="1023"/>
        </w:numPr>
      </w:pPr>
      <w:r>
        <w:t xml:space="preserve">LDA en espacio kernel.</w:t>
      </w:r>
    </w:p>
    <w:p>
      <w:pPr>
        <w:pStyle w:val="Compact"/>
        <w:numPr>
          <w:ilvl w:val="0"/>
          <w:numId w:val="1023"/>
        </w:numPr>
      </w:pPr>
      <w:r>
        <w:t xml:space="preserve">Permite fronteras de decisión no lineales.</w:t>
      </w:r>
    </w:p>
    <w:p>
      <w:pPr>
        <w:pStyle w:val="Compact"/>
        <w:numPr>
          <w:ilvl w:val="0"/>
          <w:numId w:val="1023"/>
        </w:numPr>
      </w:pPr>
      <w:r>
        <w:t xml:space="preserve">Mantiene el criterio discriminante de Fisher.</w:t>
      </w:r>
    </w:p>
    <w:bookmarkEnd w:id="70"/>
    <w:bookmarkEnd w:id="71"/>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8313">
    <w:nsid w:val="0A998313"/>
    <w:multiLevelType w:val="multilevel"/>
    <w:lvl w:ilvl="0">
      <w:start w:val="13"/>
      <w:numFmt w:val="upperLetter"/>
      <w:lvlText w:val="(%1)"/>
      <w:lvlJc w:val="left"/>
      <w:pPr>
        <w:ind w:left="720" w:hanging="360"/>
      </w:pPr>
    </w:lvl>
    <w:lvl w:ilvl="1">
      <w:start w:val="13"/>
      <w:numFmt w:val="upperLetter"/>
      <w:lvlText w:val="(%2)"/>
      <w:lvlJc w:val="left"/>
      <w:pPr>
        <w:ind w:left="1440" w:hanging="360"/>
      </w:pPr>
    </w:lvl>
    <w:lvl w:ilvl="2">
      <w:start w:val="13"/>
      <w:numFmt w:val="upperLetter"/>
      <w:lvlText w:val="(%3)"/>
      <w:lvlJc w:val="left"/>
      <w:pPr>
        <w:ind w:left="2160" w:hanging="360"/>
      </w:pPr>
    </w:lvl>
    <w:lvl w:ilvl="3">
      <w:start w:val="13"/>
      <w:numFmt w:val="upperLetter"/>
      <w:lvlText w:val="(%4)"/>
      <w:lvlJc w:val="left"/>
      <w:pPr>
        <w:ind w:left="2880" w:hanging="360"/>
      </w:pPr>
    </w:lvl>
    <w:lvl w:ilvl="4">
      <w:start w:val="13"/>
      <w:numFmt w:val="upperLetter"/>
      <w:lvlText w:val="(%5)"/>
      <w:lvlJc w:val="left"/>
      <w:pPr>
        <w:ind w:left="3600" w:hanging="360"/>
      </w:pPr>
    </w:lvl>
    <w:lvl w:ilvl="5">
      <w:start w:val="13"/>
      <w:numFmt w:val="upperLetter"/>
      <w:lvlText w:val="(%6)"/>
      <w:lvlJc w:val="left"/>
      <w:pPr>
        <w:ind w:left="4320" w:hanging="360"/>
      </w:pPr>
    </w:lvl>
    <w:lvl w:ilvl="6">
      <w:start w:val="13"/>
      <w:numFmt w:val="upperLetter"/>
      <w:lvlText w:val="(%7)"/>
      <w:lvlJc w:val="left"/>
      <w:pPr>
        <w:ind w:left="5040" w:hanging="360"/>
      </w:pPr>
    </w:lvl>
    <w:lvl w:ilvl="7">
      <w:start w:val="13"/>
      <w:numFmt w:val="upperLetter"/>
      <w:lvlText w:val="(%8)"/>
      <w:lvlJc w:val="left"/>
      <w:pPr>
        <w:ind w:left="5760" w:hanging="360"/>
      </w:pPr>
    </w:lvl>
    <w:lvl w:ilvl="8">
      <w:start w:val="13"/>
      <w:numFmt w:val="upperLetter"/>
      <w:lvlText w:val="(%9)"/>
      <w:lvlJc w:val="left"/>
      <w:pPr>
        <w:ind w:left="6480" w:hanging="360"/>
      </w:pPr>
    </w:lvl>
  </w:abstractNum>
  <w:abstractNum w:abstractNumId="998314">
    <w:nsid w:val="0A998314"/>
    <w:multiLevelType w:val="multilevel"/>
    <w:lvl w:ilvl="0">
      <w:start w:val="14"/>
      <w:numFmt w:val="upperLetter"/>
      <w:lvlText w:val="(%1)"/>
      <w:lvlJc w:val="left"/>
      <w:pPr>
        <w:ind w:left="720" w:hanging="360"/>
      </w:pPr>
    </w:lvl>
    <w:lvl w:ilvl="1">
      <w:start w:val="14"/>
      <w:numFmt w:val="upperLetter"/>
      <w:lvlText w:val="(%2)"/>
      <w:lvlJc w:val="left"/>
      <w:pPr>
        <w:ind w:left="1440" w:hanging="360"/>
      </w:pPr>
    </w:lvl>
    <w:lvl w:ilvl="2">
      <w:start w:val="14"/>
      <w:numFmt w:val="upperLetter"/>
      <w:lvlText w:val="(%3)"/>
      <w:lvlJc w:val="left"/>
      <w:pPr>
        <w:ind w:left="2160" w:hanging="360"/>
      </w:pPr>
    </w:lvl>
    <w:lvl w:ilvl="3">
      <w:start w:val="14"/>
      <w:numFmt w:val="upperLetter"/>
      <w:lvlText w:val="(%4)"/>
      <w:lvlJc w:val="left"/>
      <w:pPr>
        <w:ind w:left="2880" w:hanging="360"/>
      </w:pPr>
    </w:lvl>
    <w:lvl w:ilvl="4">
      <w:start w:val="14"/>
      <w:numFmt w:val="upperLetter"/>
      <w:lvlText w:val="(%5)"/>
      <w:lvlJc w:val="left"/>
      <w:pPr>
        <w:ind w:left="3600" w:hanging="360"/>
      </w:pPr>
    </w:lvl>
    <w:lvl w:ilvl="5">
      <w:start w:val="14"/>
      <w:numFmt w:val="upperLetter"/>
      <w:lvlText w:val="(%6)"/>
      <w:lvlJc w:val="left"/>
      <w:pPr>
        <w:ind w:left="4320" w:hanging="360"/>
      </w:pPr>
    </w:lvl>
    <w:lvl w:ilvl="6">
      <w:start w:val="14"/>
      <w:numFmt w:val="upperLetter"/>
      <w:lvlText w:val="(%7)"/>
      <w:lvlJc w:val="left"/>
      <w:pPr>
        <w:ind w:left="5040" w:hanging="360"/>
      </w:pPr>
    </w:lvl>
    <w:lvl w:ilvl="7">
      <w:start w:val="14"/>
      <w:numFmt w:val="upperLetter"/>
      <w:lvlText w:val="(%8)"/>
      <w:lvlJc w:val="left"/>
      <w:pPr>
        <w:ind w:left="5760" w:hanging="360"/>
      </w:pPr>
    </w:lvl>
    <w:lvl w:ilvl="8">
      <w:start w:val="14"/>
      <w:numFmt w:val="upperLetter"/>
      <w:lvlText w:val="(%9)"/>
      <w:lvlJc w:val="left"/>
      <w:pPr>
        <w:ind w:left="6480" w:hanging="360"/>
      </w:pPr>
    </w:lvl>
  </w:abstractNum>
  <w:abstractNum w:abstractNumId="99631">
    <w:nsid w:val="00A9963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1"/>
  </w:num>
  <w:num w:numId="1015">
    <w:abstractNumId w:val="998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6">
    <w:abstractNumId w:val="9983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7">
    <w:abstractNumId w:val="991"/>
  </w:num>
  <w:num w:numId="1018">
    <w:abstractNumId w:val="991"/>
  </w:num>
  <w:num w:numId="1019">
    <w:abstractNumId w:val="996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LDA y MASS LDA</dc:title>
  <dc:creator>Angel</dc:creator>
  <cp:keywords/>
  <dcterms:created xsi:type="dcterms:W3CDTF">2026-06-03T18:07:31Z</dcterms:created>
  <dcterms:modified xsi:type="dcterms:W3CDTF">2026-06-03T18:07:31Z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2026-06-02</vt:lpwstr>
  </property>
  <property fmtid="{D5CDD505-2E9C-101B-9397-08002B2CF9AE}" pid="3" name="output">
    <vt:lpwstr/>
  </property>
</Properties>
</file>