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939ABD" w14:textId="77777777" w:rsidR="00E42673" w:rsidRDefault="00E42673" w:rsidP="00E42673">
      <w:pPr>
        <w:pStyle w:val="Ttulo2"/>
        <w:rPr>
          <w:rStyle w:val="Ttulo1Car"/>
          <w:rFonts w:ascii="Times New Roman" w:hAnsi="Times New Roman"/>
          <w:b/>
          <w:bCs/>
          <w:sz w:val="30"/>
          <w:szCs w:val="26"/>
        </w:rPr>
      </w:pPr>
      <w:bookmarkStart w:id="0" w:name="_Toc218775657"/>
      <w:r>
        <w:rPr>
          <w:rStyle w:val="Ttulo1Car"/>
          <w:rFonts w:ascii="Times New Roman" w:hAnsi="Times New Roman"/>
          <w:b/>
          <w:sz w:val="30"/>
          <w:szCs w:val="26"/>
        </w:rPr>
        <w:t>2</w:t>
      </w:r>
      <w:r w:rsidRPr="009A76F9">
        <w:rPr>
          <w:rStyle w:val="Ttulo1Car"/>
          <w:rFonts w:ascii="Times New Roman" w:hAnsi="Times New Roman"/>
          <w:b/>
          <w:sz w:val="30"/>
          <w:szCs w:val="26"/>
        </w:rPr>
        <w:t>.</w:t>
      </w:r>
      <w:r>
        <w:rPr>
          <w:rStyle w:val="Ttulo1Car"/>
          <w:rFonts w:ascii="Times New Roman" w:hAnsi="Times New Roman"/>
          <w:b/>
          <w:sz w:val="30"/>
          <w:szCs w:val="26"/>
        </w:rPr>
        <w:t>1</w:t>
      </w:r>
      <w:r w:rsidRPr="009A76F9">
        <w:rPr>
          <w:rStyle w:val="Ttulo1Car"/>
          <w:rFonts w:ascii="Times New Roman" w:hAnsi="Times New Roman"/>
          <w:b/>
          <w:sz w:val="30"/>
          <w:szCs w:val="26"/>
        </w:rPr>
        <w:t xml:space="preserve"> </w:t>
      </w:r>
      <w:r>
        <w:rPr>
          <w:rStyle w:val="Ttulo1Car"/>
          <w:rFonts w:ascii="Times New Roman" w:hAnsi="Times New Roman"/>
          <w:b/>
          <w:sz w:val="30"/>
          <w:szCs w:val="26"/>
        </w:rPr>
        <w:t>Reducción de la dimensionalidad.</w:t>
      </w:r>
      <w:bookmarkEnd w:id="0"/>
    </w:p>
    <w:p w14:paraId="01A42489" w14:textId="77777777" w:rsidR="00E42673" w:rsidRDefault="00E42673" w:rsidP="00E42673">
      <w:pPr>
        <w:pStyle w:val="Prrafobase"/>
        <w:rPr>
          <w:rStyle w:val="Ttulo1Car"/>
          <w:rFonts w:ascii="Times New Roman" w:eastAsiaTheme="minorEastAsia" w:hAnsi="Times New Roman" w:cs="Times New Roman"/>
          <w:b/>
          <w:bCs/>
          <w:sz w:val="24"/>
          <w:szCs w:val="26"/>
        </w:rPr>
      </w:pPr>
    </w:p>
    <w:p w14:paraId="111A4BBA" w14:textId="77777777" w:rsidR="00E42673" w:rsidRPr="00423D2C" w:rsidRDefault="00E42673" w:rsidP="00E42673">
      <w:pPr>
        <w:pStyle w:val="Prrafobase"/>
      </w:pPr>
      <w:bookmarkStart w:id="1" w:name="_Hlk218498343"/>
      <w:r w:rsidRPr="00423D2C">
        <w:t>El manejo de conjuntos de datos con un alto número de variables plantea desafíos significativos en términos de costo computacional y riesgo de sobreajuste. La reducción de dimensionalidad aborda estos problemas transformando los datos de un espacio de alta dimensión a uno de menor dimensión, preservando la información intrínseca más relevante (Sorzano et al., 2014).</w:t>
      </w:r>
    </w:p>
    <w:p w14:paraId="38D7DBA4" w14:textId="77777777" w:rsidR="00E42673" w:rsidRDefault="00E42673" w:rsidP="00E42673">
      <w:pPr>
        <w:pStyle w:val="Prrafoconsangra"/>
      </w:pPr>
      <w:r w:rsidRPr="0065644D">
        <w:t>Para contextualizar las técnicas empleadas en esta investigación, es fundamental clasificar los enfoques existentes. Como se ilustra en la Figura 2, los métodos se dividen principalmente en dos ramas: Selección de Características (que elige un subconjunto de las variables originales) y Extracción de Características (que proyecta los datos a un nuevo espacio, como hace el LDA) (Medina et al., 2025).</w:t>
      </w:r>
    </w:p>
    <w:p w14:paraId="4C11E2FB" w14:textId="77777777" w:rsidR="00E42673" w:rsidRDefault="00E42673" w:rsidP="00E42673">
      <w:pPr>
        <w:pStyle w:val="Prrafoconsangra"/>
        <w:jc w:val="center"/>
      </w:pPr>
      <w:r>
        <w:rPr>
          <w:noProof/>
        </w:rPr>
        <w:drawing>
          <wp:inline distT="0" distB="0" distL="0" distR="0" wp14:anchorId="4B48F5DC" wp14:editId="154660EE">
            <wp:extent cx="3967031" cy="2120443"/>
            <wp:effectExtent l="0" t="0" r="0" b="0"/>
            <wp:docPr id="1038767739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7049" cy="213648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53D8269" w14:textId="77777777" w:rsidR="00E42673" w:rsidRDefault="00E42673" w:rsidP="00E42673">
      <w:pPr>
        <w:pStyle w:val="Prrafoconsangra"/>
        <w:jc w:val="center"/>
      </w:pPr>
      <w:r w:rsidRPr="00423D2C">
        <w:rPr>
          <w:b/>
          <w:bCs/>
        </w:rPr>
        <w:t xml:space="preserve">Figura </w:t>
      </w:r>
      <w:r>
        <w:rPr>
          <w:b/>
          <w:bCs/>
        </w:rPr>
        <w:t>1</w:t>
      </w:r>
      <w:r>
        <w:t xml:space="preserve">: Taxonomía de las técnicas de reducción de dimensionalidad. Tomada de </w:t>
      </w:r>
      <w:r w:rsidRPr="0065644D">
        <w:t>Medina et al., 2025</w:t>
      </w:r>
      <w:r>
        <w:t>.</w:t>
      </w:r>
    </w:p>
    <w:p w14:paraId="03C0DE13" w14:textId="77777777" w:rsidR="00E42673" w:rsidRPr="0065644D" w:rsidRDefault="00E42673" w:rsidP="00E42673">
      <w:pPr>
        <w:pStyle w:val="Prrafoconsangra"/>
      </w:pPr>
    </w:p>
    <w:p w14:paraId="19142FE8" w14:textId="77777777" w:rsidR="00E42673" w:rsidRDefault="00E42673" w:rsidP="00E42673">
      <w:pPr>
        <w:pStyle w:val="Ttulo2"/>
        <w:rPr>
          <w:rStyle w:val="Ttulo1Car"/>
          <w:rFonts w:ascii="Times New Roman" w:hAnsi="Times New Roman"/>
          <w:b/>
          <w:bCs/>
          <w:sz w:val="30"/>
          <w:szCs w:val="26"/>
        </w:rPr>
      </w:pPr>
      <w:bookmarkStart w:id="2" w:name="_Toc218775658"/>
      <w:r>
        <w:rPr>
          <w:rStyle w:val="Ttulo1Car"/>
          <w:rFonts w:ascii="Times New Roman" w:hAnsi="Times New Roman"/>
          <w:b/>
          <w:sz w:val="30"/>
          <w:szCs w:val="26"/>
        </w:rPr>
        <w:t>2</w:t>
      </w:r>
      <w:r w:rsidRPr="009A76F9">
        <w:rPr>
          <w:rStyle w:val="Ttulo1Car"/>
          <w:rFonts w:ascii="Times New Roman" w:hAnsi="Times New Roman"/>
          <w:b/>
          <w:sz w:val="30"/>
          <w:szCs w:val="26"/>
        </w:rPr>
        <w:t>.</w:t>
      </w:r>
      <w:r>
        <w:rPr>
          <w:rStyle w:val="Ttulo1Car"/>
          <w:rFonts w:ascii="Times New Roman" w:hAnsi="Times New Roman"/>
          <w:b/>
          <w:sz w:val="30"/>
          <w:szCs w:val="26"/>
        </w:rPr>
        <w:t>2</w:t>
      </w:r>
      <w:r w:rsidRPr="009A76F9">
        <w:rPr>
          <w:rStyle w:val="Ttulo1Car"/>
          <w:rFonts w:ascii="Times New Roman" w:hAnsi="Times New Roman"/>
          <w:b/>
          <w:sz w:val="30"/>
          <w:szCs w:val="26"/>
        </w:rPr>
        <w:t xml:space="preserve"> </w:t>
      </w:r>
      <w:bookmarkEnd w:id="1"/>
      <w:r>
        <w:rPr>
          <w:rStyle w:val="Ttulo1Car"/>
          <w:rFonts w:ascii="Times New Roman" w:hAnsi="Times New Roman"/>
          <w:b/>
          <w:sz w:val="30"/>
          <w:szCs w:val="26"/>
        </w:rPr>
        <w:t>Métodos de selección de Características: Filtros y Envolturas</w:t>
      </w:r>
      <w:bookmarkEnd w:id="2"/>
    </w:p>
    <w:p w14:paraId="367EA92E" w14:textId="77777777" w:rsidR="00E42673" w:rsidRDefault="00E42673" w:rsidP="00E42673">
      <w:pPr>
        <w:pStyle w:val="Prrafobase"/>
        <w:rPr>
          <w:lang w:val="es-MX"/>
        </w:rPr>
      </w:pPr>
    </w:p>
    <w:p w14:paraId="342D11A5" w14:textId="77777777" w:rsidR="00E42673" w:rsidRPr="00DE5B50" w:rsidRDefault="00E42673" w:rsidP="00E42673">
      <w:pPr>
        <w:pStyle w:val="Prrafobase"/>
      </w:pPr>
      <w:r w:rsidRPr="00DE5B50">
        <w:t>En el ámbito de la selección de características, existen dos paradigmas principales que se diferencian en la forma en que evalúan la relevancia de las variables: los métodos de tipo Filtro (</w:t>
      </w:r>
      <w:proofErr w:type="spellStart"/>
      <w:r w:rsidRPr="00DE5B50">
        <w:t>Filters</w:t>
      </w:r>
      <w:proofErr w:type="spellEnd"/>
      <w:r w:rsidRPr="00DE5B50">
        <w:t>) y los métodos de tipo Envoltura (</w:t>
      </w:r>
      <w:proofErr w:type="spellStart"/>
      <w:r w:rsidRPr="00DE5B50">
        <w:t>Wrappers</w:t>
      </w:r>
      <w:proofErr w:type="spellEnd"/>
      <w:r w:rsidRPr="00DE5B50">
        <w:t>).</w:t>
      </w:r>
    </w:p>
    <w:p w14:paraId="400AA8CE" w14:textId="77777777" w:rsidR="00E42673" w:rsidRPr="0065644D" w:rsidRDefault="00E42673" w:rsidP="00E42673">
      <w:pPr>
        <w:pStyle w:val="Ttulo3"/>
      </w:pPr>
      <w:bookmarkStart w:id="3" w:name="_Toc218775659"/>
      <w:bookmarkStart w:id="4" w:name="métodos-de-filtro"/>
      <w:r w:rsidRPr="0065644D">
        <w:lastRenderedPageBreak/>
        <w:t>2.2.1 Métodos de Filtro</w:t>
      </w:r>
      <w:bookmarkEnd w:id="3"/>
    </w:p>
    <w:p w14:paraId="73FAB3B6" w14:textId="77777777" w:rsidR="00E42673" w:rsidRPr="0065644D" w:rsidRDefault="00E42673" w:rsidP="00E42673">
      <w:pPr>
        <w:pStyle w:val="Prrafobase"/>
      </w:pPr>
      <w:r w:rsidRPr="0065644D">
        <w:t>Los métodos de filtro evalúan la relevancia de las características a partir de propiedades intrínsecas de los datos, tales como la varianza, la correlación o la información mutua, sin involucrar directamente ningún algoritmo de aprendizaje automático (Barradas-Palmeros et al., 2024). Debido a esta independencia del modelo, estos métodos suelen ser computacionalmente eficientes y fácilmente escalables. No obstante, su principal limitación radica en que tienden a ignorar las interacciones complejas entre variables (</w:t>
      </w:r>
      <w:proofErr w:type="spellStart"/>
      <w:r w:rsidRPr="0065644D">
        <w:t>Danubianu</w:t>
      </w:r>
      <w:proofErr w:type="spellEnd"/>
      <w:r w:rsidRPr="0065644D">
        <w:t xml:space="preserve"> et al., 2012).</w:t>
      </w:r>
    </w:p>
    <w:p w14:paraId="73CD34E4" w14:textId="77777777" w:rsidR="00E42673" w:rsidRPr="0065644D" w:rsidRDefault="00E42673" w:rsidP="00E42673">
      <w:pPr>
        <w:pStyle w:val="Ttulo3"/>
      </w:pPr>
      <w:bookmarkStart w:id="5" w:name="_Toc218775660"/>
      <w:bookmarkEnd w:id="4"/>
      <w:r w:rsidRPr="0065644D">
        <w:t>2.2.2 Métodos de Envoltura (</w:t>
      </w:r>
      <w:proofErr w:type="spellStart"/>
      <w:r w:rsidRPr="0065644D">
        <w:t>Wrappers</w:t>
      </w:r>
      <w:proofErr w:type="spellEnd"/>
      <w:r w:rsidRPr="0065644D">
        <w:t>)</w:t>
      </w:r>
      <w:bookmarkEnd w:id="5"/>
    </w:p>
    <w:p w14:paraId="2272FEB3" w14:textId="77777777" w:rsidR="00E42673" w:rsidRPr="0065644D" w:rsidRDefault="00E42673" w:rsidP="00E42673">
      <w:pPr>
        <w:pStyle w:val="Prrafobase"/>
      </w:pPr>
      <w:r w:rsidRPr="0065644D">
        <w:t>A diferencia de los métodos de filtro, los métodos de envoltura utilizan un modelo predictivo en este caso, el Análisis Discriminante Lineal (LDA)</w:t>
      </w:r>
      <w:r>
        <w:t xml:space="preserve"> </w:t>
      </w:r>
      <w:r w:rsidRPr="0065644D">
        <w:t xml:space="preserve">como una “caja negra” para evaluar la calidad de distintos subconjuntos de características. El procedimiento se lleva a cabo de manera iterativa: en primer lugar, se genera un subconjunto de variables; posteriormente, el modelo es entrenado utilizando dicho subconjunto; finalmente, el desempeño del modelo, medido a través de una métrica como la </w:t>
      </w:r>
      <w:proofErr w:type="spellStart"/>
      <w:r w:rsidRPr="0065644D">
        <w:t>accuracy</w:t>
      </w:r>
      <w:proofErr w:type="spellEnd"/>
      <w:r w:rsidRPr="0065644D">
        <w:t>, se emplea como función de aptitud (fitness) para evaluar la calidad del conjunto seleccionado (Palo et al., 2021).</w:t>
      </w:r>
    </w:p>
    <w:p w14:paraId="30A1D3D9" w14:textId="77777777" w:rsidR="00E42673" w:rsidRPr="0065644D" w:rsidRDefault="00E42673" w:rsidP="00E42673">
      <w:pPr>
        <w:pStyle w:val="Prrafoconsangra"/>
      </w:pPr>
      <w:r w:rsidRPr="0065644D">
        <w:t>Si bien estos métodos son computacionalmente más costosos que los enfoques de filtrado suelen ofrecer un rendimiento superior en problemas complejos, ya que permiten seleccionar aquellas variables que mejor se ajustan a las particularidades del algoritmo de clasificación empleado (</w:t>
      </w:r>
      <w:proofErr w:type="spellStart"/>
      <w:r w:rsidRPr="0065644D">
        <w:t>Kohavi</w:t>
      </w:r>
      <w:proofErr w:type="spellEnd"/>
      <w:r w:rsidRPr="0065644D">
        <w:t xml:space="preserve"> &amp; John, 1997). Esta característica resulta especialmente relevante en contextos como la expansión polinomial, donde la utilidad de un término cruzado (por ejemplo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65644D">
        <w:t>) depende frecuentemente de la presencia simultánea de otros términos en el modelo.</w:t>
      </w:r>
    </w:p>
    <w:p w14:paraId="4A970521" w14:textId="77777777" w:rsidR="005F7477" w:rsidRPr="00E42673" w:rsidRDefault="005F7477">
      <w:pPr>
        <w:rPr>
          <w:lang w:val="es-ES_tradnl"/>
        </w:rPr>
      </w:pPr>
    </w:p>
    <w:sectPr w:rsidR="005F7477" w:rsidRPr="00E4267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5E4A"/>
    <w:rsid w:val="00350BF1"/>
    <w:rsid w:val="005F7477"/>
    <w:rsid w:val="00AC5E4A"/>
    <w:rsid w:val="00DC6F5B"/>
    <w:rsid w:val="00E426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1327C30-9525-4048-B769-94AFE8D99E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qFormat/>
    <w:rsid w:val="00AC5E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C5E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AC5E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C5E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C5E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C5E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C5E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C5E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C5E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AC5E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AC5E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AC5E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C5E4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C5E4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C5E4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C5E4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C5E4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C5E4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C5E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C5E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C5E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C5E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C5E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C5E4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C5E4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C5E4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C5E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C5E4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C5E4A"/>
    <w:rPr>
      <w:b/>
      <w:bCs/>
      <w:smallCaps/>
      <w:color w:val="0F4761" w:themeColor="accent1" w:themeShade="BF"/>
      <w:spacing w:val="5"/>
    </w:rPr>
  </w:style>
  <w:style w:type="paragraph" w:customStyle="1" w:styleId="Prrafobase">
    <w:name w:val="Párrafo base"/>
    <w:basedOn w:val="Normal"/>
    <w:next w:val="Prrafoconsangra"/>
    <w:qFormat/>
    <w:rsid w:val="00E42673"/>
    <w:pPr>
      <w:autoSpaceDE w:val="0"/>
      <w:autoSpaceDN w:val="0"/>
      <w:adjustRightInd w:val="0"/>
      <w:spacing w:after="0" w:line="360" w:lineRule="auto"/>
      <w:jc w:val="both"/>
      <w:textAlignment w:val="center"/>
    </w:pPr>
    <w:rPr>
      <w:rFonts w:ascii="Times New Roman" w:eastAsiaTheme="minorEastAsia" w:hAnsi="Times New Roman" w:cs="Times New Roman"/>
      <w:color w:val="000000"/>
      <w:kern w:val="0"/>
      <w:szCs w:val="26"/>
      <w:lang w:val="es-ES_tradnl" w:eastAsia="es-MX"/>
      <w14:ligatures w14:val="none"/>
    </w:rPr>
  </w:style>
  <w:style w:type="paragraph" w:customStyle="1" w:styleId="Prrafoconsangra">
    <w:name w:val="Párrafo con sangría"/>
    <w:basedOn w:val="Prrafobase"/>
    <w:qFormat/>
    <w:rsid w:val="00E42673"/>
    <w:pPr>
      <w:ind w:firstLine="70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460</Words>
  <Characters>2536</Characters>
  <Application>Microsoft Office Word</Application>
  <DocSecurity>0</DocSecurity>
  <Lines>21</Lines>
  <Paragraphs>5</Paragraphs>
  <ScaleCrop>false</ScaleCrop>
  <Company/>
  <LinksUpToDate>false</LinksUpToDate>
  <CharactersWithSpaces>2991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GARCIA BAEZ ANGEL</dc:creator>
  <cp:keywords/>
  <dc:description/>
  <cp:lastModifiedBy>GARCIA BAEZ ANGEL</cp:lastModifiedBy>
  <cp:revision>2</cp:revision>
  <cp:lastPrinted>2026-06-23T16:09:00Z</cp:lastPrinted>
  <dcterms:created xsi:type="dcterms:W3CDTF">2026-06-23T16:08:00Z</dcterms:created>
  <dcterms:modified xsi:type="dcterms:W3CDTF">2026-06-23T16:09:00Z</dcterms:modified>
</cp:coreProperties>
</file>