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24999" w14:textId="77777777" w:rsidR="00AB368B" w:rsidRPr="00AB368B" w:rsidRDefault="00AB368B" w:rsidP="00AB368B">
      <w:pPr>
        <w:shd w:val="clear" w:color="auto" w:fill="FFFFFF"/>
        <w:spacing w:after="0" w:line="240" w:lineRule="auto"/>
        <w:rPr>
          <w:rFonts w:ascii="Calibri" w:eastAsia="Times New Roman" w:hAnsi="Calibri" w:cs="Calibri"/>
          <w:color w:val="201F1E"/>
          <w:sz w:val="24"/>
          <w:szCs w:val="24"/>
        </w:rPr>
      </w:pPr>
      <w:r w:rsidRPr="00AB368B">
        <w:rPr>
          <w:rFonts w:ascii="Calibri" w:eastAsia="Times New Roman" w:hAnsi="Calibri" w:cs="Calibri"/>
          <w:color w:val="201F1E"/>
          <w:sz w:val="24"/>
          <w:szCs w:val="24"/>
        </w:rPr>
        <w:t>Assignment:</w:t>
      </w:r>
    </w:p>
    <w:p w14:paraId="419E7C27" w14:textId="4DE2F585" w:rsidR="00AB368B" w:rsidRPr="00AB368B" w:rsidRDefault="00AB368B" w:rsidP="00AB368B">
      <w:pPr>
        <w:numPr>
          <w:ilvl w:val="0"/>
          <w:numId w:val="1"/>
        </w:numPr>
        <w:shd w:val="clear" w:color="auto" w:fill="FFFFFF"/>
        <w:spacing w:beforeAutospacing="1" w:after="0" w:afterAutospacing="1" w:line="240" w:lineRule="auto"/>
        <w:rPr>
          <w:rFonts w:ascii="Times New Roman" w:eastAsia="Times New Roman" w:hAnsi="Times New Roman" w:cs="Times New Roman"/>
          <w:color w:val="70AD47" w:themeColor="accent6"/>
          <w:sz w:val="24"/>
          <w:szCs w:val="24"/>
        </w:rPr>
      </w:pPr>
      <w:r w:rsidRPr="00AB368B">
        <w:rPr>
          <w:rFonts w:ascii="Times New Roman" w:eastAsia="Times New Roman" w:hAnsi="Times New Roman" w:cs="Times New Roman"/>
          <w:color w:val="70AD47" w:themeColor="accent6"/>
          <w:sz w:val="24"/>
          <w:szCs w:val="24"/>
        </w:rPr>
        <w:t>First, let’s visualize the activation differences for each sample based on the mean and stdev of classes we calculated last week. We will visualize using heatmaps. If you can hack keract’s heatmap visualization, that’s fine, or you can use matplotlib’s function (</w:t>
      </w:r>
      <w:hyperlink r:id="rId5" w:tgtFrame="_blank" w:history="1">
        <w:r w:rsidRPr="00AB368B">
          <w:rPr>
            <w:rFonts w:ascii="Times New Roman" w:eastAsia="Times New Roman" w:hAnsi="Times New Roman" w:cs="Times New Roman"/>
            <w:color w:val="70AD47" w:themeColor="accent6"/>
            <w:sz w:val="24"/>
            <w:szCs w:val="24"/>
            <w:u w:val="single"/>
            <w:bdr w:val="none" w:sz="0" w:space="0" w:color="auto" w:frame="1"/>
          </w:rPr>
          <w:t>https://matplotlib.org/3.1.1/gallery/images_contours_and_fields/image_annotated_heatmap.html</w:t>
        </w:r>
      </w:hyperlink>
      <w:r w:rsidRPr="00AB368B">
        <w:rPr>
          <w:rFonts w:ascii="Times New Roman" w:eastAsia="Times New Roman" w:hAnsi="Times New Roman" w:cs="Times New Roman"/>
          <w:color w:val="70AD47" w:themeColor="accent6"/>
          <w:sz w:val="24"/>
          <w:szCs w:val="24"/>
        </w:rPr>
        <w:t>). Each pixel will represent a neuron, and its value how many standard deviations away the sample’s activation is from the class mean.</w:t>
      </w:r>
    </w:p>
    <w:p w14:paraId="16F1D286" w14:textId="7B807512" w:rsidR="00AB368B" w:rsidRPr="00AB368B" w:rsidRDefault="00AB368B" w:rsidP="00AB368B">
      <w:pPr>
        <w:shd w:val="clear" w:color="auto" w:fill="FFFFFF"/>
        <w:spacing w:beforeAutospacing="1" w:after="0" w:afterAutospacing="1" w:line="240" w:lineRule="auto"/>
        <w:rPr>
          <w:rFonts w:ascii="Times New Roman" w:eastAsia="Times New Roman" w:hAnsi="Times New Roman" w:cs="Times New Roman"/>
          <w:color w:val="201F1E"/>
          <w:sz w:val="24"/>
          <w:szCs w:val="24"/>
        </w:rPr>
      </w:pPr>
      <w:r>
        <w:rPr>
          <w:noProof/>
        </w:rPr>
        <w:drawing>
          <wp:inline distT="0" distB="0" distL="0" distR="0" wp14:anchorId="0A183B50" wp14:editId="5F1CF728">
            <wp:extent cx="5943600" cy="131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5085"/>
                    </a:xfrm>
                    <a:prstGeom prst="rect">
                      <a:avLst/>
                    </a:prstGeom>
                  </pic:spPr>
                </pic:pic>
              </a:graphicData>
            </a:graphic>
          </wp:inline>
        </w:drawing>
      </w:r>
    </w:p>
    <w:p w14:paraId="780DAA86" w14:textId="6D3E472C" w:rsidR="00AB368B" w:rsidRPr="00AB368B" w:rsidRDefault="00AB368B" w:rsidP="00AB368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sidRPr="00AB368B">
        <w:rPr>
          <w:rFonts w:ascii="Times New Roman" w:eastAsia="Times New Roman" w:hAnsi="Times New Roman" w:cs="Times New Roman"/>
          <w:color w:val="70AD47" w:themeColor="accent6"/>
          <w:sz w:val="24"/>
          <w:szCs w:val="24"/>
        </w:rPr>
        <w:t xml:space="preserve">Let’s formalize this metric a little bit more, using better statistics. Figuring out individual stdevs is great and all, but what if some </w:t>
      </w:r>
      <w:r w:rsidR="00C2739D">
        <w:rPr>
          <w:rFonts w:ascii="Times New Roman" w:eastAsia="Times New Roman" w:hAnsi="Times New Roman" w:cs="Times New Roman"/>
          <w:color w:val="70AD47" w:themeColor="accent6"/>
          <w:sz w:val="24"/>
          <w:szCs w:val="24"/>
        </w:rPr>
        <w:t>neurons</w:t>
      </w:r>
      <w:r w:rsidRPr="00AB368B">
        <w:rPr>
          <w:rFonts w:ascii="Times New Roman" w:eastAsia="Times New Roman" w:hAnsi="Times New Roman" w:cs="Times New Roman"/>
          <w:color w:val="70AD47" w:themeColor="accent6"/>
          <w:sz w:val="24"/>
          <w:szCs w:val="24"/>
        </w:rPr>
        <w:t xml:space="preserve"> are highly correlated? (Not surprising in an image—</w:t>
      </w:r>
      <w:r w:rsidR="00C2739D">
        <w:rPr>
          <w:rFonts w:ascii="Times New Roman" w:eastAsia="Times New Roman" w:hAnsi="Times New Roman" w:cs="Times New Roman"/>
          <w:color w:val="70AD47" w:themeColor="accent6"/>
          <w:sz w:val="24"/>
          <w:szCs w:val="24"/>
        </w:rPr>
        <w:t>neurons</w:t>
      </w:r>
      <w:r w:rsidRPr="00AB368B">
        <w:rPr>
          <w:rFonts w:ascii="Times New Roman" w:eastAsia="Times New Roman" w:hAnsi="Times New Roman" w:cs="Times New Roman"/>
          <w:color w:val="70AD47" w:themeColor="accent6"/>
          <w:sz w:val="24"/>
          <w:szCs w:val="24"/>
        </w:rPr>
        <w:t xml:space="preserve"> are usually similar to those around them.) So if one </w:t>
      </w:r>
      <w:r w:rsidR="00C2739D">
        <w:rPr>
          <w:rFonts w:ascii="Times New Roman" w:eastAsia="Times New Roman" w:hAnsi="Times New Roman" w:cs="Times New Roman"/>
          <w:color w:val="70AD47" w:themeColor="accent6"/>
          <w:sz w:val="24"/>
          <w:szCs w:val="24"/>
        </w:rPr>
        <w:t xml:space="preserve">neuron </w:t>
      </w:r>
      <w:r w:rsidR="00C2739D" w:rsidRPr="00C2739D">
        <w:rPr>
          <w:rFonts w:ascii="Times New Roman" w:eastAsia="Times New Roman" w:hAnsi="Times New Roman" w:cs="Times New Roman"/>
          <w:color w:val="FF0000"/>
          <w:sz w:val="24"/>
          <w:szCs w:val="24"/>
        </w:rPr>
        <w:t xml:space="preserve">(?) </w:t>
      </w:r>
      <w:r w:rsidRPr="00AB368B">
        <w:rPr>
          <w:rFonts w:ascii="Times New Roman" w:eastAsia="Times New Roman" w:hAnsi="Times New Roman" w:cs="Times New Roman"/>
          <w:color w:val="70AD47" w:themeColor="accent6"/>
          <w:sz w:val="24"/>
          <w:szCs w:val="24"/>
        </w:rPr>
        <w:t xml:space="preserve">is outside the norm, others </w:t>
      </w:r>
      <w:r w:rsidRPr="00AB368B">
        <w:rPr>
          <w:rFonts w:ascii="Times New Roman" w:eastAsia="Times New Roman" w:hAnsi="Times New Roman" w:cs="Times New Roman"/>
          <w:b/>
          <w:bCs/>
          <w:color w:val="70AD47" w:themeColor="accent6"/>
          <w:sz w:val="24"/>
          <w:szCs w:val="24"/>
        </w:rPr>
        <w:t>nearby</w:t>
      </w:r>
      <w:r w:rsidRPr="00AB368B">
        <w:rPr>
          <w:rFonts w:ascii="Times New Roman" w:eastAsia="Times New Roman" w:hAnsi="Times New Roman" w:cs="Times New Roman"/>
          <w:color w:val="70AD47" w:themeColor="accent6"/>
          <w:sz w:val="24"/>
          <w:szCs w:val="24"/>
        </w:rPr>
        <w:t xml:space="preserve"> will likely be as well. </w:t>
      </w:r>
      <w:r w:rsidRPr="00AB368B">
        <w:rPr>
          <w:rFonts w:ascii="Times New Roman" w:eastAsia="Times New Roman" w:hAnsi="Times New Roman" w:cs="Times New Roman"/>
          <w:color w:val="201F1E"/>
          <w:sz w:val="24"/>
          <w:szCs w:val="24"/>
        </w:rPr>
        <w:t>Should these be counted separately as independent events? How to adjust for correlations in the features? To address these issues, let’s explore Mahalanobis distances:</w:t>
      </w:r>
    </w:p>
    <w:p w14:paraId="3F53C606" w14:textId="77777777" w:rsidR="00AB368B" w:rsidRPr="00AB368B" w:rsidRDefault="003C5817" w:rsidP="00AB368B">
      <w:pPr>
        <w:numPr>
          <w:ilvl w:val="1"/>
          <w:numId w:val="1"/>
        </w:numPr>
        <w:shd w:val="clear" w:color="auto" w:fill="FFFFFF"/>
        <w:spacing w:beforeAutospacing="1" w:after="0" w:afterAutospacing="1" w:line="240" w:lineRule="auto"/>
        <w:rPr>
          <w:rFonts w:ascii="Times New Roman" w:eastAsia="Times New Roman" w:hAnsi="Times New Roman" w:cs="Times New Roman"/>
          <w:color w:val="201F1E"/>
          <w:sz w:val="24"/>
          <w:szCs w:val="24"/>
        </w:rPr>
      </w:pPr>
      <w:hyperlink r:id="rId7" w:tgtFrame="_blank" w:history="1">
        <w:r w:rsidR="00AB368B" w:rsidRPr="00AB368B">
          <w:rPr>
            <w:rFonts w:ascii="Times New Roman" w:eastAsia="Times New Roman" w:hAnsi="Times New Roman" w:cs="Times New Roman"/>
            <w:color w:val="0000FF"/>
            <w:sz w:val="24"/>
            <w:szCs w:val="24"/>
            <w:u w:val="single"/>
            <w:bdr w:val="none" w:sz="0" w:space="0" w:color="auto" w:frame="1"/>
          </w:rPr>
          <w:t>https://www.machinelearningplus.com/statistics/mahalanobis-distance/</w:t>
        </w:r>
      </w:hyperlink>
    </w:p>
    <w:p w14:paraId="0BE0AB06" w14:textId="77777777" w:rsidR="00AB368B" w:rsidRPr="00AB368B" w:rsidRDefault="003C5817" w:rsidP="00AB368B">
      <w:pPr>
        <w:numPr>
          <w:ilvl w:val="1"/>
          <w:numId w:val="1"/>
        </w:numPr>
        <w:shd w:val="clear" w:color="auto" w:fill="FFFFFF"/>
        <w:spacing w:beforeAutospacing="1" w:after="0" w:afterAutospacing="1" w:line="240" w:lineRule="auto"/>
        <w:rPr>
          <w:rFonts w:ascii="Times New Roman" w:eastAsia="Times New Roman" w:hAnsi="Times New Roman" w:cs="Times New Roman"/>
          <w:color w:val="201F1E"/>
          <w:sz w:val="24"/>
          <w:szCs w:val="24"/>
        </w:rPr>
      </w:pPr>
      <w:hyperlink r:id="rId8" w:tgtFrame="_blank" w:history="1">
        <w:r w:rsidR="00AB368B" w:rsidRPr="00AB368B">
          <w:rPr>
            <w:rFonts w:ascii="Times New Roman" w:eastAsia="Times New Roman" w:hAnsi="Times New Roman" w:cs="Times New Roman"/>
            <w:color w:val="0000FF"/>
            <w:sz w:val="24"/>
            <w:szCs w:val="24"/>
            <w:u w:val="single"/>
            <w:bdr w:val="none" w:sz="0" w:space="0" w:color="auto" w:frame="1"/>
          </w:rPr>
          <w:t>https://www.youtube.com/watch?v=spNpfmWZBmg</w:t>
        </w:r>
      </w:hyperlink>
    </w:p>
    <w:p w14:paraId="450DCCA9" w14:textId="77777777" w:rsidR="00AB368B" w:rsidRPr="00AB368B" w:rsidRDefault="00AB368B" w:rsidP="00AB368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sidRPr="00AB368B">
        <w:rPr>
          <w:rFonts w:ascii="Times New Roman" w:eastAsia="Times New Roman" w:hAnsi="Times New Roman" w:cs="Times New Roman"/>
          <w:color w:val="201F1E"/>
          <w:sz w:val="24"/>
          <w:szCs w:val="24"/>
        </w:rPr>
        <w:t>Calculate Mahalanobis distances for your adversarial examples against the class distributions, i.e instead of calculating how far away adversarial activations are from the mean in terms of the stdev, use Mahalanobis to calculate distance.</w:t>
      </w:r>
    </w:p>
    <w:p w14:paraId="3D71542C" w14:textId="11E45863" w:rsidR="00AB368B" w:rsidRPr="00AB368B" w:rsidRDefault="00AB368B" w:rsidP="00AB368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sidRPr="00AB368B">
        <w:rPr>
          <w:rFonts w:ascii="Times New Roman" w:eastAsia="Times New Roman" w:hAnsi="Times New Roman" w:cs="Times New Roman"/>
          <w:color w:val="201F1E"/>
          <w:sz w:val="24"/>
          <w:szCs w:val="24"/>
        </w:rPr>
        <w:t xml:space="preserve">Hint: to calculate the covariance matrix of the training samples in each class, you can use numpy’s cov() function. However, to prevent long computation times and numerical underflow errors, you may want to </w:t>
      </w:r>
      <w:r w:rsidRPr="00261E34">
        <w:rPr>
          <w:rFonts w:ascii="Times New Roman" w:eastAsia="Times New Roman" w:hAnsi="Times New Roman" w:cs="Times New Roman"/>
          <w:b/>
          <w:bCs/>
          <w:color w:val="201F1E"/>
          <w:sz w:val="24"/>
          <w:szCs w:val="24"/>
        </w:rPr>
        <w:t xml:space="preserve">transform the data first into an uncorrelated bases </w:t>
      </w:r>
      <w:r w:rsidRPr="00AB368B">
        <w:rPr>
          <w:rFonts w:ascii="Times New Roman" w:eastAsia="Times New Roman" w:hAnsi="Times New Roman" w:cs="Times New Roman"/>
          <w:color w:val="201F1E"/>
          <w:sz w:val="24"/>
          <w:szCs w:val="24"/>
        </w:rPr>
        <w:t>(brush off that linear algebra) through PCA. You don’t necessarily need to</w:t>
      </w:r>
      <w:r w:rsidR="00261E34">
        <w:rPr>
          <w:rFonts w:ascii="Times New Roman" w:eastAsia="Times New Roman" w:hAnsi="Times New Roman" w:cs="Times New Roman"/>
          <w:color w:val="201F1E"/>
          <w:sz w:val="24"/>
          <w:szCs w:val="24"/>
        </w:rPr>
        <w:t xml:space="preserve"> do</w:t>
      </w:r>
      <w:r w:rsidRPr="00AB368B">
        <w:rPr>
          <w:rFonts w:ascii="Times New Roman" w:eastAsia="Times New Roman" w:hAnsi="Times New Roman" w:cs="Times New Roman"/>
          <w:color w:val="201F1E"/>
          <w:sz w:val="24"/>
          <w:szCs w:val="24"/>
        </w:rPr>
        <w:t xml:space="preserve"> the full bases; truncating the number of features essentially reduces the dimensionality of the problem space. Use sklearn’s PCA function and its explained variance parameter to pick a reasonable truncation point, e.g. if the first 10 axes explain 97% of the variance, try using just the first 10 axes.</w:t>
      </w:r>
    </w:p>
    <w:p w14:paraId="3FB70196" w14:textId="36C183E1" w:rsidR="00E85A04" w:rsidRDefault="00AB368B" w:rsidP="00AB368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sidRPr="00AB368B">
        <w:rPr>
          <w:rFonts w:ascii="Times New Roman" w:eastAsia="Times New Roman" w:hAnsi="Times New Roman" w:cs="Times New Roman"/>
          <w:color w:val="201F1E"/>
          <w:sz w:val="24"/>
          <w:szCs w:val="24"/>
        </w:rPr>
        <w:t>If you use PCA to transform the data, then by definition the bases are uncorrelated and the covariance matrix reduces down to a diagonal matrix of its eigenvalues, which is much easier to work with (and calculate!)</w:t>
      </w:r>
    </w:p>
    <w:p w14:paraId="38ED13E6" w14:textId="77777777" w:rsidR="00E85A04" w:rsidRDefault="00E85A04">
      <w:pP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br w:type="page"/>
      </w:r>
    </w:p>
    <w:p w14:paraId="74CB4FCE" w14:textId="7402462D" w:rsidR="00AB368B" w:rsidRDefault="00E85A04" w:rsidP="00E85A04">
      <w:pPr>
        <w:shd w:val="clear" w:color="auto" w:fill="FFFFFF"/>
        <w:spacing w:before="100" w:beforeAutospacing="1" w:after="100" w:afterAutospacing="1" w:line="240" w:lineRule="auto"/>
        <w:ind w:left="1440"/>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lastRenderedPageBreak/>
        <w:t xml:space="preserve">From PCA, we decide to use the 50 neurons that explain 95% of the </w:t>
      </w:r>
      <w:r w:rsidR="003C5817">
        <w:rPr>
          <w:rFonts w:ascii="Times New Roman" w:eastAsia="Times New Roman" w:hAnsi="Times New Roman" w:cs="Times New Roman"/>
          <w:color w:val="201F1E"/>
          <w:sz w:val="24"/>
          <w:szCs w:val="24"/>
        </w:rPr>
        <w:t>variability</w:t>
      </w:r>
      <w:r>
        <w:rPr>
          <w:rFonts w:ascii="Times New Roman" w:eastAsia="Times New Roman" w:hAnsi="Times New Roman" w:cs="Times New Roman"/>
          <w:color w:val="201F1E"/>
          <w:sz w:val="24"/>
          <w:szCs w:val="24"/>
        </w:rPr>
        <w:t>:</w:t>
      </w:r>
    </w:p>
    <w:tbl>
      <w:tblPr>
        <w:tblStyle w:val="TableGrid"/>
        <w:tblW w:w="0" w:type="auto"/>
        <w:tblLook w:val="04A0" w:firstRow="1" w:lastRow="0" w:firstColumn="1" w:lastColumn="0" w:noHBand="0" w:noVBand="1"/>
      </w:tblPr>
      <w:tblGrid>
        <w:gridCol w:w="2087"/>
        <w:gridCol w:w="1688"/>
        <w:gridCol w:w="360"/>
        <w:gridCol w:w="1530"/>
        <w:gridCol w:w="2340"/>
      </w:tblGrid>
      <w:tr w:rsidR="00E85A04" w14:paraId="7F40D017" w14:textId="77777777" w:rsidTr="00E85A04">
        <w:tc>
          <w:tcPr>
            <w:tcW w:w="2087" w:type="dxa"/>
          </w:tcPr>
          <w:p w14:paraId="105D54D8" w14:textId="083617D8"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Number of Neurons</w:t>
            </w:r>
          </w:p>
        </w:tc>
        <w:tc>
          <w:tcPr>
            <w:tcW w:w="1688" w:type="dxa"/>
          </w:tcPr>
          <w:p w14:paraId="264AF915" w14:textId="31BDA464"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Percent of Variability</w:t>
            </w:r>
          </w:p>
        </w:tc>
        <w:tc>
          <w:tcPr>
            <w:tcW w:w="360" w:type="dxa"/>
          </w:tcPr>
          <w:p w14:paraId="25425FB7" w14:textId="77777777" w:rsidR="00E85A04" w:rsidRP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p>
        </w:tc>
        <w:tc>
          <w:tcPr>
            <w:tcW w:w="1530" w:type="dxa"/>
          </w:tcPr>
          <w:p w14:paraId="678CA381" w14:textId="3B620CE6"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Number of Neurons</w:t>
            </w:r>
          </w:p>
        </w:tc>
        <w:tc>
          <w:tcPr>
            <w:tcW w:w="2340" w:type="dxa"/>
          </w:tcPr>
          <w:p w14:paraId="19697F2E" w14:textId="65F6378A"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Percent of Variability</w:t>
            </w:r>
          </w:p>
        </w:tc>
      </w:tr>
      <w:tr w:rsidR="00E85A04" w14:paraId="35117299" w14:textId="77777777" w:rsidTr="00E85A04">
        <w:tc>
          <w:tcPr>
            <w:tcW w:w="2087" w:type="dxa"/>
          </w:tcPr>
          <w:p w14:paraId="747BEE06" w14:textId="65808341"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10</w:t>
            </w:r>
          </w:p>
        </w:tc>
        <w:tc>
          <w:tcPr>
            <w:tcW w:w="1688" w:type="dxa"/>
          </w:tcPr>
          <w:p w14:paraId="12560362" w14:textId="778C7D04"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73.5%</w:t>
            </w:r>
          </w:p>
        </w:tc>
        <w:tc>
          <w:tcPr>
            <w:tcW w:w="360" w:type="dxa"/>
          </w:tcPr>
          <w:p w14:paraId="08CC79C8" w14:textId="77777777" w:rsidR="00E85A04" w:rsidRP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p>
        </w:tc>
        <w:tc>
          <w:tcPr>
            <w:tcW w:w="1530" w:type="dxa"/>
          </w:tcPr>
          <w:p w14:paraId="51675D21" w14:textId="6CD57C44"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60</w:t>
            </w:r>
          </w:p>
        </w:tc>
        <w:tc>
          <w:tcPr>
            <w:tcW w:w="2340" w:type="dxa"/>
          </w:tcPr>
          <w:p w14:paraId="056CAC0F" w14:textId="731AD197"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96.4%</w:t>
            </w:r>
          </w:p>
        </w:tc>
      </w:tr>
      <w:tr w:rsidR="00E85A04" w14:paraId="48203202" w14:textId="77777777" w:rsidTr="00E85A04">
        <w:tc>
          <w:tcPr>
            <w:tcW w:w="2087" w:type="dxa"/>
          </w:tcPr>
          <w:p w14:paraId="7966256E" w14:textId="1C60A98E"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20</w:t>
            </w:r>
          </w:p>
        </w:tc>
        <w:tc>
          <w:tcPr>
            <w:tcW w:w="1688" w:type="dxa"/>
          </w:tcPr>
          <w:p w14:paraId="74538303" w14:textId="312F5D08"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85.3%</w:t>
            </w:r>
          </w:p>
        </w:tc>
        <w:tc>
          <w:tcPr>
            <w:tcW w:w="360" w:type="dxa"/>
          </w:tcPr>
          <w:p w14:paraId="42D5FD2E" w14:textId="77777777" w:rsidR="00E85A04" w:rsidRP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p>
        </w:tc>
        <w:tc>
          <w:tcPr>
            <w:tcW w:w="1530" w:type="dxa"/>
          </w:tcPr>
          <w:p w14:paraId="5EB6E299" w14:textId="748808D3"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70</w:t>
            </w:r>
          </w:p>
        </w:tc>
        <w:tc>
          <w:tcPr>
            <w:tcW w:w="2340" w:type="dxa"/>
          </w:tcPr>
          <w:p w14:paraId="291FE851" w14:textId="2714F299"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97.5%</w:t>
            </w:r>
          </w:p>
        </w:tc>
      </w:tr>
      <w:tr w:rsidR="00E85A04" w14:paraId="01930163" w14:textId="77777777" w:rsidTr="00E85A04">
        <w:tc>
          <w:tcPr>
            <w:tcW w:w="2087" w:type="dxa"/>
          </w:tcPr>
          <w:p w14:paraId="162B549D" w14:textId="41C56446"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30</w:t>
            </w:r>
          </w:p>
        </w:tc>
        <w:tc>
          <w:tcPr>
            <w:tcW w:w="1688" w:type="dxa"/>
          </w:tcPr>
          <w:p w14:paraId="184E9DE6" w14:textId="221A64F3"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90.2%</w:t>
            </w:r>
          </w:p>
        </w:tc>
        <w:tc>
          <w:tcPr>
            <w:tcW w:w="360" w:type="dxa"/>
          </w:tcPr>
          <w:p w14:paraId="1B0C3395" w14:textId="77777777" w:rsidR="00E85A04" w:rsidRP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p>
        </w:tc>
        <w:tc>
          <w:tcPr>
            <w:tcW w:w="1530" w:type="dxa"/>
          </w:tcPr>
          <w:p w14:paraId="1759D55E" w14:textId="7B151957"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80</w:t>
            </w:r>
          </w:p>
        </w:tc>
        <w:tc>
          <w:tcPr>
            <w:tcW w:w="2340" w:type="dxa"/>
          </w:tcPr>
          <w:p w14:paraId="6C5B31D1" w14:textId="60642EBE"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98.3%</w:t>
            </w:r>
          </w:p>
        </w:tc>
      </w:tr>
      <w:tr w:rsidR="00E85A04" w14:paraId="687C4EA3" w14:textId="77777777" w:rsidTr="00E85A04">
        <w:tc>
          <w:tcPr>
            <w:tcW w:w="2087" w:type="dxa"/>
          </w:tcPr>
          <w:p w14:paraId="7FA8DA26" w14:textId="6120AC35"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40</w:t>
            </w:r>
          </w:p>
        </w:tc>
        <w:tc>
          <w:tcPr>
            <w:tcW w:w="1688" w:type="dxa"/>
          </w:tcPr>
          <w:p w14:paraId="7924D3CF" w14:textId="50B74ED8"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93.2%</w:t>
            </w:r>
          </w:p>
        </w:tc>
        <w:tc>
          <w:tcPr>
            <w:tcW w:w="360" w:type="dxa"/>
          </w:tcPr>
          <w:p w14:paraId="14DE9E8B" w14:textId="77777777" w:rsidR="00E85A04" w:rsidRP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p>
        </w:tc>
        <w:tc>
          <w:tcPr>
            <w:tcW w:w="1530" w:type="dxa"/>
          </w:tcPr>
          <w:p w14:paraId="0BC5E3F0" w14:textId="2C5EFB28"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90</w:t>
            </w:r>
          </w:p>
        </w:tc>
        <w:tc>
          <w:tcPr>
            <w:tcW w:w="2340" w:type="dxa"/>
          </w:tcPr>
          <w:p w14:paraId="41C61E11" w14:textId="652E3E6D"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98.9%</w:t>
            </w:r>
          </w:p>
        </w:tc>
      </w:tr>
      <w:tr w:rsidR="00E85A04" w14:paraId="3AE16BE2" w14:textId="77777777" w:rsidTr="00E85A04">
        <w:tc>
          <w:tcPr>
            <w:tcW w:w="2087" w:type="dxa"/>
          </w:tcPr>
          <w:p w14:paraId="03E1A29A" w14:textId="3F0122C5" w:rsidR="00E85A04" w:rsidRPr="00E85A04" w:rsidRDefault="00E85A04" w:rsidP="00E85A04">
            <w:pPr>
              <w:spacing w:before="100" w:beforeAutospacing="1" w:after="100" w:afterAutospacing="1"/>
              <w:jc w:val="center"/>
              <w:rPr>
                <w:rFonts w:ascii="Times New Roman" w:eastAsia="Times New Roman" w:hAnsi="Times New Roman" w:cs="Times New Roman"/>
                <w:b/>
                <w:bCs/>
                <w:color w:val="201F1E"/>
                <w:sz w:val="24"/>
                <w:szCs w:val="24"/>
              </w:rPr>
            </w:pPr>
            <w:r w:rsidRPr="00E85A04">
              <w:rPr>
                <w:rFonts w:ascii="Times New Roman" w:eastAsia="Times New Roman" w:hAnsi="Times New Roman" w:cs="Times New Roman"/>
                <w:b/>
                <w:bCs/>
                <w:color w:val="201F1E"/>
                <w:sz w:val="24"/>
                <w:szCs w:val="24"/>
              </w:rPr>
              <w:t>50</w:t>
            </w:r>
          </w:p>
        </w:tc>
        <w:tc>
          <w:tcPr>
            <w:tcW w:w="1688" w:type="dxa"/>
          </w:tcPr>
          <w:p w14:paraId="10EE2EB7" w14:textId="05232D86" w:rsidR="00E85A04" w:rsidRPr="00E85A04" w:rsidRDefault="00E85A04" w:rsidP="00E85A04">
            <w:pPr>
              <w:spacing w:before="100" w:beforeAutospacing="1" w:after="100" w:afterAutospacing="1"/>
              <w:jc w:val="center"/>
              <w:rPr>
                <w:rFonts w:ascii="Times New Roman" w:eastAsia="Times New Roman" w:hAnsi="Times New Roman" w:cs="Times New Roman"/>
                <w:b/>
                <w:bCs/>
                <w:color w:val="201F1E"/>
                <w:sz w:val="24"/>
                <w:szCs w:val="24"/>
              </w:rPr>
            </w:pPr>
            <w:r w:rsidRPr="00E85A04">
              <w:rPr>
                <w:rFonts w:ascii="Times New Roman" w:eastAsia="Times New Roman" w:hAnsi="Times New Roman" w:cs="Times New Roman"/>
                <w:b/>
                <w:bCs/>
                <w:color w:val="201F1E"/>
                <w:sz w:val="24"/>
                <w:szCs w:val="24"/>
              </w:rPr>
              <w:t>95.1%</w:t>
            </w:r>
          </w:p>
        </w:tc>
        <w:tc>
          <w:tcPr>
            <w:tcW w:w="360" w:type="dxa"/>
          </w:tcPr>
          <w:p w14:paraId="1C82EFE2" w14:textId="77777777" w:rsidR="00E85A04" w:rsidRP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p>
        </w:tc>
        <w:tc>
          <w:tcPr>
            <w:tcW w:w="1530" w:type="dxa"/>
          </w:tcPr>
          <w:p w14:paraId="0227AA31" w14:textId="1F47C404"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100</w:t>
            </w:r>
          </w:p>
        </w:tc>
        <w:tc>
          <w:tcPr>
            <w:tcW w:w="2340" w:type="dxa"/>
          </w:tcPr>
          <w:p w14:paraId="46B8CEC6" w14:textId="2F4EB43A"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99.3%</w:t>
            </w:r>
          </w:p>
        </w:tc>
      </w:tr>
    </w:tbl>
    <w:p w14:paraId="040A37F1" w14:textId="77777777" w:rsidR="00E85A04" w:rsidRPr="00AB368B" w:rsidRDefault="00E85A04" w:rsidP="00E85A04">
      <w:p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p>
    <w:p w14:paraId="6AC4BD05" w14:textId="77777777" w:rsidR="00AB368B" w:rsidRPr="00AB368B" w:rsidRDefault="00AB368B" w:rsidP="00AB368B">
      <w:pPr>
        <w:numPr>
          <w:ilvl w:val="1"/>
          <w:numId w:val="1"/>
        </w:numPr>
        <w:shd w:val="clear" w:color="auto" w:fill="FFFFFF"/>
        <w:spacing w:beforeAutospacing="1" w:after="0" w:afterAutospacing="1" w:line="240" w:lineRule="auto"/>
        <w:rPr>
          <w:rFonts w:ascii="Times New Roman" w:eastAsia="Times New Roman" w:hAnsi="Times New Roman" w:cs="Times New Roman"/>
          <w:color w:val="201F1E"/>
          <w:sz w:val="24"/>
          <w:szCs w:val="24"/>
        </w:rPr>
      </w:pPr>
      <w:r w:rsidRPr="00AB368B">
        <w:rPr>
          <w:rFonts w:ascii="Times New Roman" w:eastAsia="Times New Roman" w:hAnsi="Times New Roman" w:cs="Times New Roman"/>
          <w:color w:val="201F1E"/>
          <w:sz w:val="24"/>
          <w:szCs w:val="24"/>
        </w:rPr>
        <w:t>If you’re rusty on your linear algebra/PCA, feel free to learn more about it! </w:t>
      </w:r>
      <w:hyperlink r:id="rId9" w:tgtFrame="_blank" w:history="1">
        <w:r w:rsidRPr="00AB368B">
          <w:rPr>
            <w:rFonts w:ascii="Times New Roman" w:eastAsia="Times New Roman" w:hAnsi="Times New Roman" w:cs="Times New Roman"/>
            <w:color w:val="0000FF"/>
            <w:sz w:val="24"/>
            <w:szCs w:val="24"/>
            <w:u w:val="single"/>
            <w:bdr w:val="none" w:sz="0" w:space="0" w:color="auto" w:frame="1"/>
          </w:rPr>
          <w:t>https://www.youtube.com/watch?v=FgakZw6K1QQ</w:t>
        </w:r>
      </w:hyperlink>
    </w:p>
    <w:p w14:paraId="18944761" w14:textId="77777777" w:rsidR="00AB368B" w:rsidRPr="00AB368B" w:rsidRDefault="00AB368B" w:rsidP="00AB368B">
      <w:pPr>
        <w:numPr>
          <w:ilvl w:val="0"/>
          <w:numId w:val="1"/>
        </w:numPr>
        <w:shd w:val="clear" w:color="auto" w:fill="FFFFFF"/>
        <w:spacing w:beforeAutospacing="1" w:after="0" w:afterAutospacing="1" w:line="240" w:lineRule="auto"/>
        <w:rPr>
          <w:rFonts w:ascii="Times New Roman" w:eastAsia="Times New Roman" w:hAnsi="Times New Roman" w:cs="Times New Roman"/>
          <w:color w:val="201F1E"/>
          <w:sz w:val="24"/>
          <w:szCs w:val="24"/>
        </w:rPr>
      </w:pPr>
      <w:r w:rsidRPr="00AB368B">
        <w:rPr>
          <w:rFonts w:ascii="Times New Roman" w:eastAsia="Times New Roman" w:hAnsi="Times New Roman" w:cs="Times New Roman"/>
          <w:color w:val="201F1E"/>
          <w:sz w:val="24"/>
          <w:szCs w:val="24"/>
        </w:rPr>
        <w:t>Compare your Mahalanobis distances to the simpler mean/stdev work from last week. Do the Mahalanobis distances say anything different? Do you get more nuance? One big benefit is that Mahalanobis distances are what are known in statistics as being chi-square distributed (</w:t>
      </w:r>
      <w:hyperlink r:id="rId10" w:tgtFrame="_blank" w:history="1">
        <w:r w:rsidRPr="00AB368B">
          <w:rPr>
            <w:rFonts w:ascii="Times New Roman" w:eastAsia="Times New Roman" w:hAnsi="Times New Roman" w:cs="Times New Roman"/>
            <w:color w:val="0000FF"/>
            <w:sz w:val="24"/>
            <w:szCs w:val="24"/>
            <w:u w:val="single"/>
            <w:bdr w:val="none" w:sz="0" w:space="0" w:color="auto" w:frame="1"/>
          </w:rPr>
          <w:t>https://www.khanacademy.org/math/statistics-probability/inference-categorical-data-chi-square-tests/chi-square-goodness-of-fit-tests/v/chi-square-distribution-introduction</w:t>
        </w:r>
      </w:hyperlink>
      <w:r w:rsidRPr="00AB368B">
        <w:rPr>
          <w:rFonts w:ascii="Times New Roman" w:eastAsia="Times New Roman" w:hAnsi="Times New Roman" w:cs="Times New Roman"/>
          <w:color w:val="201F1E"/>
          <w:sz w:val="24"/>
          <w:szCs w:val="24"/>
        </w:rPr>
        <w:t>). These distributions are great, because we can actually assign probabilities to the numbers now, much like normal distributions have a 3% chance of values falling outside of 2 stdevs of the mean. Use scipy.stats.chi2.ppf to find critical values for our degrees of freedom (dense=128? Not sure if the function goes this high, but let’s try.) We often use p values &lt; 0.05 for significance (see tutorial in 2.a above), so try that value of p. Can we detect adversarial examples as significantly out of range of the distribution?</w:t>
      </w:r>
    </w:p>
    <w:p w14:paraId="0B83108F" w14:textId="77777777" w:rsidR="00AB368B" w:rsidRPr="00AB368B" w:rsidRDefault="00AB368B" w:rsidP="00AB368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sidRPr="00AB368B">
        <w:rPr>
          <w:rFonts w:ascii="Times New Roman" w:eastAsia="Times New Roman" w:hAnsi="Times New Roman" w:cs="Times New Roman"/>
          <w:color w:val="201F1E"/>
          <w:sz w:val="24"/>
          <w:szCs w:val="24"/>
        </w:rPr>
        <w:t>Finally, as this is our last week, make sure you document, document, document. Put all these code and answers on your github. Bonus</w:t>
      </w:r>
      <w:r w:rsidRPr="0026480B">
        <w:rPr>
          <w:rFonts w:ascii="Times New Roman" w:eastAsia="Times New Roman" w:hAnsi="Times New Roman" w:cs="Times New Roman"/>
          <w:color w:val="201F1E"/>
          <w:sz w:val="24"/>
          <w:szCs w:val="24"/>
        </w:rPr>
        <w:t xml:space="preserve">: </w:t>
      </w:r>
      <w:r w:rsidRPr="0026480B">
        <w:rPr>
          <w:rFonts w:ascii="Times New Roman" w:eastAsia="Times New Roman" w:hAnsi="Times New Roman" w:cs="Times New Roman"/>
          <w:b/>
          <w:bCs/>
          <w:color w:val="201F1E"/>
          <w:sz w:val="24"/>
          <w:szCs w:val="24"/>
        </w:rPr>
        <w:t>create a short 5-10 slide presentation</w:t>
      </w:r>
      <w:r w:rsidRPr="00AB368B">
        <w:rPr>
          <w:rFonts w:ascii="Times New Roman" w:eastAsia="Times New Roman" w:hAnsi="Times New Roman" w:cs="Times New Roman"/>
          <w:color w:val="201F1E"/>
          <w:sz w:val="24"/>
          <w:szCs w:val="24"/>
        </w:rPr>
        <w:t xml:space="preserve"> on what you’ve done this past month; you never know when you’ll be asked to give a short technical presentation, and having one ready to go is a huge plus. Prepare it now while it’s fresh in your memory!</w:t>
      </w:r>
    </w:p>
    <w:p w14:paraId="7D0C72AE" w14:textId="77777777" w:rsidR="0042574B" w:rsidRDefault="003C5817"/>
    <w:sectPr w:rsidR="0042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96CCC"/>
    <w:multiLevelType w:val="multilevel"/>
    <w:tmpl w:val="1B04B6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8B"/>
    <w:rsid w:val="00261E34"/>
    <w:rsid w:val="0026480B"/>
    <w:rsid w:val="003C5817"/>
    <w:rsid w:val="0046288D"/>
    <w:rsid w:val="00692E7A"/>
    <w:rsid w:val="00AB368B"/>
    <w:rsid w:val="00C2739D"/>
    <w:rsid w:val="00E8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712C"/>
  <w15:chartTrackingRefBased/>
  <w15:docId w15:val="{3740D64F-4476-41E4-B545-F339434A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6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368B"/>
    <w:rPr>
      <w:color w:val="0000FF"/>
      <w:u w:val="single"/>
    </w:rPr>
  </w:style>
  <w:style w:type="table" w:styleId="TableGrid">
    <w:name w:val="Table Grid"/>
    <w:basedOn w:val="TableNormal"/>
    <w:uiPriority w:val="39"/>
    <w:rsid w:val="00E85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63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pNpfmWZBmg" TargetMode="External"/><Relationship Id="rId3" Type="http://schemas.openxmlformats.org/officeDocument/2006/relationships/settings" Target="settings.xml"/><Relationship Id="rId7" Type="http://schemas.openxmlformats.org/officeDocument/2006/relationships/hyperlink" Target="https://www.machinelearningplus.com/statistics/mahalanobis-dist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atplotlib.org/3.1.1/gallery/images_contours_and_fields/image_annotated_heatmap.html" TargetMode="External"/><Relationship Id="rId10" Type="http://schemas.openxmlformats.org/officeDocument/2006/relationships/hyperlink" Target="https://www.khanacademy.org/math/statistics-probability/inference-categorical-data-chi-square-tests/chi-square-goodness-of-fit-tests/v/chi-square-distribution-introduction" TargetMode="External"/><Relationship Id="rId4" Type="http://schemas.openxmlformats.org/officeDocument/2006/relationships/webSettings" Target="webSettings.xml"/><Relationship Id="rId9" Type="http://schemas.openxmlformats.org/officeDocument/2006/relationships/hyperlink" Target="https://www.youtube.com/watch?v=FgakZw6K1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Poff</dc:creator>
  <cp:keywords/>
  <dc:description/>
  <cp:lastModifiedBy>Sarah Poff</cp:lastModifiedBy>
  <cp:revision>5</cp:revision>
  <dcterms:created xsi:type="dcterms:W3CDTF">2020-07-28T22:08:00Z</dcterms:created>
  <dcterms:modified xsi:type="dcterms:W3CDTF">2020-07-29T01:19:00Z</dcterms:modified>
</cp:coreProperties>
</file>