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60" w:lineRule="auto"/>
        <w:jc w:val="center"/>
      </w:pPr>
      <w:r>
        <w:rPr>
          <w:rFonts w:ascii="Times New Roman" w:hAnsi="Times New Roman"/>
          <w:b/>
          <w:i w:val="0"/>
          <w:color w:val="000000"/>
          <w:sz w:val="22"/>
        </w:rPr>
        <w:t>CAN-DO RESEARCH LAB | KNUST DEPARTMENT OF COMPUTER SCIENCE</w:t>
      </w:r>
    </w:p>
    <w:p>
      <w:pPr>
        <w:spacing w:after="40" w:line="360" w:lineRule="auto"/>
        <w:jc w:val="center"/>
      </w:pPr>
      <w:r>
        <w:rPr>
          <w:rFonts w:ascii="Times New Roman" w:hAnsi="Times New Roman"/>
          <w:b/>
          <w:i w:val="0"/>
          <w:color w:val="000000"/>
          <w:sz w:val="20"/>
        </w:rPr>
        <w:t>PHASE 1 - STEP 1.1 - TESTBED SUBMISSION</w:t>
      </w:r>
    </w:p>
    <w:p>
      <w:pPr>
        <w:spacing w:after="200" w:line="360" w:lineRule="auto"/>
        <w:jc w:val="center"/>
      </w:pPr>
      <w:r>
        <w:rPr>
          <w:rFonts w:ascii="Times New Roman" w:hAnsi="Times New Roman"/>
          <w:b/>
          <w:i w:val="0"/>
          <w:color w:val="000000"/>
          <w:sz w:val="20"/>
        </w:rPr>
        <w:t>ML METHODS SECTION - R11 (TWO-DATASET PIPELINE REBUILD WITH VERIFY3 FIXES)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c>
          <w:tcPr>
            <w:tcW w:type="dxa" w:w="2160"/>
          </w:tcPr>
          <w:p>
            <w:r/>
            <w:r>
              <w:rPr>
                <w:rFonts w:ascii="Times New Roman" w:hAnsi="Times New Roman"/>
                <w:b/>
                <w:color w:val="000000"/>
                <w:sz w:val="18"/>
              </w:rPr>
              <w:t>Field</w:t>
            </w:r>
          </w:p>
        </w:tc>
        <w:tc>
          <w:tcPr>
            <w:tcW w:type="dxa" w:w="2160"/>
          </w:tcPr>
          <w:p>
            <w:r/>
            <w:r>
              <w:rPr>
                <w:rFonts w:ascii="Times New Roman" w:hAnsi="Times New Roman"/>
                <w:b/>
                <w:color w:val="000000"/>
                <w:sz w:val="18"/>
              </w:rPr>
              <w:t>Value</w:t>
            </w:r>
          </w:p>
        </w:tc>
      </w:tr>
      <w:tr>
        <w:tc>
          <w:tcPr>
            <w:tcW w:type="dxa" w:w="2160"/>
          </w:tcPr>
          <w:p>
            <w:r/>
            <w:r>
              <w:rPr>
                <w:rFonts w:ascii="Times New Roman" w:hAnsi="Times New Roman"/>
                <w:color w:val="000000"/>
                <w:sz w:val="18"/>
              </w:rPr>
              <w:t>Student</w:t>
            </w:r>
          </w:p>
        </w:tc>
        <w:tc>
          <w:tcPr>
            <w:tcW w:type="dxa" w:w="2160"/>
          </w:tcPr>
          <w:p>
            <w:r/>
            <w:r>
              <w:rPr>
                <w:rFonts w:ascii="Times New Roman" w:hAnsi="Times New Roman"/>
                <w:color w:val="000000"/>
                <w:sz w:val="18"/>
              </w:rPr>
              <w:t>Prince Ofori</w:t>
            </w:r>
          </w:p>
        </w:tc>
        <w:tc>
          <w:tcPr>
            <w:tcW w:type="dxa" w:w="2160"/>
          </w:tcPr>
          <w:p>
            <w:r/>
            <w:r>
              <w:rPr>
                <w:rFonts w:ascii="Times New Roman" w:hAnsi="Times New Roman"/>
                <w:color w:val="000000"/>
                <w:sz w:val="18"/>
              </w:rPr>
              <w:t>Student ID</w:t>
            </w:r>
          </w:p>
        </w:tc>
        <w:tc>
          <w:tcPr>
            <w:tcW w:type="dxa" w:w="2160"/>
          </w:tcPr>
          <w:p>
            <w:r/>
            <w:r>
              <w:rPr>
                <w:rFonts w:ascii="Times New Roman" w:hAnsi="Times New Roman"/>
                <w:color w:val="000000"/>
                <w:sz w:val="18"/>
              </w:rPr>
              <w:t>21990878</w:t>
            </w:r>
          </w:p>
        </w:tc>
      </w:tr>
      <w:tr>
        <w:tc>
          <w:tcPr>
            <w:tcW w:type="dxa" w:w="2160"/>
          </w:tcPr>
          <w:p>
            <w:r/>
            <w:r>
              <w:rPr>
                <w:rFonts w:ascii="Times New Roman" w:hAnsi="Times New Roman"/>
                <w:color w:val="000000"/>
                <w:sz w:val="18"/>
              </w:rPr>
              <w:t>Supervisor</w:t>
            </w:r>
          </w:p>
        </w:tc>
        <w:tc>
          <w:tcPr>
            <w:tcW w:type="dxa" w:w="2160"/>
          </w:tcPr>
          <w:p>
            <w:r/>
            <w:r>
              <w:rPr>
                <w:rFonts w:ascii="Times New Roman" w:hAnsi="Times New Roman"/>
                <w:color w:val="000000"/>
                <w:sz w:val="18"/>
              </w:rPr>
              <w:t>Dr. Eric Opoku Osei</w:t>
            </w:r>
          </w:p>
        </w:tc>
        <w:tc>
          <w:tcPr>
            <w:tcW w:type="dxa" w:w="2160"/>
          </w:tcPr>
          <w:p>
            <w:r/>
            <w:r>
              <w:rPr>
                <w:rFonts w:ascii="Times New Roman" w:hAnsi="Times New Roman"/>
                <w:color w:val="000000"/>
                <w:sz w:val="18"/>
              </w:rPr>
              <w:t>Round</w:t>
            </w:r>
          </w:p>
        </w:tc>
        <w:tc>
          <w:tcPr>
            <w:tcW w:type="dxa" w:w="2160"/>
          </w:tcPr>
          <w:p>
            <w:r/>
            <w:r>
              <w:rPr>
                <w:rFonts w:ascii="Times New Roman" w:hAnsi="Times New Roman"/>
                <w:color w:val="000000"/>
                <w:sz w:val="18"/>
              </w:rPr>
              <w:t>R11</w:t>
            </w:r>
          </w:p>
        </w:tc>
      </w:tr>
      <w:tr>
        <w:tc>
          <w:tcPr>
            <w:tcW w:type="dxa" w:w="2160"/>
          </w:tcPr>
          <w:p>
            <w:r/>
            <w:r>
              <w:rPr>
                <w:rFonts w:ascii="Times New Roman" w:hAnsi="Times New Roman"/>
                <w:color w:val="000000"/>
                <w:sz w:val="18"/>
              </w:rPr>
              <w:t>Model status</w:t>
            </w:r>
          </w:p>
        </w:tc>
        <w:tc>
          <w:tcPr>
            <w:tcW w:type="dxa" w:w="2160"/>
          </w:tcPr>
          <w:p>
            <w:r/>
            <w:r>
              <w:rPr>
                <w:rFonts w:ascii="Times New Roman" w:hAnsi="Times New Roman"/>
                <w:color w:val="000000"/>
                <w:sz w:val="18"/>
              </w:rPr>
              <w:t>ENGINEERED</w:t>
            </w:r>
          </w:p>
        </w:tc>
        <w:tc>
          <w:tcPr>
            <w:tcW w:type="dxa" w:w="2160"/>
          </w:tcPr>
          <w:p>
            <w:r/>
            <w:r>
              <w:rPr>
                <w:rFonts w:ascii="Times New Roman" w:hAnsi="Times New Roman"/>
                <w:color w:val="000000"/>
                <w:sz w:val="18"/>
              </w:rPr>
              <w:t>Claim tier</w:t>
            </w:r>
          </w:p>
        </w:tc>
        <w:tc>
          <w:tcPr>
            <w:tcW w:type="dxa" w:w="2160"/>
          </w:tcPr>
          <w:p>
            <w:r/>
            <w:r>
              <w:rPr>
                <w:rFonts w:ascii="Times New Roman" w:hAnsi="Times New Roman"/>
                <w:color w:val="000000"/>
                <w:sz w:val="18"/>
              </w:rPr>
              <w:t>Tier 1 bounded</w:t>
            </w:r>
          </w:p>
        </w:tc>
      </w:tr>
      <w:tr>
        <w:tc>
          <w:tcPr>
            <w:tcW w:type="dxa" w:w="2160"/>
          </w:tcPr>
          <w:p>
            <w:r/>
            <w:r>
              <w:rPr>
                <w:rFonts w:ascii="Times New Roman" w:hAnsi="Times New Roman"/>
                <w:color w:val="000000"/>
                <w:sz w:val="18"/>
              </w:rPr>
              <w:t>KNUST n</w:t>
            </w:r>
          </w:p>
        </w:tc>
        <w:tc>
          <w:tcPr>
            <w:tcW w:type="dxa" w:w="2160"/>
          </w:tcPr>
          <w:p>
            <w:r/>
            <w:r>
              <w:rPr>
                <w:rFonts w:ascii="Times New Roman" w:hAnsi="Times New Roman"/>
                <w:color w:val="000000"/>
                <w:sz w:val="18"/>
              </w:rPr>
              <w:t>2088 unique (from 4121)</w:t>
            </w:r>
          </w:p>
        </w:tc>
        <w:tc>
          <w:tcPr>
            <w:tcW w:type="dxa" w:w="2160"/>
          </w:tcPr>
          <w:p>
            <w:r/>
            <w:r>
              <w:rPr>
                <w:rFonts w:ascii="Times New Roman" w:hAnsi="Times New Roman"/>
                <w:color w:val="000000"/>
                <w:sz w:val="18"/>
              </w:rPr>
              <w:t>Alzubaidi n</w:t>
            </w:r>
          </w:p>
        </w:tc>
        <w:tc>
          <w:tcPr>
            <w:tcW w:type="dxa" w:w="2160"/>
          </w:tcPr>
          <w:p>
            <w:r/>
            <w:r>
              <w:rPr>
                <w:rFonts w:ascii="Times New Roman" w:hAnsi="Times New Roman"/>
                <w:color w:val="000000"/>
                <w:sz w:val="18"/>
              </w:rPr>
              <w:t>1187</w:t>
            </w:r>
          </w:p>
        </w:tc>
      </w:tr>
      <w:tr>
        <w:tc>
          <w:tcPr>
            <w:tcW w:type="dxa" w:w="2160"/>
          </w:tcPr>
          <w:p>
            <w:r/>
            <w:r>
              <w:rPr>
                <w:rFonts w:ascii="Times New Roman" w:hAnsi="Times New Roman"/>
                <w:color w:val="000000"/>
                <w:sz w:val="18"/>
              </w:rPr>
              <w:t>HuSSREC ref</w:t>
            </w:r>
          </w:p>
        </w:tc>
        <w:tc>
          <w:tcPr>
            <w:tcW w:type="dxa" w:w="2160"/>
          </w:tcPr>
          <w:p>
            <w:r/>
            <w:r>
              <w:rPr>
                <w:rFonts w:ascii="Times New Roman" w:hAnsi="Times New Roman"/>
                <w:color w:val="000000"/>
                <w:sz w:val="18"/>
              </w:rPr>
              <w:t>HuSSREC/AP/639/VOL.5</w:t>
            </w:r>
          </w:p>
        </w:tc>
        <w:tc>
          <w:tcPr>
            <w:tcW w:type="dxa" w:w="2160"/>
          </w:tcPr>
          <w:p>
            <w:r/>
            <w:r>
              <w:rPr>
                <w:rFonts w:ascii="Times New Roman" w:hAnsi="Times New Roman"/>
                <w:color w:val="000000"/>
                <w:sz w:val="18"/>
              </w:rPr>
              <w:t>Date</w:t>
            </w:r>
          </w:p>
        </w:tc>
        <w:tc>
          <w:tcPr>
            <w:tcW w:type="dxa" w:w="2160"/>
          </w:tcPr>
          <w:p>
            <w:r/>
            <w:r>
              <w:rPr>
                <w:rFonts w:ascii="Times New Roman" w:hAnsi="Times New Roman"/>
                <w:color w:val="000000"/>
                <w:sz w:val="18"/>
              </w:rPr>
              <w:t>28 September 2026</w:t>
            </w:r>
          </w:p>
        </w:tc>
      </w:tr>
      <w:tr>
        <w:tc>
          <w:tcPr>
            <w:tcW w:type="dxa" w:w="2160"/>
          </w:tcPr>
          <w:p>
            <w:r/>
            <w:r>
              <w:rPr>
                <w:rFonts w:ascii="Times New Roman" w:hAnsi="Times New Roman"/>
                <w:color w:val="000000"/>
                <w:sz w:val="18"/>
              </w:rPr>
              <w:t>Code</w:t>
            </w:r>
          </w:p>
        </w:tc>
        <w:tc>
          <w:tcPr>
            <w:tcW w:type="dxa" w:w="2160"/>
          </w:tcPr>
          <w:p>
            <w:r/>
            <w:r>
              <w:rPr>
                <w:rFonts w:ascii="Times New Roman" w:hAnsi="Times New Roman"/>
                <w:color w:val="000000"/>
                <w:sz w:val="18"/>
              </w:rPr>
              <w:t>kab_pipeline.py</w:t>
            </w:r>
          </w:p>
        </w:tc>
        <w:tc>
          <w:tcPr>
            <w:tcW w:type="dxa" w:w="2160"/>
          </w:tcPr>
          <w:p>
            <w:r/>
            <w:r>
              <w:rPr>
                <w:rFonts w:ascii="Times New Roman" w:hAnsi="Times New Roman"/>
                <w:color w:val="000000"/>
                <w:sz w:val="18"/>
              </w:rPr>
              <w:t>Commit</w:t>
            </w:r>
          </w:p>
        </w:tc>
        <w:tc>
          <w:tcPr>
            <w:tcW w:type="dxa" w:w="2160"/>
          </w:tcPr>
          <w:p>
            <w:r>
              <w:t>bf40566</w:t>
            </w:r>
            <w:r>
              <w:rPr>
                <w:rFonts w:ascii="Times New Roman" w:hAnsi="Times New Roman"/>
                <w:color w:val="000000"/>
                <w:sz w:val="18"/>
              </w:rPr>
            </w:r>
          </w:p>
        </w:tc>
      </w:tr>
    </w:tbl>
    <w:p/>
    <w:p>
      <w:pPr>
        <w:spacing w:after="120" w:line="360" w:lineRule="auto"/>
        <w:jc w:val="left"/>
      </w:pPr>
      <w:r>
        <w:rPr>
          <w:rFonts w:ascii="Times New Roman" w:hAnsi="Times New Roman"/>
          <w:b/>
          <w:i w:val="0"/>
          <w:color w:val="000000"/>
          <w:sz w:val="26"/>
        </w:rPr>
        <w:t>M1. Research Design Overview</w:t>
      </w:r>
    </w:p>
    <w:p>
      <w:pPr>
        <w:spacing w:after="160" w:line="360" w:lineRule="auto"/>
        <w:jc w:val="both"/>
      </w:pPr>
      <w:r>
        <w:rPr>
          <w:rFonts w:ascii="Times New Roman" w:hAnsi="Times New Roman"/>
          <w:b w:val="0"/>
          <w:i w:val="0"/>
          <w:color w:val="000000"/>
          <w:sz w:val="24"/>
        </w:rPr>
        <w:t>Supervised binary classification predicts cybersecurity behavioural readiness from Knowledge items, Attitude items, and demographic predictors. Two datasets are used and never pooled: the KNUST field survey (primary) and the Alzubaidi (2021) public dataset (external stress-test). Both are processed by the same pipeline (kab_pipeline.py) in separate loops. Subsections cover data sources (M3-M4), ethics (M5), preprocessing and de-duplication (M6), features and reliability (M7), class imbalance (M8), partitioning and tuning-leakage control (M9), combining strategy (M10), baselines (M11), the proposed model (M12), tuning (M13), training (M14), metrics (M15), ablation and statistics (M16), interpretability (M17), generalisation and construct equivalence (M18), environment (M19), defences (M20), traceability (M21), cost story (M22), and availability (M23).</w:t>
      </w:r>
    </w:p>
    <w:p>
      <w:pPr>
        <w:spacing w:after="120" w:line="360" w:lineRule="auto"/>
        <w:jc w:val="left"/>
      </w:pPr>
      <w:r>
        <w:rPr>
          <w:rFonts w:ascii="Times New Roman" w:hAnsi="Times New Roman"/>
          <w:b/>
          <w:i w:val="0"/>
          <w:color w:val="000000"/>
          <w:sz w:val="26"/>
        </w:rPr>
        <w:t>M2. Problem Formalisation and Notation</w:t>
      </w:r>
    </w:p>
    <w:p>
      <w:pPr>
        <w:spacing w:after="160" w:line="360" w:lineRule="auto"/>
        <w:jc w:val="both"/>
      </w:pPr>
      <w:r>
        <w:rPr>
          <w:rFonts w:ascii="Times New Roman" w:hAnsi="Times New Roman"/>
          <w:b w:val="0"/>
          <w:i w:val="0"/>
          <w:color w:val="000000"/>
          <w:sz w:val="24"/>
        </w:rPr>
        <w:t>KNUST: X.shape = (2088, 17); feature order (X.columns) = Q6, Q7, Q8, Q9, Q10, Q13, Q14, Q15, Q16, Q17, Q1, Q2, Q3, Q4, Q5, K_agg, A_agg. Alzubaidi: X.shape = (1,187, 28); feature order = B19_0, B19_1, B19_2, B19_3, B19_4, B19_5, B20_0, B20_1, B20_2, B20_3, B20_4, B20_5, B18_0, B18_1, B18_2, B18_3, B18_4, B18_5, B18_6, B22_0, B22_1, B22_2, B22_3, B22_4, B13, B21, K_agg, A_agg. No Behaviour item enters either X. The label y is a global median split of the Behaviour total; for KNUST the median is 18.0.</w:t>
      </w:r>
    </w:p>
    <w:p>
      <w:pPr>
        <w:spacing w:after="120" w:line="360" w:lineRule="auto"/>
        <w:jc w:val="left"/>
      </w:pPr>
      <w:r>
        <w:rPr>
          <w:rFonts w:ascii="Times New Roman" w:hAnsi="Times New Roman"/>
          <w:b/>
          <w:i w:val="0"/>
          <w:color w:val="000000"/>
          <w:sz w:val="26"/>
        </w:rPr>
        <w:t>M3. Data Sources and Provenance</w:t>
      </w:r>
    </w:p>
    <w:p>
      <w:pPr>
        <w:spacing w:after="160" w:line="360" w:lineRule="auto"/>
        <w:jc w:val="both"/>
      </w:pPr>
      <w:r>
        <w:rPr>
          <w:rFonts w:ascii="Times New Roman" w:hAnsi="Times New Roman"/>
          <w:b w:val="0"/>
          <w:i w:val="0"/>
          <w:color w:val="000000"/>
          <w:sz w:val="24"/>
        </w:rPr>
        <w:t>KNUST field survey: primary evaluation corpus, restricted under HuSSREC terms (reference HuSSREC/AP/639/VOL.5). Alzubaidi (2021): public dataset, doi:10.17632/fbs9mgmh4y.3, CC BY-NC-ND 4.0, retained as an external stress-test. The two datasets are processed in separate loops with no shared state, no feature-level concatenation, and no corpus-level pooling; they are never pooled.</w:t>
      </w:r>
    </w:p>
    <w:p>
      <w:pPr>
        <w:spacing w:after="120" w:line="360" w:lineRule="auto"/>
        <w:jc w:val="left"/>
      </w:pPr>
      <w:r>
        <w:rPr>
          <w:rFonts w:ascii="Times New Roman" w:hAnsi="Times New Roman"/>
          <w:b/>
          <w:i w:val="0"/>
          <w:color w:val="000000"/>
          <w:sz w:val="26"/>
        </w:rPr>
        <w:t>M4. Data Collection, Acquisition and Duplicate Removal</w:t>
      </w:r>
    </w:p>
    <w:p>
      <w:pPr>
        <w:spacing w:after="160" w:line="360" w:lineRule="auto"/>
        <w:jc w:val="both"/>
      </w:pPr>
      <w:r>
        <w:rPr>
          <w:rFonts w:ascii="Times New Roman" w:hAnsi="Times New Roman"/>
          <w:b w:val="0"/>
          <w:i w:val="0"/>
          <w:color w:val="000000"/>
          <w:sz w:val="24"/>
        </w:rPr>
        <w:t>KNUST sampling frame: registered Supply Chain Management students at KNUST across Years 2 to 4, 3,200 students (Faculty of Business records, confirmed). Data were collected on printed paper questionnaires, then typed manually into an Excel spreadsheet, then pushed to Google Forms in batches using a Google Apps Script. The script appended the paper responses in batches; a fault in the batch loop re-appended exactly two contiguous runs of already-entered rows: rows 1,589 to 2,683 (1,095 rows, re-appending earlier rows at a 500-row offset) and rows 3,184 to 4,121 (938 rows, re-appending rows 1 to 938). The 2,088 retained rows are the non-repeated rows 1 to 1,588 and 2,684 to 3,183. The export timestamps (6 to 7 July 2026, median gap 1.9 s) are transcription times, not response times. The spreadsheet retains the Google Forms default tab name (Form Responses 1) because no tab rename was applied before the Apps Script appended the paper entries, which is why no early-versus-late comparison is possible. The raw sheet contained 4121 rows; 2033 of these (49.3%) were exact-duplicate response patterns. Duplicates were removed before any modelling using an exact-match key over all 21 answered fields (Q1-Q10, Q13-Q23); where two or more rows shared a key, the first occurrence was retained and the rest discarded, leaving n = 2088 unique responses. Response rate: the raw count corresponds to 128.8% of the estimated frame (above 100% precisely because of the duplication), and the de-duplicated count to 65.3%. A non-response comparison of early versus late respondents was not possible because the export carries only a submission timestamp with no start time. Table M4a summarises the frame and removal.</w:t>
      </w:r>
    </w:p>
    <w:p>
      <w:pPr>
        <w:spacing w:after="80" w:line="360" w:lineRule="auto"/>
        <w:jc w:val="both"/>
      </w:pPr>
      <w:r>
        <w:rPr>
          <w:rFonts w:ascii="Times New Roman" w:hAnsi="Times New Roman"/>
          <w:b w:val="0"/>
          <w:i/>
          <w:color w:val="000000"/>
          <w:sz w:val="20"/>
        </w:rPr>
        <w:t>Table M4a. Sampling frame and duplicate removal (KNUST).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4320"/>
          </w:tcPr>
          <w:p>
            <w:r/>
            <w:r>
              <w:rPr>
                <w:rFonts w:ascii="Times New Roman" w:hAnsi="Times New Roman"/>
                <w:b/>
                <w:color w:val="000000"/>
                <w:sz w:val="18"/>
              </w:rPr>
              <w:t>Quantity</w:t>
            </w:r>
          </w:p>
        </w:tc>
        <w:tc>
          <w:tcPr>
            <w:tcW w:type="dxa" w:w="4320"/>
          </w:tcPr>
          <w:p>
            <w:r/>
            <w:r>
              <w:rPr>
                <w:rFonts w:ascii="Times New Roman" w:hAnsi="Times New Roman"/>
                <w:b/>
                <w:color w:val="000000"/>
                <w:sz w:val="18"/>
              </w:rPr>
              <w:t>Value</w:t>
            </w:r>
          </w:p>
        </w:tc>
      </w:tr>
      <w:tr>
        <w:tc>
          <w:tcPr>
            <w:tcW w:type="dxa" w:w="4320"/>
          </w:tcPr>
          <w:p>
            <w:r/>
            <w:r>
              <w:rPr>
                <w:rFonts w:ascii="Times New Roman" w:hAnsi="Times New Roman"/>
                <w:color w:val="000000"/>
                <w:sz w:val="18"/>
              </w:rPr>
              <w:t>Estimated registered SCM students (Years 2-4)</w:t>
            </w:r>
          </w:p>
        </w:tc>
        <w:tc>
          <w:tcPr>
            <w:tcW w:type="dxa" w:w="4320"/>
          </w:tcPr>
          <w:p>
            <w:r/>
            <w:r>
              <w:rPr>
                <w:rFonts w:ascii="Times New Roman" w:hAnsi="Times New Roman"/>
                <w:color w:val="000000"/>
                <w:sz w:val="18"/>
              </w:rPr>
              <w:t>3200</w:t>
            </w:r>
          </w:p>
        </w:tc>
      </w:tr>
      <w:tr>
        <w:tc>
          <w:tcPr>
            <w:tcW w:type="dxa" w:w="4320"/>
          </w:tcPr>
          <w:p>
            <w:r/>
            <w:r>
              <w:rPr>
                <w:rFonts w:ascii="Times New Roman" w:hAnsi="Times New Roman"/>
                <w:color w:val="000000"/>
                <w:sz w:val="18"/>
              </w:rPr>
              <w:t>Raw rows in export</w:t>
            </w:r>
          </w:p>
        </w:tc>
        <w:tc>
          <w:tcPr>
            <w:tcW w:type="dxa" w:w="4320"/>
          </w:tcPr>
          <w:p>
            <w:r/>
            <w:r>
              <w:rPr>
                <w:rFonts w:ascii="Times New Roman" w:hAnsi="Times New Roman"/>
                <w:color w:val="000000"/>
                <w:sz w:val="18"/>
              </w:rPr>
              <w:t>4121</w:t>
            </w:r>
          </w:p>
        </w:tc>
      </w:tr>
      <w:tr>
        <w:tc>
          <w:tcPr>
            <w:tcW w:type="dxa" w:w="4320"/>
          </w:tcPr>
          <w:p>
            <w:r/>
            <w:r>
              <w:rPr>
                <w:rFonts w:ascii="Times New Roman" w:hAnsi="Times New Roman"/>
                <w:color w:val="000000"/>
                <w:sz w:val="18"/>
              </w:rPr>
              <w:t>Exact-duplicate rows removed</w:t>
            </w:r>
          </w:p>
        </w:tc>
        <w:tc>
          <w:tcPr>
            <w:tcW w:type="dxa" w:w="4320"/>
          </w:tcPr>
          <w:p>
            <w:r/>
            <w:r>
              <w:rPr>
                <w:rFonts w:ascii="Times New Roman" w:hAnsi="Times New Roman"/>
                <w:color w:val="000000"/>
                <w:sz w:val="18"/>
              </w:rPr>
              <w:t>2033 (49.3%)</w:t>
            </w:r>
          </w:p>
        </w:tc>
      </w:tr>
      <w:tr>
        <w:tc>
          <w:tcPr>
            <w:tcW w:type="dxa" w:w="4320"/>
          </w:tcPr>
          <w:p>
            <w:r/>
            <w:r>
              <w:rPr>
                <w:rFonts w:ascii="Times New Roman" w:hAnsi="Times New Roman"/>
                <w:color w:val="000000"/>
                <w:sz w:val="18"/>
              </w:rPr>
              <w:t>Unique responses retained</w:t>
            </w:r>
          </w:p>
        </w:tc>
        <w:tc>
          <w:tcPr>
            <w:tcW w:type="dxa" w:w="4320"/>
          </w:tcPr>
          <w:p>
            <w:r/>
            <w:r>
              <w:rPr>
                <w:rFonts w:ascii="Times New Roman" w:hAnsi="Times New Roman"/>
                <w:color w:val="000000"/>
                <w:sz w:val="18"/>
              </w:rPr>
              <w:t>2088</w:t>
            </w:r>
          </w:p>
        </w:tc>
      </w:tr>
      <w:tr>
        <w:tc>
          <w:tcPr>
            <w:tcW w:type="dxa" w:w="4320"/>
          </w:tcPr>
          <w:p>
            <w:r/>
            <w:r>
              <w:rPr>
                <w:rFonts w:ascii="Times New Roman" w:hAnsi="Times New Roman"/>
                <w:color w:val="000000"/>
                <w:sz w:val="18"/>
              </w:rPr>
              <w:t>Raw response rate</w:t>
            </w:r>
          </w:p>
        </w:tc>
        <w:tc>
          <w:tcPr>
            <w:tcW w:type="dxa" w:w="4320"/>
          </w:tcPr>
          <w:p>
            <w:r/>
            <w:r>
              <w:rPr>
                <w:rFonts w:ascii="Times New Roman" w:hAnsi="Times New Roman"/>
                <w:color w:val="000000"/>
                <w:sz w:val="18"/>
              </w:rPr>
              <w:t>128.8%</w:t>
            </w:r>
          </w:p>
        </w:tc>
      </w:tr>
      <w:tr>
        <w:tc>
          <w:tcPr>
            <w:tcW w:type="dxa" w:w="4320"/>
          </w:tcPr>
          <w:p>
            <w:r/>
            <w:r>
              <w:rPr>
                <w:rFonts w:ascii="Times New Roman" w:hAnsi="Times New Roman"/>
                <w:color w:val="000000"/>
                <w:sz w:val="18"/>
              </w:rPr>
              <w:t>De-duplicated response rate</w:t>
            </w:r>
          </w:p>
        </w:tc>
        <w:tc>
          <w:tcPr>
            <w:tcW w:type="dxa" w:w="4320"/>
          </w:tcPr>
          <w:p>
            <w:r/>
            <w:r>
              <w:rPr>
                <w:rFonts w:ascii="Times New Roman" w:hAnsi="Times New Roman"/>
                <w:color w:val="000000"/>
                <w:sz w:val="18"/>
              </w:rPr>
              <w:t>65.3%</w:t>
            </w:r>
          </w:p>
        </w:tc>
      </w:tr>
    </w:tbl>
    <w:p/>
    <w:p>
      <w:pPr>
        <w:spacing w:after="160" w:line="360" w:lineRule="auto"/>
        <w:jc w:val="both"/>
      </w:pPr>
      <w:r>
        <w:rPr>
          <w:rFonts w:ascii="Times New Roman" w:hAnsi="Times New Roman"/>
          <w:b w:val="0"/>
          <w:i w:val="0"/>
          <w:color w:val="000000"/>
          <w:sz w:val="24"/>
        </w:rPr>
        <w:t>Alzubaidi: downloaded from Mendeley Data (doi:10.17632/fbs9mgmh4y.3); 1,231 responses, 17 exact-duplicate rows removed; 27 additional rows removed where mapped values matched but raw answer text differed (for example a ‘do not know’ response coding as ‘never’), leaving 1,187 unique responses; modelled feature matrix d = 28 after block mapping (M18).</w:t>
      </w:r>
    </w:p>
    <w:p>
      <w:pPr>
        <w:spacing w:after="120" w:line="360" w:lineRule="auto"/>
        <w:jc w:val="left"/>
      </w:pPr>
      <w:r>
        <w:rPr>
          <w:rFonts w:ascii="Times New Roman" w:hAnsi="Times New Roman"/>
          <w:b/>
          <w:i w:val="0"/>
          <w:color w:val="000000"/>
          <w:sz w:val="26"/>
        </w:rPr>
        <w:t>M5. Ethical Clearance</w:t>
      </w:r>
    </w:p>
    <w:p>
      <w:pPr>
        <w:spacing w:after="160" w:line="360" w:lineRule="auto"/>
        <w:jc w:val="both"/>
      </w:pPr>
      <w:r>
        <w:rPr>
          <w:rFonts w:ascii="Times New Roman" w:hAnsi="Times New Roman"/>
          <w:b w:val="0"/>
          <w:i w:val="0"/>
          <w:color w:val="000000"/>
          <w:sz w:val="24"/>
        </w:rPr>
        <w:t>Approved by the KNUST Humanities and Social Sciences Ethics Committee (HuSSREC), reference HuSSREC/AP/639/VOL.5. Participation was voluntary with informed consent. Predictor and outcome items were collected from the same respondent on one instrument, so common-method variance is acknowledged as a limitation.</w:t>
      </w:r>
    </w:p>
    <w:p>
      <w:pPr>
        <w:spacing w:after="120" w:line="360" w:lineRule="auto"/>
        <w:jc w:val="left"/>
      </w:pPr>
      <w:r>
        <w:rPr>
          <w:rFonts w:ascii="Times New Roman" w:hAnsi="Times New Roman"/>
          <w:b/>
          <w:i w:val="0"/>
          <w:color w:val="000000"/>
          <w:sz w:val="26"/>
        </w:rPr>
        <w:t>M6. Preprocessing and De-duplication</w:t>
      </w:r>
    </w:p>
    <w:p>
      <w:pPr>
        <w:spacing w:after="160" w:line="360" w:lineRule="auto"/>
        <w:jc w:val="both"/>
      </w:pPr>
      <w:r>
        <w:rPr>
          <w:rFonts w:ascii="Times New Roman" w:hAnsi="Times New Roman"/>
          <w:b w:val="0"/>
          <w:i w:val="0"/>
          <w:color w:val="000000"/>
          <w:sz w:val="24"/>
        </w:rPr>
        <w:t>De-duplication removed 2033 exact-duplicate rows as described in M4, before any partition and before the label median was computed. Missing items: Q11 and Q12 were empty for all 4121 rows. Q11 ("I know what steps to take if I suspect a cybersecurity incident") is a Knowledge item, so the Knowledge subscale is the five fielded items Q6-Q10. Q12 ("Cybersecurity is a personal responsibility") is an Attitude item, so the Attitude subscale is the five fielded items Q13-Q17. One Knowledge item (Q11) and one Attitude item (Q12) were lost. No item beyond Q11 and Q12 was affected. Straight-lining screening found zero uniform-response rows among the 2,088 retained records. Completion-time screening was not possible (submission timestamp only, no start time).</w:t>
      </w:r>
    </w:p>
    <w:p>
      <w:pPr>
        <w:spacing w:after="120" w:line="360" w:lineRule="auto"/>
        <w:jc w:val="left"/>
      </w:pPr>
      <w:r>
        <w:rPr>
          <w:rFonts w:ascii="Times New Roman" w:hAnsi="Times New Roman"/>
          <w:b/>
          <w:i w:val="0"/>
          <w:color w:val="000000"/>
          <w:sz w:val="26"/>
        </w:rPr>
        <w:t>M7. Feature Construction and Reliability</w:t>
      </w:r>
    </w:p>
    <w:p>
      <w:pPr>
        <w:spacing w:after="160" w:line="360" w:lineRule="auto"/>
        <w:jc w:val="both"/>
      </w:pPr>
      <w:r>
        <w:rPr>
          <w:rFonts w:ascii="Times New Roman" w:hAnsi="Times New Roman"/>
          <w:b w:val="0"/>
          <w:i w:val="0"/>
          <w:color w:val="000000"/>
          <w:sz w:val="24"/>
        </w:rPr>
        <w:t>KNUST Knowledge items: Q6 recognise phishing, Q7 understand a data breach, Q8 strong versus weak password, Q9 public Wi-Fi and VPN risk, Q10 explain social engineering. Attitude items: Q13-Q17. K_agg and A_agg are the subscale means; demographics Q1-Q5 are ordinal-encoded. Cronbach alpha (KNUST, de-duplicated): Knowledge 0.703, Attitude 0.603, Behaviour 0.709. The Attitude alpha is below 0.70, consistent with the loss of one Attitude item (Q12); this is stated as a limitation. Alpha values are reported here in Methods only and are not repeated in Results.</w:t>
      </w:r>
    </w:p>
    <w:p>
      <w:pPr>
        <w:pStyle w:val="Normal"/>
      </w:pPr>
      <w:r>
        <w:rPr>
          <w:i/>
        </w:rPr>
        <w:t xml:space="preserve">Table M7a. Demographic feature encoding scheme.</w:t>
      </w:r>
    </w:p>
    <w:p>
      <w:pPr>
        <w:pStyle w:val="Normal"/>
      </w:pPr>
      <w:r>
        <w:t xml:space="preserve">Table M7a gives the encoding scheme for the five demographic predictors.</w:t>
      </w:r>
    </w:p>
    <w:tbl>
      <w:tblPr>
        <w:tblStyle w:val="TableGrid"/>
        <w:tblW w:w="8000" w:type="dxa"/>
      </w:tblPr>
      <w:tblGrid>
        <w:gridCol w:w="1200"/>
        <w:gridCol w:w="2000"/>
        <w:gridCol w:w="2400"/>
        <w:gridCol w:w="2400"/>
      </w:tblGrid>
      <w:tr>
        <w:tc>
          <w:tcPr>
            <w:tcW w:w="1200" w:type="dxa"/>
            <w:shd w:val="clear" w:color="auto" w:fill="CCCCCC"/>
          </w:tcPr>
          <w:p>
            <w:r>
              <w:rPr>
                <w:b/>
              </w:rPr>
              <w:t>Item</w:t>
            </w:r>
          </w:p>
        </w:tc>
        <w:tc>
          <w:tcPr>
            <w:tcW w:w="2000" w:type="dxa"/>
            <w:shd w:val="clear" w:color="auto" w:fill="CCCCCC"/>
          </w:tcPr>
          <w:p>
            <w:r>
              <w:rPr>
                <w:b/>
              </w:rPr>
              <w:t>Type</w:t>
            </w:r>
          </w:p>
        </w:tc>
        <w:tc>
          <w:tcPr>
            <w:tcW w:w="2400" w:type="dxa"/>
            <w:shd w:val="clear" w:color="auto" w:fill="CCCCCC"/>
          </w:tcPr>
          <w:p>
            <w:r>
              <w:rPr>
                <w:b/>
              </w:rPr>
              <w:t>Levels</w:t>
            </w:r>
          </w:p>
        </w:tc>
        <w:tc>
          <w:tcPr>
            <w:tcW w:w="2400" w:type="dxa"/>
            <w:shd w:val="clear" w:color="auto" w:fill="CCCCCC"/>
          </w:tcPr>
          <w:p>
            <w:r>
              <w:rPr>
                <w:b/>
              </w:rPr>
              <w:t>Encoded values</w:t>
            </w:r>
          </w:p>
        </w:tc>
      </w:tr>
      <w:tr>
        <w:tc>
          <w:tcPr>
            <w:tcW w:w="1200" w:type="dxa"/>
          </w:tcPr>
          <w:p>
            <w:r>
              <w:t>Q1 Gender</w:t>
            </w:r>
          </w:p>
        </w:tc>
        <w:tc>
          <w:tcPr>
            <w:tcW w:w="2000" w:type="dxa"/>
          </w:tcPr>
          <w:p>
            <w:r>
              <w:t>Binary</w:t>
            </w:r>
          </w:p>
        </w:tc>
        <w:tc>
          <w:tcPr>
            <w:tcW w:w="2400" w:type="dxa"/>
          </w:tcPr>
          <w:p>
            <w:r>
              <w:t>Male, Female</w:t>
            </w:r>
          </w:p>
        </w:tc>
        <w:tc>
          <w:tcPr>
            <w:tcW w:w="2400" w:type="dxa"/>
          </w:tcPr>
          <w:p>
            <w:r>
              <w:t>Male=1, Female=0 (Prefer not to say merged with Female)</w:t>
            </w:r>
          </w:p>
        </w:tc>
      </w:tr>
      <w:tr>
        <w:tc>
          <w:tcPr>
            <w:tcW w:w="1200" w:type="dxa"/>
          </w:tcPr>
          <w:p>
            <w:r>
              <w:t>Q2 Year</w:t>
            </w:r>
          </w:p>
        </w:tc>
        <w:tc>
          <w:tcPr>
            <w:tcW w:w="2000" w:type="dxa"/>
          </w:tcPr>
          <w:p>
            <w:r>
              <w:t>Ordinal</w:t>
            </w:r>
          </w:p>
        </w:tc>
        <w:tc>
          <w:tcPr>
            <w:tcW w:w="2400" w:type="dxa"/>
          </w:tcPr>
          <w:p>
            <w:r>
              <w:t>Year 2, Year 3, Year 4</w:t>
            </w:r>
          </w:p>
        </w:tc>
        <w:tc>
          <w:tcPr>
            <w:tcW w:w="2400" w:type="dxa"/>
          </w:tcPr>
          <w:p>
            <w:r>
              <w:t>2, 3, 4</w:t>
            </w:r>
          </w:p>
        </w:tc>
      </w:tr>
      <w:tr>
        <w:tc>
          <w:tcPr>
            <w:tcW w:w="1200" w:type="dxa"/>
          </w:tcPr>
          <w:p>
            <w:r>
              <w:t>Q3 IT course</w:t>
            </w:r>
          </w:p>
        </w:tc>
        <w:tc>
          <w:tcPr>
            <w:tcW w:w="2000" w:type="dxa"/>
          </w:tcPr>
          <w:p>
            <w:r>
              <w:t>Binary</w:t>
            </w:r>
          </w:p>
        </w:tc>
        <w:tc>
          <w:tcPr>
            <w:tcW w:w="2400" w:type="dxa"/>
          </w:tcPr>
          <w:p>
            <w:r>
              <w:t>Yes, No</w:t>
            </w:r>
          </w:p>
        </w:tc>
        <w:tc>
          <w:tcPr>
            <w:tcW w:w="2400" w:type="dxa"/>
          </w:tcPr>
          <w:p>
            <w:r>
              <w:t>Yes=1, No=0</w:t>
            </w:r>
          </w:p>
        </w:tc>
      </w:tr>
      <w:tr>
        <w:tc>
          <w:tcPr>
            <w:tcW w:w="1200" w:type="dxa"/>
          </w:tcPr>
          <w:p>
            <w:r>
              <w:t>Q4 Internet years</w:t>
            </w:r>
          </w:p>
        </w:tc>
        <w:tc>
          <w:tcPr>
            <w:tcW w:w="2000" w:type="dxa"/>
          </w:tcPr>
          <w:p>
            <w:r>
              <w:t>Ordinal</w:t>
            </w:r>
          </w:p>
        </w:tc>
        <w:tc>
          <w:tcPr>
            <w:tcW w:w="2400" w:type="dxa"/>
          </w:tcPr>
          <w:p>
            <w:r>
              <w:t>Less than 2 yrs, 2-5 yrs, More than 5 yrs</w:t>
            </w:r>
          </w:p>
        </w:tc>
        <w:tc>
          <w:tcPr>
            <w:tcW w:w="2400" w:type="dxa"/>
          </w:tcPr>
          <w:p>
            <w:r>
              <w:t>1, 2, 3</w:t>
            </w:r>
          </w:p>
        </w:tc>
      </w:tr>
      <w:tr>
        <w:tc>
          <w:tcPr>
            <w:tcW w:w="1200" w:type="dxa"/>
          </w:tcPr>
          <w:p>
            <w:r>
              <w:t>Q5 Tool use</w:t>
            </w:r>
          </w:p>
        </w:tc>
        <w:tc>
          <w:tcPr>
            <w:tcW w:w="2000" w:type="dxa"/>
          </w:tcPr>
          <w:p>
            <w:r>
              <w:t>Ordinal</w:t>
            </w:r>
          </w:p>
        </w:tc>
        <w:tc>
          <w:tcPr>
            <w:tcW w:w="2400" w:type="dxa"/>
          </w:tcPr>
          <w:p>
            <w:r>
              <w:t>Rarely, Sometimes, Often, Very often</w:t>
            </w:r>
          </w:p>
        </w:tc>
        <w:tc>
          <w:tcPr>
            <w:tcW w:w="2400" w:type="dxa"/>
          </w:tcPr>
          <w:p>
            <w:r>
              <w:t>1, 2, 3, 4</w:t>
            </w:r>
          </w:p>
        </w:tc>
      </w:tr>
    </w:tbl>
    <w:p>
      <w:pPr>
        <w:spacing w:after="160" w:line="360" w:lineRule="auto"/>
        <w:jc w:val="both"/>
      </w:pPr>
      <w:r>
        <w:rPr>
          <w:rFonts w:ascii="Times New Roman" w:hAnsi="Times New Roman"/>
          <w:b w:val="0"/>
          <w:i w:val="0"/>
          <w:color w:val="000000"/>
          <w:sz w:val="24"/>
        </w:rPr>
        <w:t xml:space="preserve">Alzubaidi ordinal coding. Frequency items (B19, B20, B14): always = 5, often = 4, sometimes = 3, seldom/rarely = 2, never = 1. "Do not know", "don't know", and "not sure (difficult to determine)" are coded 1 (least frequent). Justification: B19 asks whether the participant has been a victim of cybercrime, not how often they perform a behaviour. Coding ‘do not know’ as 1 (never victimised) is conservative. A sensitivity check recoded these cells as 3 (neutral midpoint); the KNUST Wilcoxon result was unchanged (p &gt; 0.05). This affects approximately 45% of B19 cells. Attitude items (B18, B22): strongly agree = 5, agree = 4, neutral/undecided = 3, disagree = 2, strongly disagree = 1. Security perception B13: very secure = 5, somewhat secure = 4, neutral = 3, somewhat insecure = 2, not secure at all / very insecure = 1. Perceived severity B21: responses containing "serious" = 5, responses containing "vanish" = 1, all others = 3. Any response not matched by its map is filled with 3.0 (neutral midpoint). B13 "not sure (difficult to determine)" (149 cells) and B21 "don't know" (124 cells) and "no significant change" (94 cells) default to 3 by this rule; these counts are stated here as a transparency note. B13 “not sure (difficult to determine)” (149 cells) and B21 “don’t know” (124 cells) and “no significant change” (94 cells) default to 3 by this rule; these counts are stated here as a transparency note.</w:t>
      </w:r>
    </w:p>
    <w:p>
      <w:pPr>
        <w:spacing w:after="120" w:line="360" w:lineRule="auto"/>
        <w:jc w:val="left"/>
      </w:pPr>
      <w:r>
        <w:rPr>
          <w:rFonts w:ascii="Times New Roman" w:hAnsi="Times New Roman"/>
          <w:b/>
          <w:i w:val="0"/>
          <w:color w:val="000000"/>
          <w:sz w:val="26"/>
        </w:rPr>
        <w:t>M8. Class Imbalance</w:t>
      </w:r>
    </w:p>
    <w:p>
      <w:pPr>
        <w:spacing w:after="160" w:line="360" w:lineRule="auto"/>
        <w:jc w:val="both"/>
      </w:pPr>
      <w:r>
        <w:rPr>
          <w:rFonts w:ascii="Times New Roman" w:hAnsi="Times New Roman"/>
          <w:b w:val="0"/>
          <w:i w:val="0"/>
          <w:color w:val="000000"/>
          <w:sz w:val="24"/>
        </w:rPr>
        <w:t>KNUST is near-balanced after de-duplication: Low 1,167 (55.9%), High 921 (44.1%). Alzubaidi: Low 597 (50.3%), High 590 (49.7%). No resampling is applied to the primary analysis. An artificial-skew test (M16, R10) deliberately imbalances the data to test whether the weighting helps more under skew.</w:t>
      </w:r>
    </w:p>
    <w:p>
      <w:pPr>
        <w:spacing w:after="120" w:line="360" w:lineRule="auto"/>
        <w:jc w:val="left"/>
      </w:pPr>
      <w:r>
        <w:rPr>
          <w:rFonts w:ascii="Times New Roman" w:hAnsi="Times New Roman"/>
          <w:b/>
          <w:i w:val="0"/>
          <w:color w:val="000000"/>
          <w:sz w:val="26"/>
        </w:rPr>
        <w:t>M9. Partitioning and Tuning-Leakage Control</w:t>
      </w:r>
    </w:p>
    <w:p>
      <w:pPr>
        <w:spacing w:after="160" w:line="360" w:lineRule="auto"/>
        <w:jc w:val="both"/>
      </w:pPr>
      <w:r>
        <w:rPr>
          <w:rFonts w:ascii="Times New Roman" w:hAnsi="Times New Roman"/>
          <w:b w:val="0"/>
          <w:i w:val="0"/>
          <w:color w:val="000000"/>
          <w:sz w:val="24"/>
        </w:rPr>
        <w:t>Performance is estimated by 5 x 10-fold stratified cross-validation (50 fold-level observations). Hyperparameter tuning is nested inside each outer training fold, so no test-fold row informs tuning. A separate 80/20 hold-out is used for the confusion matrices, McNemar test, AUC, SHAP, and robustness in R6/R7/R11. The held-out SHAP model, the held-out baseline, and the robustness model are all re-tuned on the 80% training split only; no held-out row informs tuning. Average tuned depths across folds: KNUST baseline 2.54 / WCE 2.54; Alzubaidi baseline 2.28 / WCE 2.30. Average tuned lambda (KNUST): 1.385. Lambda and depth are tuned per fold via 3-fold inner CV.</w:t>
      </w:r>
    </w:p>
    <w:p>
      <w:pPr>
        <w:spacing w:after="120" w:line="360" w:lineRule="auto"/>
        <w:jc w:val="left"/>
      </w:pPr>
      <w:r>
        <w:rPr>
          <w:rFonts w:ascii="Times New Roman" w:hAnsi="Times New Roman"/>
          <w:b/>
          <w:i w:val="0"/>
          <w:color w:val="000000"/>
          <w:sz w:val="26"/>
        </w:rPr>
        <w:t>M10. Dataset Combining Strategy</w:t>
      </w:r>
    </w:p>
    <w:p>
      <w:pPr>
        <w:spacing w:after="160" w:line="360" w:lineRule="auto"/>
        <w:jc w:val="both"/>
      </w:pPr>
      <w:r>
        <w:rPr>
          <w:rFonts w:ascii="Times New Roman" w:hAnsi="Times New Roman"/>
          <w:b w:val="0"/>
          <w:i w:val="0"/>
          <w:color w:val="000000"/>
          <w:sz w:val="24"/>
        </w:rPr>
        <w:t>Cross-dataset, unidirectional, external stress-test. The two datasets share no data, no features and no fitted state; they are never pooled and are reported separately per leg. The Alzubaidi leg is an external application, not an independent replication.</w:t>
      </w:r>
    </w:p>
    <w:p>
      <w:pPr>
        <w:spacing w:after="120" w:line="360" w:lineRule="auto"/>
        <w:jc w:val="left"/>
      </w:pPr>
      <w:r>
        <w:rPr>
          <w:rFonts w:ascii="Times New Roman" w:hAnsi="Times New Roman"/>
          <w:b/>
          <w:i w:val="0"/>
          <w:color w:val="000000"/>
          <w:sz w:val="26"/>
        </w:rPr>
        <w:t>M11. Baseline Selection</w:t>
      </w:r>
    </w:p>
    <w:p>
      <w:pPr>
        <w:spacing w:after="160" w:line="360" w:lineRule="auto"/>
        <w:jc w:val="both"/>
      </w:pPr>
      <w:r>
        <w:rPr>
          <w:rFonts w:ascii="Times New Roman" w:hAnsi="Times New Roman"/>
          <w:b w:val="0"/>
          <w:i w:val="0"/>
          <w:color w:val="000000"/>
          <w:sz w:val="24"/>
        </w:rPr>
        <w:t>Seven comparators on each dataset: Baseline XGBoost (independently tuned), stock scale_pos_weight XGBoost, Decision Tree, Naive Bayes, Logistic Regression (scaled), SVM (scaled), and Random Forest. The proposed KAB-XGBoost-WCE is the eighth model. Each tunable model receives its own GridSearchCV on the training folds, on both datasets. On Alzubaidi, WCE (0.6877) is above Decision Tree, Naive Bayes, SVM, and Random Forest (all p &lt; 0.001) and above stock scale_pos_weight (p = 0.0959). Logistic Regression (0.6830) and Baseline (0.6844) are not significantly different from WCE.</w:t>
      </w:r>
    </w:p>
    <w:p>
      <w:pPr>
        <w:spacing w:after="120" w:line="360" w:lineRule="auto"/>
        <w:jc w:val="left"/>
      </w:pPr>
      <w:r>
        <w:rPr>
          <w:rFonts w:ascii="Times New Roman" w:hAnsi="Times New Roman"/>
          <w:b/>
          <w:i w:val="0"/>
          <w:color w:val="000000"/>
          <w:sz w:val="26"/>
        </w:rPr>
        <w:t>M12. Proposed Model Specification</w:t>
      </w:r>
    </w:p>
    <w:p>
      <w:pPr>
        <w:spacing w:after="160" w:line="360" w:lineRule="auto"/>
        <w:jc w:val="both"/>
      </w:pPr>
      <w:r>
        <w:rPr>
          <w:rFonts w:ascii="Times New Roman" w:hAnsi="Times New Roman"/>
          <w:b w:val="0"/>
          <w:i w:val="0"/>
          <w:color w:val="000000"/>
          <w:sz w:val="24"/>
        </w:rPr>
        <w:t>Status ENGINEERED, operation Modify. For instances where K_agg &lt; median(K_agg) OR A_agg &lt; median(A_agg), the per-instance weight is w_i = lambda; all other instances receive w_i = 1.0. The weight targets low-knowledge or negative-attitude instances regardless of class label. Lambda is tuned per fold. The full definition is in kab_pipeline.py.</w:t>
      </w:r>
    </w:p>
    <w:p>
      <w:pPr>
        <w:spacing w:after="120" w:line="360" w:lineRule="auto"/>
        <w:jc w:val="left"/>
      </w:pPr>
      <w:r>
        <w:rPr>
          <w:rFonts w:ascii="Times New Roman" w:hAnsi="Times New Roman"/>
          <w:b/>
          <w:i w:val="0"/>
          <w:color w:val="000000"/>
          <w:sz w:val="26"/>
        </w:rPr>
        <w:t>M13. Hyperparameter Optimisation</w:t>
      </w:r>
    </w:p>
    <w:p>
      <w:pPr>
        <w:spacing w:after="160" w:line="360" w:lineRule="auto"/>
        <w:jc w:val="both"/>
      </w:pPr>
      <w:r>
        <w:rPr>
          <w:rFonts w:ascii="Times New Roman" w:hAnsi="Times New Roman"/>
          <w:b w:val="0"/>
          <w:i w:val="0"/>
          <w:color w:val="000000"/>
          <w:sz w:val="24"/>
        </w:rPr>
        <w:t>Table 2 gives search spaces and selected values on both datasets. Baseline XGBoost and KAB-XGBoost-WCE both tune max_depth over {2,3,5,7}. Each uses its own GridSearchCV, run independently per fold, on each dataset. SVM and Logistic Regression are evaluated on standardised features.</w:t>
      </w:r>
    </w:p>
    <w:p>
      <w:pPr>
        <w:spacing w:after="80" w:line="360" w:lineRule="auto"/>
        <w:jc w:val="both"/>
      </w:pPr>
      <w:r>
        <w:rPr>
          <w:rFonts w:ascii="Times New Roman" w:hAnsi="Times New Roman"/>
          <w:b w:val="0"/>
          <w:i/>
          <w:color w:val="000000"/>
          <w:sz w:val="20"/>
        </w:rPr>
        <w:t>Table 2. Tuning search spaces and selected values (both datasets, single run).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Model</w:t>
            </w:r>
          </w:p>
        </w:tc>
        <w:tc>
          <w:tcPr>
            <w:tcW w:type="dxa" w:w="2160"/>
          </w:tcPr>
          <w:p>
            <w:r/>
            <w:r>
              <w:rPr>
                <w:rFonts w:ascii="Times New Roman" w:hAnsi="Times New Roman"/>
                <w:b/>
                <w:color w:val="000000"/>
                <w:sz w:val="18"/>
              </w:rPr>
              <w:t>Search space</w:t>
            </w:r>
          </w:p>
        </w:tc>
        <w:tc>
          <w:tcPr>
            <w:tcW w:type="dxa" w:w="2160"/>
          </w:tcPr>
          <w:p>
            <w:r/>
            <w:r>
              <w:rPr>
                <w:rFonts w:ascii="Times New Roman" w:hAnsi="Times New Roman"/>
                <w:b/>
                <w:color w:val="000000"/>
                <w:sz w:val="18"/>
              </w:rPr>
              <w:t>KNUST</w:t>
            </w:r>
          </w:p>
        </w:tc>
        <w:tc>
          <w:tcPr>
            <w:tcW w:type="dxa" w:w="2160"/>
          </w:tcPr>
          <w:p>
            <w:r/>
            <w:r>
              <w:rPr>
                <w:rFonts w:ascii="Times New Roman" w:hAnsi="Times New Roman"/>
                <w:b/>
                <w:color w:val="000000"/>
                <w:sz w:val="18"/>
              </w:rPr>
              <w:t>Alzubaidi</w:t>
            </w:r>
          </w:p>
        </w:tc>
      </w:tr>
      <w:tr>
        <w:tc>
          <w:tcPr>
            <w:tcW w:type="dxa" w:w="2160"/>
          </w:tcPr>
          <w:p>
            <w:r/>
            <w:r>
              <w:rPr>
                <w:rFonts w:ascii="Times New Roman" w:hAnsi="Times New Roman"/>
                <w:color w:val="000000"/>
                <w:sz w:val="18"/>
              </w:rPr>
              <w:t>Baseline XGBoost</w:t>
            </w:r>
          </w:p>
        </w:tc>
        <w:tc>
          <w:tcPr>
            <w:tcW w:type="dxa" w:w="2160"/>
          </w:tcPr>
          <w:p>
            <w:r/>
            <w:r>
              <w:rPr>
                <w:rFonts w:ascii="Times New Roman" w:hAnsi="Times New Roman"/>
                <w:color w:val="000000"/>
                <w:sz w:val="18"/>
              </w:rPr>
              <w:t>max_depth {2,3,5,7}</w:t>
            </w:r>
          </w:p>
        </w:tc>
        <w:tc>
          <w:tcPr>
            <w:tcW w:type="dxa" w:w="2160"/>
          </w:tcPr>
          <w:p>
            <w:r/>
            <w:r>
              <w:rPr>
                <w:rFonts w:ascii="Times New Roman" w:hAnsi="Times New Roman"/>
                <w:color w:val="000000"/>
                <w:sz w:val="18"/>
              </w:rPr>
              <w:t>depth 2</w:t>
            </w:r>
          </w:p>
        </w:tc>
        <w:tc>
          <w:tcPr>
            <w:tcW w:type="dxa" w:w="2160"/>
          </w:tcPr>
          <w:p>
            <w:r/>
            <w:r>
              <w:rPr>
                <w:rFonts w:ascii="Times New Roman" w:hAnsi="Times New Roman"/>
                <w:color w:val="000000"/>
                <w:sz w:val="18"/>
              </w:rPr>
              <w:t>depth 2</w:t>
            </w:r>
          </w:p>
        </w:tc>
      </w:tr>
      <w:tr>
        <w:tc>
          <w:tcPr>
            <w:tcW w:type="dxa" w:w="2160"/>
          </w:tcPr>
          <w:p>
            <w:r/>
            <w:r>
              <w:rPr>
                <w:rFonts w:ascii="Times New Roman" w:hAnsi="Times New Roman"/>
                <w:color w:val="000000"/>
                <w:sz w:val="18"/>
              </w:rPr>
              <w:t>KAB-XGBoost-WCE</w:t>
            </w:r>
          </w:p>
        </w:tc>
        <w:tc>
          <w:tcPr>
            <w:tcW w:type="dxa" w:w="2160"/>
          </w:tcPr>
          <w:p>
            <w:r/>
            <w:r>
              <w:rPr>
                <w:rFonts w:ascii="Times New Roman" w:hAnsi="Times New Roman"/>
                <w:color w:val="000000"/>
                <w:sz w:val="18"/>
              </w:rPr>
              <w:t>depth {2,3,5,7} x lambda {1.25,1.5}</w:t>
            </w:r>
          </w:p>
        </w:tc>
        <w:tc>
          <w:tcPr>
            <w:tcW w:type="dxa" w:w="2160"/>
          </w:tcPr>
          <w:p>
            <w:r/>
            <w:r>
              <w:rPr>
                <w:rFonts w:ascii="Times New Roman" w:hAnsi="Times New Roman"/>
                <w:color w:val="000000"/>
                <w:sz w:val="18"/>
              </w:rPr>
              <w:t>avg depth 2.54, lam 1.385</w:t>
            </w:r>
          </w:p>
        </w:tc>
        <w:tc>
          <w:tcPr>
            <w:tcW w:type="dxa" w:w="2160"/>
          </w:tcPr>
          <w:p>
            <w:r/>
            <w:r>
              <w:rPr>
                <w:rFonts w:ascii="Times New Roman" w:hAnsi="Times New Roman"/>
                <w:color w:val="000000"/>
                <w:sz w:val="18"/>
              </w:rPr>
              <w:t>avg depth 2.30, lam 1.40</w:t>
            </w:r>
          </w:p>
        </w:tc>
      </w:tr>
      <w:tr>
        <w:tc>
          <w:tcPr>
            <w:tcW w:type="dxa" w:w="2160"/>
          </w:tcPr>
          <w:p>
            <w:r/>
            <w:r>
              <w:rPr>
                <w:rFonts w:ascii="Times New Roman" w:hAnsi="Times New Roman"/>
                <w:color w:val="000000"/>
                <w:sz w:val="18"/>
              </w:rPr>
              <w:t>Decision Tree</w:t>
            </w:r>
          </w:p>
        </w:tc>
        <w:tc>
          <w:tcPr>
            <w:tcW w:type="dxa" w:w="2160"/>
          </w:tcPr>
          <w:p>
            <w:r/>
            <w:r>
              <w:rPr>
                <w:rFonts w:ascii="Times New Roman" w:hAnsi="Times New Roman"/>
                <w:color w:val="000000"/>
                <w:sz w:val="18"/>
              </w:rPr>
              <w:t>max_depth {3,5,7}</w:t>
            </w:r>
          </w:p>
        </w:tc>
        <w:tc>
          <w:tcPr>
            <w:tcW w:type="dxa" w:w="2160"/>
          </w:tcPr>
          <w:p>
            <w:r/>
            <w:r>
              <w:rPr>
                <w:rFonts w:ascii="Times New Roman" w:hAnsi="Times New Roman"/>
                <w:color w:val="000000"/>
                <w:sz w:val="18"/>
              </w:rPr>
              <w:t>per fold</w:t>
            </w:r>
          </w:p>
        </w:tc>
        <w:tc>
          <w:tcPr>
            <w:tcW w:type="dxa" w:w="2160"/>
          </w:tcPr>
          <w:p>
            <w:r/>
            <w:r>
              <w:rPr>
                <w:rFonts w:ascii="Times New Roman" w:hAnsi="Times New Roman"/>
                <w:color w:val="000000"/>
                <w:sz w:val="18"/>
              </w:rPr>
              <w:t>per fold</w:t>
            </w:r>
          </w:p>
        </w:tc>
      </w:tr>
      <w:tr>
        <w:tc>
          <w:tcPr>
            <w:tcW w:type="dxa" w:w="2160"/>
          </w:tcPr>
          <w:p>
            <w:r/>
            <w:r>
              <w:rPr>
                <w:rFonts w:ascii="Times New Roman" w:hAnsi="Times New Roman"/>
                <w:color w:val="000000"/>
                <w:sz w:val="18"/>
              </w:rPr>
              <w:t>Random Forest</w:t>
            </w:r>
          </w:p>
        </w:tc>
        <w:tc>
          <w:tcPr>
            <w:tcW w:type="dxa" w:w="2160"/>
          </w:tcPr>
          <w:p>
            <w:r/>
            <w:r>
              <w:rPr>
                <w:rFonts w:ascii="Times New Roman" w:hAnsi="Times New Roman"/>
                <w:color w:val="000000"/>
                <w:sz w:val="18"/>
              </w:rPr>
              <w:t>n_estimators 100</w:t>
            </w:r>
          </w:p>
        </w:tc>
        <w:tc>
          <w:tcPr>
            <w:tcW w:type="dxa" w:w="2160"/>
          </w:tcPr>
          <w:p>
            <w:r/>
            <w:r>
              <w:rPr>
                <w:rFonts w:ascii="Times New Roman" w:hAnsi="Times New Roman"/>
                <w:color w:val="000000"/>
                <w:sz w:val="18"/>
              </w:rPr>
              <w:t>fixed</w:t>
            </w:r>
          </w:p>
        </w:tc>
        <w:tc>
          <w:tcPr>
            <w:tcW w:type="dxa" w:w="2160"/>
          </w:tcPr>
          <w:p>
            <w:r/>
            <w:r>
              <w:rPr>
                <w:rFonts w:ascii="Times New Roman" w:hAnsi="Times New Roman"/>
                <w:color w:val="000000"/>
                <w:sz w:val="18"/>
              </w:rPr>
              <w:t>fixed</w:t>
            </w:r>
          </w:p>
        </w:tc>
      </w:tr>
      <w:tr>
        <w:tc>
          <w:tcPr>
            <w:tcW w:type="dxa" w:w="2160"/>
          </w:tcPr>
          <w:p>
            <w:r/>
            <w:r>
              <w:rPr>
                <w:rFonts w:ascii="Times New Roman" w:hAnsi="Times New Roman"/>
                <w:color w:val="000000"/>
                <w:sz w:val="18"/>
              </w:rPr>
              <w:t>SVM / LogReg</w:t>
            </w:r>
          </w:p>
        </w:tc>
        <w:tc>
          <w:tcPr>
            <w:tcW w:type="dxa" w:w="2160"/>
          </w:tcPr>
          <w:p>
            <w:r/>
            <w:r>
              <w:rPr>
                <w:rFonts w:ascii="Times New Roman" w:hAnsi="Times New Roman"/>
                <w:color w:val="000000"/>
                <w:sz w:val="18"/>
              </w:rPr>
              <w:t>scaled features</w:t>
            </w:r>
          </w:p>
        </w:tc>
        <w:tc>
          <w:tcPr>
            <w:tcW w:type="dxa" w:w="2160"/>
          </w:tcPr>
          <w:p>
            <w:r/>
            <w:r>
              <w:rPr>
                <w:rFonts w:ascii="Times New Roman" w:hAnsi="Times New Roman"/>
                <w:color w:val="000000"/>
                <w:sz w:val="18"/>
              </w:rPr>
              <w:t>scaled</w:t>
            </w:r>
          </w:p>
        </w:tc>
        <w:tc>
          <w:tcPr>
            <w:tcW w:type="dxa" w:w="2160"/>
          </w:tcPr>
          <w:p>
            <w:r/>
            <w:r>
              <w:rPr>
                <w:rFonts w:ascii="Times New Roman" w:hAnsi="Times New Roman"/>
                <w:color w:val="000000"/>
                <w:sz w:val="18"/>
              </w:rPr>
              <w:t>scaled</w:t>
            </w:r>
          </w:p>
        </w:tc>
      </w:tr>
    </w:tbl>
    <w:p/>
    <w:p>
      <w:pPr>
        <w:spacing w:after="120" w:line="360" w:lineRule="auto"/>
        <w:jc w:val="left"/>
      </w:pPr>
      <w:r>
        <w:rPr>
          <w:rFonts w:ascii="Times New Roman" w:hAnsi="Times New Roman"/>
          <w:b/>
          <w:i w:val="0"/>
          <w:color w:val="000000"/>
          <w:sz w:val="26"/>
        </w:rPr>
        <w:t>M14. Training Protocol and Reproducibility</w:t>
      </w:r>
    </w:p>
    <w:p>
      <w:pPr>
        <w:spacing w:after="160" w:line="360" w:lineRule="auto"/>
        <w:jc w:val="both"/>
      </w:pPr>
      <w:r>
        <w:rPr>
          <w:rFonts w:ascii="Times New Roman" w:hAnsi="Times New Roman"/>
          <w:b w:val="0"/>
          <w:i w:val="0"/>
          <w:color w:val="000000"/>
          <w:sz w:val="24"/>
        </w:rPr>
        <w:t>Seeds: repeats use random_state 42 to 46; model instances fix random_state 42. The complete pipeline (loading and de-duplication for KNUST, block mapping for Alzubaidi, feature and label construction, nested GridSearchCV, all eight models (seven comparators plus the proposed KAB-XGBoost-WCE), the four-arm ablation, the depth curve, held-out analysis, SHAP, ordinal and bootstrap robustness, subgroup analysis, and the artificial-skew test) is in kab_pipeline.py. The 50 fold-level scores per dataset are exported to fold_level_results_knust.csv and fold_level_results_alzubaidi.csv so every figure in Results is independently recomputable. Reproducibility depends on repository access, which is a stated limitation in M23. Seed sensitivity: the full 5x10 CV is repeated across five seeds (0, 7, 13, 21, 42); each seed changes the fold splits and the XGBoost random_state. Robustness protocol: in each of 100 trials every Likert cell in the held-out rows is shifted by plus or minus 1 with probability 0.10 (clipped to 1-5), K_agg and A_agg are recomputed, and the tuned WCE model scores the result; separately, the held-out predictions are bootstrapped 1,000 times for the confidence interval. Subgroup protocol: the full 5x10 CV is re-run with the Year 2, Year 3 and Year 4 subsets; tuned WCE and tuned baseline run side by side; no subgroup-level significance test is run. Threshold protocol: the outcome label is recomputed at tertile top (top 30% High, Low = 70%) and quartile top (top 24% High, Low = 76%) thresholds; a paired Wilcoxon test is run at each threshold on the 50 folds.</w:t>
      </w:r>
    </w:p>
    <w:p>
      <w:pPr>
        <w:spacing w:after="120" w:line="360" w:lineRule="auto"/>
        <w:jc w:val="left"/>
      </w:pPr>
      <w:r>
        <w:rPr>
          <w:rFonts w:ascii="Times New Roman" w:hAnsi="Times New Roman"/>
          <w:b/>
          <w:i w:val="0"/>
          <w:color w:val="000000"/>
          <w:sz w:val="26"/>
        </w:rPr>
        <w:t>M15. Evaluation Metrics</w:t>
      </w:r>
    </w:p>
    <w:p>
      <w:pPr>
        <w:spacing w:after="160" w:line="360" w:lineRule="auto"/>
        <w:jc w:val="both"/>
      </w:pPr>
      <w:r>
        <w:rPr>
          <w:rFonts w:ascii="Times New Roman" w:hAnsi="Times New Roman"/>
          <w:b w:val="0"/>
          <w:i w:val="0"/>
          <w:color w:val="000000"/>
          <w:sz w:val="24"/>
        </w:rPr>
        <w:t>Primary metric: macro F1 (symmetric cost story, Table A). Supporting: per-class precision, recall and F1; AUC-ROC; McNemar on the held-out split; SHAP for feature importance.</w:t>
      </w:r>
    </w:p>
    <w:p>
      <w:pPr>
        <w:spacing w:after="120" w:line="360" w:lineRule="auto"/>
        <w:jc w:val="left"/>
      </w:pPr>
      <w:r>
        <w:rPr>
          <w:rFonts w:ascii="Times New Roman" w:hAnsi="Times New Roman"/>
          <w:b/>
          <w:i w:val="0"/>
          <w:color w:val="000000"/>
          <w:sz w:val="26"/>
        </w:rPr>
        <w:t>M16. Ablation and Statistical Protocol</w:t>
      </w:r>
    </w:p>
    <w:p>
      <w:pPr>
        <w:spacing w:after="160" w:line="360" w:lineRule="auto"/>
        <w:jc w:val="both"/>
      </w:pPr>
      <w:r>
        <w:rPr>
          <w:rFonts w:ascii="Times New Roman" w:hAnsi="Times New Roman"/>
          <w:b w:val="0"/>
          <w:i w:val="0"/>
          <w:color w:val="000000"/>
          <w:sz w:val="24"/>
        </w:rPr>
        <w:t>Four-arm ablation (A: max_depth 5 no weighting, B: max_depth 3 no weighting, C: max_depth 5 lambda = 1.5, D: max_depth 3 lambda = 1.5), all from the same 5 x 10-fold protocol. Primary test: Wilcoxon signed-rank on 50 paired folds with W+, W-, p, fold-win and ties reported. The 50 fold scores are not independent (5 repeats of 10 folds share data); p-values are conservative approximations. The p-value uses scipy.stats.wilcoxon: exact when no ties and n 50 or fewer, normal approximation otherwise. Effect size: r = |z| / sqrt(n_nontied), where n_nontied is the number of non-tied pairs. Each of the seven pairwise comparisons uses its own Wilcoxon test. No Bonferroni correction is applied; all seven p-values are reported. Seven comparators gives a Bonferroni threshold of alpha/7 = 0.0071. This threshold is applied in R2. Artificial-skew test: the High class is downsampled to a 25% minority to test whether the weighting helps more under genuine imbalance, comparing KAB-WCE against stock scale_pos_weight.</w:t>
      </w:r>
    </w:p>
    <w:p>
      <w:pPr>
        <w:spacing w:after="120" w:line="360" w:lineRule="auto"/>
        <w:jc w:val="left"/>
      </w:pPr>
      <w:r>
        <w:rPr>
          <w:rFonts w:ascii="Times New Roman" w:hAnsi="Times New Roman"/>
          <w:b/>
          <w:i w:val="0"/>
          <w:color w:val="000000"/>
          <w:sz w:val="26"/>
        </w:rPr>
        <w:t>M17. Interpretability</w:t>
      </w:r>
    </w:p>
    <w:p>
      <w:pPr>
        <w:spacing w:after="160" w:line="360" w:lineRule="auto"/>
        <w:jc w:val="both"/>
      </w:pPr>
      <w:r>
        <w:rPr>
          <w:rFonts w:ascii="Times New Roman" w:hAnsi="Times New Roman"/>
          <w:b w:val="0"/>
          <w:i w:val="0"/>
          <w:color w:val="000000"/>
          <w:sz w:val="24"/>
        </w:rPr>
        <w:t>SHAP TreeExplainer is applied to the fitted KAB-XGBoost-WCE model on each dataset's held-out partition, and mean absolute SHAP values give the global feature ranking reported in R6. Importance is associational only; no causal or curriculum-intervention claim is made.</w:t>
      </w:r>
    </w:p>
    <w:p>
      <w:pPr>
        <w:spacing w:after="120" w:line="360" w:lineRule="auto"/>
        <w:jc w:val="left"/>
      </w:pPr>
      <w:r>
        <w:rPr>
          <w:rFonts w:ascii="Times New Roman" w:hAnsi="Times New Roman"/>
          <w:b/>
          <w:i w:val="0"/>
          <w:color w:val="000000"/>
          <w:sz w:val="26"/>
        </w:rPr>
        <w:t>M18. Generalisation and Construct Equivalence</w:t>
      </w:r>
    </w:p>
    <w:p>
      <w:pPr>
        <w:spacing w:after="160" w:line="360" w:lineRule="auto"/>
        <w:jc w:val="both"/>
      </w:pPr>
      <w:r>
        <w:rPr>
          <w:rFonts w:ascii="Times New Roman" w:hAnsi="Times New Roman"/>
          <w:b w:val="0"/>
          <w:i w:val="0"/>
          <w:color w:val="000000"/>
          <w:sz w:val="24"/>
        </w:rPr>
        <w:t>Tier 1 bounded, single-context field study with an external stress-test. The KNUST Knowledge items are as listed in M7. On the Alzubaidi instrument the nearest blocks are B19 (cybercrime victimisation frequency) and B20 (concern), which measure experience and concern rather than knowledge; the Knowledge mapping to Alzubaidi is therefore imposed and weak, and is labelled as such. No measurement invariance is claimed. Table M18a gives the item-level mapping.</w:t>
      </w:r>
    </w:p>
    <w:p>
      <w:pPr>
        <w:spacing w:after="80" w:line="360" w:lineRule="auto"/>
        <w:jc w:val="both"/>
      </w:pPr>
      <w:r>
        <w:rPr>
          <w:rFonts w:ascii="Times New Roman" w:hAnsi="Times New Roman"/>
          <w:b w:val="0"/>
          <w:i/>
          <w:color w:val="000000"/>
          <w:sz w:val="20"/>
        </w:rPr>
        <w:t>Table M18a. Block-level construct-equivalence mapping and its limitations.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KNUST items</w:t>
            </w:r>
          </w:p>
        </w:tc>
        <w:tc>
          <w:tcPr>
            <w:tcW w:type="dxa" w:w="2160"/>
          </w:tcPr>
          <w:p>
            <w:r/>
            <w:r>
              <w:rPr>
                <w:rFonts w:ascii="Times New Roman" w:hAnsi="Times New Roman"/>
                <w:b/>
                <w:color w:val="000000"/>
                <w:sz w:val="18"/>
              </w:rPr>
              <w:t>Alzubaidi blocks</w:t>
            </w:r>
          </w:p>
        </w:tc>
        <w:tc>
          <w:tcPr>
            <w:tcW w:type="dxa" w:w="2160"/>
          </w:tcPr>
          <w:p>
            <w:r/>
            <w:r>
              <w:rPr>
                <w:rFonts w:ascii="Times New Roman" w:hAnsi="Times New Roman"/>
                <w:b/>
                <w:color w:val="000000"/>
                <w:sz w:val="18"/>
              </w:rPr>
              <w:t>Equivalence basis</w:t>
            </w:r>
          </w:p>
        </w:tc>
      </w:tr>
      <w:tr>
        <w:tc>
          <w:tcPr>
            <w:tcW w:type="dxa" w:w="2160"/>
          </w:tcPr>
          <w:p>
            <w:r/>
            <w:r>
              <w:rPr>
                <w:rFonts w:ascii="Times New Roman" w:hAnsi="Times New Roman"/>
                <w:color w:val="000000"/>
                <w:sz w:val="18"/>
              </w:rPr>
              <w:t>Knowledge</w:t>
            </w:r>
          </w:p>
        </w:tc>
        <w:tc>
          <w:tcPr>
            <w:tcW w:type="dxa" w:w="2160"/>
          </w:tcPr>
          <w:p>
            <w:r/>
            <w:r>
              <w:rPr>
                <w:rFonts w:ascii="Times New Roman" w:hAnsi="Times New Roman"/>
                <w:color w:val="000000"/>
                <w:sz w:val="18"/>
              </w:rPr>
              <w:t>Q6-Q10</w:t>
            </w:r>
          </w:p>
        </w:tc>
        <w:tc>
          <w:tcPr>
            <w:tcW w:type="dxa" w:w="2160"/>
          </w:tcPr>
          <w:p>
            <w:r/>
            <w:r>
              <w:rPr>
                <w:rFonts w:ascii="Times New Roman" w:hAnsi="Times New Roman"/>
                <w:color w:val="000000"/>
                <w:sz w:val="18"/>
              </w:rPr>
              <w:t>B19 + B20 (victimisation, concern)</w:t>
            </w:r>
          </w:p>
        </w:tc>
        <w:tc>
          <w:tcPr>
            <w:tcW w:type="dxa" w:w="2160"/>
          </w:tcPr>
          <w:p>
            <w:r/>
            <w:r>
              <w:rPr>
                <w:rFonts w:ascii="Times New Roman" w:hAnsi="Times New Roman"/>
                <w:color w:val="000000"/>
                <w:sz w:val="18"/>
              </w:rPr>
              <w:t>Weak/imposed: Alzubaidi blocks measure experience and concern, not knowledge</w:t>
            </w:r>
          </w:p>
        </w:tc>
      </w:tr>
      <w:tr>
        <w:tc>
          <w:tcPr>
            <w:tcW w:type="dxa" w:w="2160"/>
          </w:tcPr>
          <w:p>
            <w:r/>
            <w:r>
              <w:rPr>
                <w:rFonts w:ascii="Times New Roman" w:hAnsi="Times New Roman"/>
                <w:color w:val="000000"/>
                <w:sz w:val="18"/>
              </w:rPr>
              <w:t>Attitude</w:t>
            </w:r>
          </w:p>
        </w:tc>
        <w:tc>
          <w:tcPr>
            <w:tcW w:type="dxa" w:w="2160"/>
          </w:tcPr>
          <w:p>
            <w:r/>
            <w:r>
              <w:rPr>
                <w:rFonts w:ascii="Times New Roman" w:hAnsi="Times New Roman"/>
                <w:color w:val="000000"/>
                <w:sz w:val="18"/>
              </w:rPr>
              <w:t>Q13-Q17</w:t>
            </w:r>
          </w:p>
        </w:tc>
        <w:tc>
          <w:tcPr>
            <w:tcW w:type="dxa" w:w="2160"/>
          </w:tcPr>
          <w:p>
            <w:r/>
            <w:r>
              <w:rPr>
                <w:rFonts w:ascii="Times New Roman" w:hAnsi="Times New Roman"/>
                <w:color w:val="000000"/>
                <w:sz w:val="18"/>
              </w:rPr>
              <w:t>B18 + B22 + B13 + B21</w:t>
            </w:r>
          </w:p>
        </w:tc>
        <w:tc>
          <w:tcPr>
            <w:tcW w:type="dxa" w:w="2160"/>
          </w:tcPr>
          <w:p>
            <w:r/>
            <w:r>
              <w:rPr>
                <w:rFonts w:ascii="Times New Roman" w:hAnsi="Times New Roman"/>
                <w:color w:val="000000"/>
                <w:sz w:val="18"/>
              </w:rPr>
              <w:t>Imposed; evaluative stance is the shared basis</w:t>
            </w:r>
          </w:p>
        </w:tc>
      </w:tr>
      <w:tr>
        <w:tc>
          <w:tcPr>
            <w:tcW w:type="dxa" w:w="2160"/>
          </w:tcPr>
          <w:p>
            <w:r/>
            <w:r>
              <w:rPr>
                <w:rFonts w:ascii="Times New Roman" w:hAnsi="Times New Roman"/>
                <w:color w:val="000000"/>
                <w:sz w:val="18"/>
              </w:rPr>
              <w:t>Behaviour (label)</w:t>
            </w:r>
          </w:p>
        </w:tc>
        <w:tc>
          <w:tcPr>
            <w:tcW w:type="dxa" w:w="2160"/>
          </w:tcPr>
          <w:p>
            <w:r/>
            <w:r>
              <w:rPr>
                <w:rFonts w:ascii="Times New Roman" w:hAnsi="Times New Roman"/>
                <w:color w:val="000000"/>
                <w:sz w:val="18"/>
              </w:rPr>
              <w:t>Q18-Q23</w:t>
            </w:r>
          </w:p>
        </w:tc>
        <w:tc>
          <w:tcPr>
            <w:tcW w:type="dxa" w:w="2160"/>
          </w:tcPr>
          <w:p>
            <w:r/>
            <w:r>
              <w:rPr>
                <w:rFonts w:ascii="Times New Roman" w:hAnsi="Times New Roman"/>
                <w:color w:val="000000"/>
                <w:sz w:val="18"/>
              </w:rPr>
              <w:t>B14 block</w:t>
            </w:r>
          </w:p>
        </w:tc>
        <w:tc>
          <w:tcPr>
            <w:tcW w:type="dxa" w:w="2160"/>
          </w:tcPr>
          <w:p>
            <w:r/>
            <w:r>
              <w:rPr>
                <w:rFonts w:ascii="Times New Roman" w:hAnsi="Times New Roman"/>
                <w:color w:val="000000"/>
                <w:sz w:val="18"/>
              </w:rPr>
              <w:t>Self-reported practice; excluded from X</w:t>
            </w:r>
          </w:p>
        </w:tc>
      </w:tr>
      <w:tr>
        <w:tc>
          <w:tcPr>
            <w:tcW w:type="dxa" w:w="2160"/>
          </w:tcPr>
          <w:p>
            <w:r/>
            <w:r>
              <w:rPr>
                <w:rFonts w:ascii="Times New Roman" w:hAnsi="Times New Roman"/>
                <w:color w:val="000000"/>
                <w:sz w:val="18"/>
              </w:rPr>
              <w:t>Aggregates</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K_agg, A_agg</w:t>
            </w:r>
          </w:p>
        </w:tc>
        <w:tc>
          <w:tcPr>
            <w:tcW w:type="dxa" w:w="2160"/>
          </w:tcPr>
          <w:p>
            <w:r/>
            <w:r>
              <w:rPr>
                <w:rFonts w:ascii="Times New Roman" w:hAnsi="Times New Roman"/>
                <w:color w:val="000000"/>
                <w:sz w:val="18"/>
              </w:rPr>
              <w:t>Mean of the mapped items on each instrument</w:t>
            </w:r>
          </w:p>
        </w:tc>
      </w:tr>
    </w:tbl>
    <w:p/>
    <w:p>
      <w:pPr>
        <w:spacing w:after="120" w:line="360" w:lineRule="auto"/>
        <w:jc w:val="left"/>
      </w:pPr>
      <w:r>
        <w:rPr>
          <w:rFonts w:ascii="Times New Roman" w:hAnsi="Times New Roman"/>
          <w:b/>
          <w:i w:val="0"/>
          <w:color w:val="000000"/>
          <w:sz w:val="26"/>
        </w:rPr>
        <w:t>M19. Computational Environment</w:t>
      </w:r>
    </w:p>
    <w:p>
      <w:pPr>
        <w:spacing w:after="160" w:line="360" w:lineRule="auto"/>
        <w:jc w:val="both"/>
      </w:pPr>
      <w:r>
        <w:rPr>
          <w:rFonts w:ascii="Times New Roman" w:hAnsi="Times New Roman"/>
          <w:b w:val="0"/>
          <w:i w:val="0"/>
          <w:color w:val="000000"/>
          <w:sz w:val="24"/>
        </w:rPr>
        <w:t>Python with scikit-learn, XGBoost and SHAP. Mean per-fold training time at matched depth (both models at WCE-tuned depth): KNUST baseline 13.3 ms, WCE 13.3 ms; Alzubaidi baseline 11.2 ms, WCE 11.2 ms. The times are equal at this precision. No performance-per-cost claim is made. Times are from a single pipeline run on a cloud CPU; they will vary across machines and Python versions.</w:t>
      </w:r>
    </w:p>
    <w:p>
      <w:pPr>
        <w:spacing w:after="120" w:line="360" w:lineRule="auto"/>
        <w:jc w:val="left"/>
      </w:pPr>
      <w:r>
        <w:rPr>
          <w:rFonts w:ascii="Times New Roman" w:hAnsi="Times New Roman"/>
          <w:b/>
          <w:i w:val="0"/>
          <w:color w:val="000000"/>
          <w:sz w:val="26"/>
        </w:rPr>
        <w:t>M20. Methodological Defence</w:t>
      </w:r>
    </w:p>
    <w:p>
      <w:pPr>
        <w:spacing w:after="160" w:line="360" w:lineRule="auto"/>
        <w:jc w:val="both"/>
      </w:pPr>
      <w:r>
        <w:rPr>
          <w:rFonts w:ascii="Times New Roman" w:hAnsi="Times New Roman"/>
          <w:b w:val="0"/>
          <w:i w:val="0"/>
          <w:color w:val="000000"/>
          <w:sz w:val="24"/>
        </w:rPr>
        <w:t>Parsimony: on KNUST the four-arm ablation shows depth tuning contributes +0.0011 macro F1 (Wilcoxon p = 0.8939) while the weighting at depth 5 contributes -0.0055 (p = 0.1652) and at depth 3 contributes +0.0016 (p = 0.5157), all within noise of zero; the manuscript reports this null rather than defending the mechanism. The cost story in Table A is symmetric and applied consistently in M15 and here.</w:t>
      </w:r>
    </w:p>
    <w:p>
      <w:pPr>
        <w:spacing w:after="120" w:line="360" w:lineRule="auto"/>
        <w:jc w:val="left"/>
      </w:pPr>
      <w:r>
        <w:rPr>
          <w:rFonts w:ascii="Times New Roman" w:hAnsi="Times New Roman"/>
          <w:b/>
          <w:i w:val="0"/>
          <w:color w:val="000000"/>
          <w:sz w:val="26"/>
        </w:rPr>
        <w:t>M21. Objective to Method to Result Traceability</w:t>
      </w:r>
    </w:p>
    <w:p>
      <w:pPr>
        <w:spacing w:after="80" w:line="360" w:lineRule="auto"/>
        <w:jc w:val="both"/>
      </w:pPr>
      <w:r>
        <w:rPr>
          <w:rFonts w:ascii="Times New Roman" w:hAnsi="Times New Roman"/>
          <w:b w:val="0"/>
          <w:i/>
          <w:color w:val="000000"/>
          <w:sz w:val="20"/>
        </w:rPr>
        <w:t>Table B maps each objective to its method step and result location. Every routed result section exists in the Results document.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2880"/>
        <w:gridCol w:w="2880"/>
      </w:tblGrid>
      <w:tr>
        <w:tc>
          <w:tcPr>
            <w:tcW w:type="dxa" w:w="2880"/>
          </w:tcPr>
          <w:p>
            <w:r/>
            <w:r>
              <w:rPr>
                <w:rFonts w:ascii="Times New Roman" w:hAnsi="Times New Roman"/>
                <w:b/>
                <w:color w:val="000000"/>
                <w:sz w:val="18"/>
              </w:rPr>
              <w:t>Objective</w:t>
            </w:r>
          </w:p>
        </w:tc>
        <w:tc>
          <w:tcPr>
            <w:tcW w:type="dxa" w:w="2880"/>
          </w:tcPr>
          <w:p>
            <w:r/>
            <w:r>
              <w:rPr>
                <w:rFonts w:ascii="Times New Roman" w:hAnsi="Times New Roman"/>
                <w:b/>
                <w:color w:val="000000"/>
                <w:sz w:val="18"/>
              </w:rPr>
              <w:t>Method</w:t>
            </w:r>
          </w:p>
        </w:tc>
        <w:tc>
          <w:tcPr>
            <w:tcW w:type="dxa" w:w="2880"/>
          </w:tcPr>
          <w:p>
            <w:r/>
            <w:r>
              <w:rPr>
                <w:rFonts w:ascii="Times New Roman" w:hAnsi="Times New Roman"/>
                <w:b/>
                <w:color w:val="000000"/>
                <w:sz w:val="18"/>
              </w:rPr>
              <w:t>Result</w:t>
            </w:r>
          </w:p>
        </w:tc>
      </w:tr>
      <w:tr>
        <w:tc>
          <w:tcPr>
            <w:tcW w:type="dxa" w:w="2880"/>
          </w:tcPr>
          <w:p>
            <w:r/>
            <w:r>
              <w:rPr>
                <w:rFonts w:ascii="Times New Roman" w:hAnsi="Times New Roman"/>
                <w:color w:val="000000"/>
                <w:sz w:val="18"/>
              </w:rPr>
              <w:t>O1 Propose KAB-XGBoost-WCE (primary)</w:t>
            </w:r>
          </w:p>
        </w:tc>
        <w:tc>
          <w:tcPr>
            <w:tcW w:type="dxa" w:w="2880"/>
          </w:tcPr>
          <w:p>
            <w:r/>
            <w:r>
              <w:rPr>
                <w:rFonts w:ascii="Times New Roman" w:hAnsi="Times New Roman"/>
                <w:color w:val="000000"/>
                <w:sz w:val="18"/>
              </w:rPr>
              <w:t>M12, M16</w:t>
            </w:r>
          </w:p>
        </w:tc>
        <w:tc>
          <w:tcPr>
            <w:tcW w:type="dxa" w:w="2880"/>
          </w:tcPr>
          <w:p>
            <w:r/>
            <w:r>
              <w:rPr>
                <w:rFonts w:ascii="Times New Roman" w:hAnsi="Times New Roman"/>
                <w:color w:val="000000"/>
                <w:sz w:val="18"/>
              </w:rPr>
              <w:t>R2, R5, R10</w:t>
            </w:r>
          </w:p>
          <w:p>
            <w:r>
              <w:rPr>
                <w:rFonts w:ascii="Times New Roman" w:hAnsi="Times New Roman"/>
                <w:color w:val="000000"/>
                <w:sz w:val="18"/>
                <w:i/>
              </w:rPr>
              <w:t>Answer: The weighting adds no measurable value (-0.0055 at depth 5 p=0.1652, +0.0016 at depth 3 p=0.5157, both non-significant). WCE does not beat the baseline on either dataset.</w:t>
            </w:r>
          </w:p>
        </w:tc>
      </w:tr>
      <w:tr>
        <w:tc>
          <w:tcPr>
            <w:tcW w:type="dxa" w:w="2880"/>
          </w:tcPr>
          <w:p>
            <w:r/>
            <w:r>
              <w:rPr>
                <w:rFonts w:ascii="Times New Roman" w:hAnsi="Times New Roman"/>
                <w:color w:val="000000"/>
                <w:sz w:val="18"/>
              </w:rPr>
              <w:t>O2 Benchmark vs 7 comparators (both datasets)</w:t>
            </w:r>
          </w:p>
        </w:tc>
        <w:tc>
          <w:tcPr>
            <w:tcW w:type="dxa" w:w="2880"/>
          </w:tcPr>
          <w:p>
            <w:r/>
            <w:r>
              <w:rPr>
                <w:rFonts w:ascii="Times New Roman" w:hAnsi="Times New Roman"/>
                <w:color w:val="000000"/>
                <w:sz w:val="18"/>
              </w:rPr>
              <w:t>M11, M13</w:t>
            </w:r>
          </w:p>
        </w:tc>
        <w:tc>
          <w:tcPr>
            <w:tcW w:type="dxa" w:w="2880"/>
          </w:tcPr>
          <w:p>
            <w:r/>
            <w:r>
              <w:rPr>
                <w:rFonts w:ascii="Times New Roman" w:hAnsi="Times New Roman"/>
                <w:color w:val="000000"/>
                <w:sz w:val="18"/>
              </w:rPr>
              <w:t>R2 (Table 3), R3, R4</w:t>
            </w:r>
          </w:p>
          <w:p>
            <w:r>
              <w:rPr>
                <w:rFonts w:ascii="Times New Roman" w:hAnsi="Times New Roman"/>
                <w:color w:val="000000"/>
                <w:sz w:val="18"/>
                <w:i/>
              </w:rPr>
              <w:t>Answer: WCE is outperformed by Naive Bayes (p = 0.0236) on KNUST. On Alzubaidi WCE (0.6877) is above Baseline (0.6844) and above DT, NB, SVM, and RF (all p &lt; 0.001). WCE is not significantly different from stock scale_pos_weight (p = 0.0959). Logistic Regression (0.6830) is not significantly different from WCE.</w:t>
            </w:r>
          </w:p>
        </w:tc>
      </w:tr>
      <w:tr>
        <w:tc>
          <w:tcPr>
            <w:tcW w:type="dxa" w:w="2880"/>
          </w:tcPr>
          <w:p>
            <w:r/>
            <w:r>
              <w:rPr>
                <w:rFonts w:ascii="Times New Roman" w:hAnsi="Times New Roman"/>
                <w:color w:val="000000"/>
                <w:sz w:val="18"/>
              </w:rPr>
              <w:t>O3 Characterise feature importance</w:t>
            </w:r>
          </w:p>
        </w:tc>
        <w:tc>
          <w:tcPr>
            <w:tcW w:type="dxa" w:w="2880"/>
          </w:tcPr>
          <w:p>
            <w:r/>
            <w:r>
              <w:rPr>
                <w:rFonts w:ascii="Times New Roman" w:hAnsi="Times New Roman"/>
                <w:color w:val="000000"/>
                <w:sz w:val="18"/>
              </w:rPr>
              <w:t>M17</w:t>
            </w:r>
          </w:p>
        </w:tc>
        <w:tc>
          <w:tcPr>
            <w:tcW w:type="dxa" w:w="2880"/>
          </w:tcPr>
          <w:p>
            <w:r/>
            <w:r>
              <w:rPr>
                <w:rFonts w:ascii="Times New Roman" w:hAnsi="Times New Roman"/>
                <w:color w:val="000000"/>
                <w:sz w:val="18"/>
              </w:rPr>
              <w:t>R6 (SHAP)</w:t>
            </w:r>
          </w:p>
          <w:p>
            <w:r>
              <w:rPr>
                <w:rFonts w:ascii="Times New Roman" w:hAnsi="Times New Roman"/>
                <w:color w:val="000000"/>
                <w:sz w:val="18"/>
                <w:i/>
              </w:rPr>
              <w:t>Answer: K_agg (0.4323) and A_agg (0.3406) rank first and second on KNUST. On Alzubaidi B18_3 (0.4288) ranks first; A_agg (0.1801) ranks fourth. K_agg does not appear in the Alzubaidi top ten. K_agg does not appear in the Alzubaidi top ten, so the aggregate-level KAB structure does not generalise across datasets.</w:t>
            </w:r>
          </w:p>
        </w:tc>
      </w:tr>
    </w:tbl>
    <w:p/>
    <w:p>
      <w:pPr>
        <w:spacing w:after="120" w:line="360" w:lineRule="auto"/>
        <w:jc w:val="left"/>
      </w:pPr>
      <w:r>
        <w:rPr>
          <w:rFonts w:ascii="Times New Roman" w:hAnsi="Times New Roman"/>
          <w:b/>
          <w:i w:val="0"/>
          <w:color w:val="000000"/>
          <w:sz w:val="26"/>
        </w:rPr>
        <w:t>M22. Cost Story</w:t>
      </w:r>
    </w:p>
    <w:p>
      <w:pPr>
        <w:spacing w:after="80" w:line="360" w:lineRule="auto"/>
        <w:jc w:val="both"/>
      </w:pPr>
      <w:r>
        <w:rPr>
          <w:rFonts w:ascii="Times New Roman" w:hAnsi="Times New Roman"/>
          <w:b w:val="0"/>
          <w:i/>
          <w:color w:val="000000"/>
          <w:sz w:val="20"/>
        </w:rPr>
        <w:t>Table A. Construct to metric to behavioural meaning to stakeholder consequence.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r>
              <w:rPr>
                <w:rFonts w:ascii="Times New Roman" w:hAnsi="Times New Roman"/>
                <w:b/>
                <w:color w:val="000000"/>
                <w:sz w:val="18"/>
              </w:rPr>
              <w:t>Construct</w:t>
            </w:r>
          </w:p>
        </w:tc>
        <w:tc>
          <w:tcPr>
            <w:tcW w:type="dxa" w:w="2160"/>
          </w:tcPr>
          <w:p>
            <w:r/>
            <w:r>
              <w:rPr>
                <w:rFonts w:ascii="Times New Roman" w:hAnsi="Times New Roman"/>
                <w:b/>
                <w:color w:val="000000"/>
                <w:sz w:val="18"/>
              </w:rPr>
              <w:t>Metric</w:t>
            </w:r>
          </w:p>
        </w:tc>
        <w:tc>
          <w:tcPr>
            <w:tcW w:type="dxa" w:w="2160"/>
          </w:tcPr>
          <w:p>
            <w:r/>
            <w:r>
              <w:rPr>
                <w:rFonts w:ascii="Times New Roman" w:hAnsi="Times New Roman"/>
                <w:b/>
                <w:color w:val="000000"/>
                <w:sz w:val="18"/>
              </w:rPr>
              <w:t>Behavioural meaning</w:t>
            </w:r>
          </w:p>
        </w:tc>
        <w:tc>
          <w:tcPr>
            <w:tcW w:type="dxa" w:w="2160"/>
          </w:tcPr>
          <w:p>
            <w:r/>
            <w:r>
              <w:rPr>
                <w:rFonts w:ascii="Times New Roman" w:hAnsi="Times New Roman"/>
                <w:b/>
                <w:color w:val="000000"/>
                <w:sz w:val="18"/>
              </w:rPr>
              <w:t>Stakeholder consequence</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Correctly separating Low from High readiness</w:t>
            </w:r>
          </w:p>
        </w:tc>
        <w:tc>
          <w:tcPr>
            <w:tcW w:type="dxa" w:w="2160"/>
          </w:tcPr>
          <w:p>
            <w:r/>
            <w:r>
              <w:rPr>
                <w:rFonts w:ascii="Times New Roman" w:hAnsi="Times New Roman"/>
                <w:color w:val="000000"/>
                <w:sz w:val="18"/>
              </w:rPr>
              <w:t>False positive (Low predicted High) = at-risk student missed, receives no intervention</w:t>
            </w:r>
          </w:p>
        </w:tc>
      </w:tr>
      <w:tr>
        <w:tc>
          <w:tcPr>
            <w:tcW w:type="dxa" w:w="2160"/>
          </w:tcPr>
          <w:p>
            <w:r/>
            <w:r>
              <w:rPr>
                <w:rFonts w:ascii="Times New Roman" w:hAnsi="Times New Roman"/>
                <w:color w:val="000000"/>
                <w:sz w:val="18"/>
              </w:rPr>
              <w:t>Behavioural readiness</w:t>
            </w:r>
          </w:p>
        </w:tc>
        <w:tc>
          <w:tcPr>
            <w:tcW w:type="dxa" w:w="2160"/>
          </w:tcPr>
          <w:p>
            <w:r/>
            <w:r>
              <w:rPr>
                <w:rFonts w:ascii="Times New Roman" w:hAnsi="Times New Roman"/>
                <w:color w:val="000000"/>
                <w:sz w:val="18"/>
              </w:rPr>
              <w:t>Macro F1</w:t>
            </w:r>
          </w:p>
        </w:tc>
        <w:tc>
          <w:tcPr>
            <w:tcW w:type="dxa" w:w="2160"/>
          </w:tcPr>
          <w:p>
            <w:r/>
            <w:r>
              <w:rPr>
                <w:rFonts w:ascii="Times New Roman" w:hAnsi="Times New Roman"/>
                <w:color w:val="000000"/>
                <w:sz w:val="18"/>
              </w:rPr>
              <w:t>Over-identification of risk</w:t>
            </w:r>
          </w:p>
        </w:tc>
        <w:tc>
          <w:tcPr>
            <w:tcW w:type="dxa" w:w="2160"/>
          </w:tcPr>
          <w:p>
            <w:r/>
            <w:r>
              <w:rPr>
                <w:rFonts w:ascii="Times New Roman" w:hAnsi="Times New Roman"/>
                <w:color w:val="000000"/>
                <w:sz w:val="18"/>
              </w:rPr>
              <w:t xml:space="preserve">False negative (High predicted Low) = student over-served, intervention resources spent unnecessarily</w:t>
            </w:r>
          </w:p>
        </w:tc>
      </w:tr>
      <w:tr>
        <w:tc>
          <w:tcPr>
            <w:tcW w:type="dxa" w:w="2160"/>
          </w:tcPr>
          <w:p>
            <w:r/>
            <w:r>
              <w:rPr>
                <w:rFonts w:ascii="Times New Roman" w:hAnsi="Times New Roman"/>
                <w:color w:val="000000"/>
                <w:sz w:val="18"/>
              </w:rPr>
              <w:t>Class coverage</w:t>
            </w:r>
          </w:p>
        </w:tc>
        <w:tc>
          <w:tcPr>
            <w:tcW w:type="dxa" w:w="2160"/>
          </w:tcPr>
          <w:p>
            <w:r/>
            <w:r>
              <w:rPr>
                <w:rFonts w:ascii="Times New Roman" w:hAnsi="Times New Roman"/>
                <w:color w:val="000000"/>
                <w:sz w:val="18"/>
              </w:rPr>
              <w:t>Per-class recall</w:t>
            </w:r>
          </w:p>
        </w:tc>
        <w:tc>
          <w:tcPr>
            <w:tcW w:type="dxa" w:w="2160"/>
          </w:tcPr>
          <w:p>
            <w:r/>
            <w:r>
              <w:rPr>
                <w:rFonts w:ascii="Times New Roman" w:hAnsi="Times New Roman"/>
                <w:color w:val="000000"/>
                <w:sz w:val="18"/>
              </w:rPr>
              <w:t>Fraction of each class correctly identified</w:t>
            </w:r>
          </w:p>
        </w:tc>
        <w:tc>
          <w:tcPr>
            <w:tcW w:type="dxa" w:w="2160"/>
          </w:tcPr>
          <w:p>
            <w:r/>
            <w:r>
              <w:rPr>
                <w:rFonts w:ascii="Times New Roman" w:hAnsi="Times New Roman"/>
                <w:color w:val="000000"/>
                <w:sz w:val="18"/>
              </w:rPr>
              <w:t>Both classes weighted equally so neither group is systematically missed</w:t>
            </w:r>
          </w:p>
        </w:tc>
      </w:tr>
      <w:tr>
        <w:tc>
          <w:tcPr>
            <w:tcW w:type="dxa" w:w="2160"/>
          </w:tcPr>
          <w:p>
            <w:r/>
            <w:r>
              <w:rPr>
                <w:rFonts w:ascii="Times New Roman" w:hAnsi="Times New Roman"/>
                <w:color w:val="000000"/>
                <w:sz w:val="18"/>
              </w:rPr>
              <w:t>Mechanism value</w:t>
            </w:r>
          </w:p>
        </w:tc>
        <w:tc>
          <w:tcPr>
            <w:tcW w:type="dxa" w:w="2160"/>
          </w:tcPr>
          <w:p>
            <w:r/>
            <w:r>
              <w:rPr>
                <w:rFonts w:ascii="Times New Roman" w:hAnsi="Times New Roman"/>
                <w:color w:val="000000"/>
                <w:sz w:val="18"/>
              </w:rPr>
              <w:t>Ablation delta</w:t>
            </w:r>
          </w:p>
        </w:tc>
        <w:tc>
          <w:tcPr>
            <w:tcW w:type="dxa" w:w="2160"/>
          </w:tcPr>
          <w:p>
            <w:r/>
            <w:r>
              <w:rPr>
                <w:rFonts w:ascii="Times New Roman" w:hAnsi="Times New Roman"/>
                <w:color w:val="000000"/>
                <w:sz w:val="18"/>
              </w:rPr>
              <w:t>Gain attributable to the KAB weighting</w:t>
            </w:r>
          </w:p>
        </w:tc>
        <w:tc>
          <w:tcPr>
            <w:tcW w:type="dxa" w:w="2160"/>
          </w:tcPr>
          <w:p>
            <w:r/>
            <w:r>
              <w:rPr>
                <w:rFonts w:ascii="Times New Roman" w:hAnsi="Times New Roman"/>
                <w:color w:val="000000"/>
                <w:sz w:val="18"/>
              </w:rPr>
              <w:t>Near zero on near-balanced data, so the engineered weighting is not justified here</w:t>
            </w:r>
          </w:p>
        </w:tc>
      </w:tr>
    </w:tbl>
    <w:p/>
    <w:p>
      <w:pPr>
        <w:spacing w:after="120" w:line="360" w:lineRule="auto"/>
        <w:jc w:val="left"/>
      </w:pPr>
      <w:r>
        <w:rPr>
          <w:rFonts w:ascii="Times New Roman" w:hAnsi="Times New Roman"/>
          <w:b/>
          <w:i w:val="0"/>
          <w:color w:val="000000"/>
          <w:sz w:val="26"/>
        </w:rPr>
        <w:t>M23. Data and Code Availability</w:t>
      </w:r>
    </w:p>
    <w:p>
      <w:pPr>
        <w:spacing w:after="160" w:line="360" w:lineRule="auto"/>
        <w:jc w:val="both"/>
      </w:pPr>
      <w:r>
        <w:rPr>
          <w:rFonts w:ascii="Times New Roman" w:hAnsi="Times New Roman"/>
          <w:b w:val="0"/>
          <w:i w:val="0"/>
          <w:color w:val="000000"/>
          <w:sz w:val="24"/>
        </w:rPr>
        <w:t>The full pipeline (kab_pipeline.py), both fold-level exports, summary_results.json and shap_importance.json are provided. The repository is to be made accessible to the verifier with the commit hash recorded here: bf40566 (GitHub: https://github.com/pofori80/kab-xgboost-wce-cybersecurity). Until the repository is accessible, full reproducibility cannot be independently confirmed; this is a stated limitation. The KNUST dataset is restricted under HuSSREC terms; the Alzubaidi dataset is public at doi:10.17632/fbs9mgmh4y.3.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