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 CV</w:t>
            </w:r>
          </w:p>
        </w:tc>
        <w:tc>
          <w:tcPr>
            <w:tcW w:type="dxa" w:w="2160"/>
          </w:tcPr>
          <w:p>
            <w:r/>
            <w:r>
              <w:rPr>
                <w:rFonts w:ascii="Times New Roman" w:hAnsi="Times New Roman"/>
                <w:color w:val="000000"/>
                <w:sz w:val="18"/>
              </w:rPr>
              <w:t>Datasets</w:t>
            </w:r>
          </w:p>
        </w:tc>
        <w:tc>
          <w:tcPr>
            <w:tcW w:type="dxa" w:w="2160"/>
          </w:tcPr>
          <w:p>
            <w:r/>
            <w:r>
              <w:rPr>
                <w:rFonts w:ascii="Times New Roman" w:hAnsi="Times New Roman"/>
                <w:color w:val="000000"/>
                <w:sz w:val="18"/>
              </w:rPr>
              <w:t>KNUST + Alzubaidi</w:t>
            </w:r>
          </w:p>
        </w:tc>
      </w:tr>
      <w:tr>
        <w:tc>
          <w:tcPr>
            <w:tcW w:type="dxa" w:w="2160"/>
          </w:tcPr>
          <w:p>
            <w:r/>
            <w:r>
              <w:rPr>
                <w:rFonts w:ascii="Times New Roman" w:hAnsi="Times New Roman"/>
                <w:color w:val="000000"/>
                <w:sz w:val="18"/>
              </w:rPr>
              <w:t>KNUST exports</w:t>
            </w:r>
          </w:p>
        </w:tc>
        <w:tc>
          <w:tcPr>
            <w:tcW w:type="dxa" w:w="2160"/>
          </w:tcPr>
          <w:p>
            <w:r/>
            <w:r>
              <w:rPr>
                <w:rFonts w:ascii="Times New Roman" w:hAnsi="Times New Roman"/>
                <w:color w:val="000000"/>
                <w:sz w:val="18"/>
              </w:rPr>
              <w:t>fold_level_results_knust.csv</w:t>
            </w:r>
          </w:p>
        </w:tc>
        <w:tc>
          <w:tcPr>
            <w:tcW w:type="dxa" w:w="2160"/>
          </w:tcPr>
          <w:p>
            <w:r/>
            <w:r>
              <w:rPr>
                <w:rFonts w:ascii="Times New Roman" w:hAnsi="Times New Roman"/>
                <w:color w:val="000000"/>
                <w:sz w:val="18"/>
              </w:rPr>
              <w:t>Alzubaidi exports</w:t>
            </w:r>
          </w:p>
        </w:tc>
        <w:tc>
          <w:tcPr>
            <w:tcW w:type="dxa" w:w="2160"/>
          </w:tcPr>
          <w:p>
            <w:r/>
            <w:r>
              <w:rPr>
                <w:rFonts w:ascii="Times New Roman" w:hAnsi="Times New Roman"/>
                <w:color w:val="000000"/>
                <w:sz w:val="18"/>
              </w:rPr>
              <w:t>fold_level_results_alzubaidi.csv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come from a single pipeline run; per-fold scores are in the two fold-level CSVs. KNUST: raw 4121 rows, 2033 exact duplicates removed (49.3%), 2088 unique retained; label median 18.0; Low 1,167 (55.9%), High 921 (44.1%); X.shape (2088, 17). Alzubaidi: 44 duplicates removed from raw 1,231, leaving 1,187 unique responses. Alzubaidi: 1,187 responses (44 duplicates removed from raw 1,231); Low 597 (50.3%), High 590 (49.7%); X.shape (1,187, 28). Behaviour-score distribution around the KNUST median and threshold sensitivity are in Table 7 (R11).</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on both datasets over 50 folds. On KNUST, KAB-XGBoost-WCE scored 0.6518 (SD 0.0332) versus Baseline XGBoost 0.6500 (SD 0.0347); the gain is +0.0018 and is not significant (Wilcoxon W+ = 674, W− = 551, ties = 1, p = 0.5407, r = 0.0874). On Alzubaidi, KAB-XGBoost-WCE scored 0.6877 (SD 0.0545) versus Baseline XGBoost 0.6844 (SD 0.0561); the gain is +0.0033 and is not significant (Wilcoxon W+ = 612.5, W− = 377.5, ties = 6, p = 0.1703, r = 0.2067). The weighting mechanism produces no measurable advantage on either dataset. KAB-XGBoost-WCE does not outperform baseline XGBoost on either leg; this null result is the primary finding of the study. On KNUST, one comparator scores above WCE without Bonferroni correction: Naive Bayes at 0.6598 (Wilcoxon p = 0.0236, r = 0.3188). After Bonferroni correction (alpha = 0.0071) this difference is not significant. Logistic Regression (0.6559) and SVM (0.6545) also score above WCE but not by a significant margin. On Alzubaidi, WCE (0.6877) is above all comparators. WCE is not significantly different from stock scale_pos_weight (p = 0.0959), Decision Tree, Naive Bayes, SVM, and Random Forest (all p &lt; 0.001). Logistic Regression (0.6830) and Baseline (0.6844) are not significantly different from WCE.</w:t>
      </w:r>
    </w:p>
    <w:p>
      <w:pPr>
        <w:spacing w:after="80" w:line="360" w:lineRule="auto"/>
        <w:jc w:val="both"/>
      </w:pPr>
      <w:r>
        <w:rPr>
          <w:rFonts w:ascii="Times New Roman" w:hAnsi="Times New Roman"/>
          <w:b w:val="0"/>
          <w:i/>
          <w:color w:val="000000"/>
          <w:sz w:val="20"/>
        </w:rPr>
        <w:t>Table 3a. Macro F1 over 50 folds, KNUST.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0.6518</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0.6500</w:t>
            </w:r>
          </w:p>
        </w:tc>
        <w:tc>
          <w:tcPr>
            <w:tcW w:type="dxa" w:w="2160"/>
          </w:tcPr>
          <w:p>
            <w:r/>
            <w:r>
              <w:rPr>
                <w:rFonts w:ascii="Times New Roman" w:hAnsi="Times New Roman"/>
                <w:color w:val="000000"/>
                <w:sz w:val="18"/>
              </w:rPr>
              <w:t>0.0347</w:t>
            </w:r>
          </w:p>
        </w:tc>
        <w:tc>
          <w:tcPr>
            <w:tcW w:type="dxa" w:w="2160"/>
          </w:tcPr>
          <w:p>
            <w:r/>
            <w:r>
              <w:rPr>
                <w:rFonts w:ascii="Times New Roman" w:hAnsi="Times New Roman"/>
                <w:color w:val="000000"/>
                <w:sz w:val="18"/>
              </w:rPr>
              <w:t>-0.0018</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0.6503</w:t>
            </w:r>
          </w:p>
        </w:tc>
        <w:tc>
          <w:tcPr>
            <w:tcW w:type="dxa" w:w="2160"/>
          </w:tcPr>
          <w:p>
            <w:r/>
            <w:r>
              <w:rPr>
                <w:rFonts w:ascii="Times New Roman" w:hAnsi="Times New Roman"/>
                <w:color w:val="000000"/>
                <w:sz w:val="18"/>
              </w:rPr>
              <w:t>0.0336</w:t>
            </w:r>
          </w:p>
        </w:tc>
        <w:tc>
          <w:tcPr>
            <w:tcW w:type="dxa" w:w="2160"/>
          </w:tcPr>
          <w:p>
            <w:r/>
            <w:r>
              <w:rPr>
                <w:rFonts w:ascii="Times New Roman" w:hAnsi="Times New Roman"/>
                <w:color w:val="000000"/>
                <w:sz w:val="18"/>
              </w:rPr>
              <w:t>-0.0015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0.6202</w:t>
            </w:r>
          </w:p>
        </w:tc>
        <w:tc>
          <w:tcPr>
            <w:tcW w:type="dxa" w:w="2160"/>
          </w:tcPr>
          <w:p>
            <w:r/>
            <w:r>
              <w:rPr>
                <w:rFonts w:ascii="Times New Roman" w:hAnsi="Times New Roman"/>
                <w:color w:val="000000"/>
                <w:sz w:val="18"/>
              </w:rPr>
              <w:t>0.0376</w:t>
            </w:r>
          </w:p>
        </w:tc>
        <w:tc>
          <w:tcPr>
            <w:tcW w:type="dxa" w:w="2160"/>
          </w:tcPr>
          <w:p>
            <w:r/>
            <w:r>
              <w:rPr>
                <w:rFonts w:ascii="Times New Roman" w:hAnsi="Times New Roman"/>
                <w:color w:val="000000"/>
                <w:sz w:val="18"/>
              </w:rPr>
              <w:t>-0.0316</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0.6598</w:t>
            </w:r>
          </w:p>
        </w:tc>
        <w:tc>
          <w:tcPr>
            <w:tcW w:type="dxa" w:w="2160"/>
          </w:tcPr>
          <w:p>
            <w:r/>
            <w:r>
              <w:rPr>
                <w:rFonts w:ascii="Times New Roman" w:hAnsi="Times New Roman"/>
                <w:color w:val="000000"/>
                <w:sz w:val="18"/>
              </w:rPr>
              <w:t>0.0313</w:t>
            </w:r>
          </w:p>
        </w:tc>
        <w:tc>
          <w:tcPr>
            <w:tcW w:type="dxa" w:w="2160"/>
          </w:tcPr>
          <w:p>
            <w:r/>
            <w:r>
              <w:rPr>
                <w:rFonts w:ascii="Times New Roman" w:hAnsi="Times New Roman"/>
                <w:color w:val="000000"/>
                <w:sz w:val="18"/>
              </w:rPr>
              <w:t>+0.0080</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0.6559</w:t>
            </w:r>
          </w:p>
        </w:tc>
        <w:tc>
          <w:tcPr>
            <w:tcW w:type="dxa" w:w="2160"/>
          </w:tcPr>
          <w:p>
            <w:r/>
            <w:r>
              <w:rPr>
                <w:rFonts w:ascii="Times New Roman" w:hAnsi="Times New Roman"/>
                <w:color w:val="000000"/>
                <w:sz w:val="18"/>
              </w:rPr>
              <w:t>0.0355</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0.6545</w:t>
            </w:r>
          </w:p>
        </w:tc>
        <w:tc>
          <w:tcPr>
            <w:tcW w:type="dxa" w:w="2160"/>
          </w:tcPr>
          <w:p>
            <w:r/>
            <w:r>
              <w:rPr>
                <w:rFonts w:ascii="Times New Roman" w:hAnsi="Times New Roman"/>
                <w:color w:val="000000"/>
                <w:sz w:val="18"/>
              </w:rPr>
              <w:t>0.0335</w:t>
            </w:r>
          </w:p>
        </w:tc>
        <w:tc>
          <w:tcPr>
            <w:tcW w:type="dxa" w:w="2160"/>
          </w:tcPr>
          <w:p>
            <w:r/>
            <w:r>
              <w:rPr>
                <w:rFonts w:ascii="Times New Roman" w:hAnsi="Times New Roman"/>
                <w:color w:val="000000"/>
                <w:sz w:val="18"/>
              </w:rPr>
              <w:t>+0.0027</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0.6397</w:t>
            </w:r>
          </w:p>
        </w:tc>
        <w:tc>
          <w:tcPr>
            <w:tcW w:type="dxa" w:w="2160"/>
          </w:tcPr>
          <w:p>
            <w:r/>
            <w:r>
              <w:rPr>
                <w:rFonts w:ascii="Times New Roman" w:hAnsi="Times New Roman"/>
                <w:color w:val="000000"/>
                <w:sz w:val="18"/>
              </w:rPr>
              <w:t>0.0332</w:t>
            </w:r>
          </w:p>
        </w:tc>
        <w:tc>
          <w:tcPr>
            <w:tcW w:type="dxa" w:w="2160"/>
          </w:tcPr>
          <w:p>
            <w:r/>
            <w:r>
              <w:rPr>
                <w:rFonts w:ascii="Times New Roman" w:hAnsi="Times New Roman"/>
                <w:color w:val="000000"/>
                <w:sz w:val="18"/>
              </w:rPr>
              <w:t>-0.0121</w:t>
            </w:r>
          </w:p>
        </w:tc>
      </w:tr>
    </w:tbl>
    <w:p/>
    <w:p>
      <w:pPr>
        <w:spacing w:after="80" w:line="360" w:lineRule="auto"/>
        <w:jc w:val="both"/>
      </w:pPr>
      <w:r>
        <w:rPr>
          <w:rFonts w:ascii="Times New Roman" w:hAnsi="Times New Roman"/>
          <w:b w:val="0"/>
          <w:i/>
          <w:color w:val="000000"/>
          <w:sz w:val="20"/>
        </w:rPr>
        <w:t>Table 3b. Macro F1 over 50 folds, Alzubaidi.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0.6877</w:t>
            </w:r>
          </w:p>
        </w:tc>
        <w:tc>
          <w:tcPr>
            <w:tcW w:type="dxa" w:w="2160"/>
          </w:tcPr>
          <w:p>
            <w:r/>
            <w:r>
              <w:rPr>
                <w:rFonts w:ascii="Times New Roman" w:hAnsi="Times New Roman"/>
                <w:color w:val="000000"/>
                <w:sz w:val="18"/>
              </w:rPr>
              <w:t>0.0545</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0.6844</w:t>
            </w:r>
          </w:p>
        </w:tc>
        <w:tc>
          <w:tcPr>
            <w:tcW w:type="dxa" w:w="2160"/>
          </w:tcPr>
          <w:p>
            <w:r/>
            <w:r>
              <w:rPr>
                <w:rFonts w:ascii="Times New Roman" w:hAnsi="Times New Roman"/>
                <w:color w:val="000000"/>
                <w:sz w:val="18"/>
              </w:rPr>
              <w:t>0.0561</w:t>
            </w:r>
          </w:p>
        </w:tc>
        <w:tc>
          <w:tcPr>
            <w:tcW w:type="dxa" w:w="2160"/>
          </w:tcPr>
          <w:p>
            <w:r/>
            <w:r>
              <w:rPr>
                <w:rFonts w:ascii="Times New Roman" w:hAnsi="Times New Roman"/>
                <w:color w:val="000000"/>
                <w:sz w:val="18"/>
              </w:rPr>
              <w:t>-0.0033</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0.0551</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0.6433</w:t>
            </w:r>
          </w:p>
        </w:tc>
        <w:tc>
          <w:tcPr>
            <w:tcW w:type="dxa" w:w="2160"/>
          </w:tcPr>
          <w:p>
            <w:r/>
            <w:r>
              <w:rPr>
                <w:rFonts w:ascii="Times New Roman" w:hAnsi="Times New Roman"/>
                <w:color w:val="000000"/>
                <w:sz w:val="18"/>
              </w:rPr>
              <w:t>0.0485</w:t>
            </w:r>
          </w:p>
        </w:tc>
        <w:tc>
          <w:tcPr>
            <w:tcW w:type="dxa" w:w="2160"/>
          </w:tcPr>
          <w:p>
            <w:r/>
            <w:r>
              <w:rPr>
                <w:rFonts w:ascii="Times New Roman" w:hAnsi="Times New Roman"/>
                <w:color w:val="000000"/>
                <w:sz w:val="18"/>
              </w:rPr>
              <w:t>-0.0444</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0.6506</w:t>
            </w:r>
          </w:p>
        </w:tc>
        <w:tc>
          <w:tcPr>
            <w:tcW w:type="dxa" w:w="2160"/>
          </w:tcPr>
          <w:p>
            <w:r/>
            <w:r>
              <w:rPr>
                <w:rFonts w:ascii="Times New Roman" w:hAnsi="Times New Roman"/>
                <w:color w:val="000000"/>
                <w:sz w:val="18"/>
              </w:rPr>
              <w:t>0.0498</w:t>
            </w:r>
          </w:p>
        </w:tc>
        <w:tc>
          <w:tcPr>
            <w:tcW w:type="dxa" w:w="2160"/>
          </w:tcPr>
          <w:p>
            <w:r/>
            <w:r>
              <w:rPr>
                <w:rFonts w:ascii="Times New Roman" w:hAnsi="Times New Roman"/>
                <w:color w:val="000000"/>
                <w:sz w:val="18"/>
              </w:rPr>
              <w:t>-0.0371</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0.6830</w:t>
            </w:r>
          </w:p>
        </w:tc>
        <w:tc>
          <w:tcPr>
            <w:tcW w:type="dxa" w:w="2160"/>
          </w:tcPr>
          <w:p>
            <w:r/>
            <w:r>
              <w:rPr>
                <w:rFonts w:ascii="Times New Roman" w:hAnsi="Times New Roman"/>
                <w:color w:val="000000"/>
                <w:sz w:val="18"/>
              </w:rPr>
              <w:t>0.0443</w:t>
            </w:r>
          </w:p>
        </w:tc>
        <w:tc>
          <w:tcPr>
            <w:tcW w:type="dxa" w:w="2160"/>
          </w:tcPr>
          <w:p>
            <w:r/>
            <w:r>
              <w:rPr>
                <w:rFonts w:ascii="Times New Roman" w:hAnsi="Times New Roman"/>
                <w:color w:val="000000"/>
                <w:sz w:val="18"/>
              </w:rPr>
              <w:t>-0.0047</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0.6627</w:t>
            </w:r>
          </w:p>
        </w:tc>
        <w:tc>
          <w:tcPr>
            <w:tcW w:type="dxa" w:w="2160"/>
          </w:tcPr>
          <w:p>
            <w:r/>
            <w:r>
              <w:rPr>
                <w:rFonts w:ascii="Times New Roman" w:hAnsi="Times New Roman"/>
                <w:color w:val="000000"/>
                <w:sz w:val="18"/>
              </w:rPr>
              <w:t>0.0488</w:t>
            </w:r>
          </w:p>
        </w:tc>
        <w:tc>
          <w:tcPr>
            <w:tcW w:type="dxa" w:w="2160"/>
          </w:tcPr>
          <w:p>
            <w:r/>
            <w:r>
              <w:rPr>
                <w:rFonts w:ascii="Times New Roman" w:hAnsi="Times New Roman"/>
                <w:color w:val="000000"/>
                <w:sz w:val="18"/>
              </w:rPr>
              <w:t>-0.0250</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0.6693</w:t>
            </w:r>
          </w:p>
        </w:tc>
        <w:tc>
          <w:tcPr>
            <w:tcW w:type="dxa" w:w="2160"/>
          </w:tcPr>
          <w:p>
            <w:r/>
            <w:r>
              <w:rPr>
                <w:rFonts w:ascii="Times New Roman" w:hAnsi="Times New Roman"/>
                <w:color w:val="000000"/>
                <w:sz w:val="18"/>
              </w:rPr>
              <w:t>0.0463</w:t>
            </w:r>
          </w:p>
        </w:tc>
        <w:tc>
          <w:tcPr>
            <w:tcW w:type="dxa" w:w="2160"/>
          </w:tcPr>
          <w:p>
            <w:r/>
            <w:r>
              <w:rPr>
                <w:rFonts w:ascii="Times New Roman" w:hAnsi="Times New Roman"/>
                <w:color w:val="000000"/>
                <w:sz w:val="18"/>
              </w:rPr>
              <w:t>-0.0184</w:t>
            </w:r>
          </w:p>
        </w:tc>
      </w:tr>
    </w:tbl>
    <w:p/>
    <w:p>
      <w:pPr>
        <w:spacing w:after="120" w:line="360" w:lineRule="auto"/>
        <w:jc w:val="left"/>
      </w:pPr>
      <w:r>
        <w:rPr>
          <w:rFonts w:ascii="Times New Roman" w:hAnsi="Times New Roman"/>
          <w:b/>
          <w:i w:val="0"/>
          <w:color w:val="000000"/>
          <w:sz w:val="26"/>
        </w:rPr>
        <w:t>R3. Statistical Comparison (KNUST)</w:t>
      </w:r>
    </w:p>
    <w:p>
      <w:pPr>
        <w:spacing w:after="160" w:line="360" w:lineRule="auto"/>
        <w:jc w:val="both"/>
      </w:pPr>
      <w:r>
        <w:rPr>
          <w:rFonts w:ascii="Times New Roman" w:hAnsi="Times New Roman"/>
          <w:b w:val="0"/>
          <w:i w:val="0"/>
          <w:color w:val="000000"/>
          <w:sz w:val="24"/>
        </w:rPr>
        <w:t>KAB-XGBoost-WCE versus Baseline XGBoost over 50 paired folds: W+ = 674, W− = 551, ties = 1, n_nontied = 49, p = 0.5407, effect r = 0.0874, delta = +0.0018. The difference is not significant. The point estimate favours WCE. The 50-row CSV allows independent recomputation. The CV Wilcoxon test is stable across all five seeds (seeds 0, 7, 13, 21, 42; all p &gt; 0.05). The held-out McNemar p-value is seed-dependent (range 0.018 to 0.532); no seed gives a significant result after Bonferroni correction (alpha = 0.0071).</w:t>
      </w:r>
    </w:p>
    <w:p>
      <w:pPr>
        <w:spacing w:after="120" w:line="360" w:lineRule="auto"/>
        <w:jc w:val="left"/>
      </w:pPr>
      <w:r>
        <w:rPr>
          <w:rFonts w:ascii="Times New Roman" w:hAnsi="Times New Roman"/>
          <w:b/>
          <w:i w:val="0"/>
          <w:color w:val="000000"/>
          <w:sz w:val="26"/>
        </w:rPr>
        <w:t>R4. Statistical Comparison (Alzubaidi) and Cross-Dataset Reading</w:t>
      </w:r>
    </w:p>
    <w:p>
      <w:pPr>
        <w:spacing w:after="160" w:line="360" w:lineRule="auto"/>
        <w:jc w:val="both"/>
      </w:pPr>
      <w:r>
        <w:rPr>
          <w:rFonts w:ascii="Times New Roman" w:hAnsi="Times New Roman"/>
          <w:b w:val="0"/>
          <w:i w:val="0"/>
          <w:color w:val="000000"/>
          <w:sz w:val="24"/>
        </w:rPr>
        <w:t>On the Alzubaidi external stress-test, KAB-XGBoost-WCE versus Baseline XGBoost: W+ = 612.5, W− = 377.5, ties = 6, n_nontied = 44, p = 0.1703, effect r = 0.2067, delta = +0.0033. The difference is not significant. The R09 finding (p = 0.0098) is not reproduced. The R09 results did not reproduce under any XGBoost version tested by the verifier, so they are withdrawn. R11 pins the environment; all conclusions are drawn from the R11 run only. Across both legs the weighting is neutral. No cross-dataset performance transfer is claimed; the Alzubaidi construct mapping is imposed (M18), so the leg is read only as a stress-test.</w:t>
      </w:r>
    </w:p>
    <w:p>
      <w:pPr>
        <w:spacing w:after="120" w:line="360" w:lineRule="auto"/>
        <w:jc w:val="left"/>
      </w:pPr>
      <w:r>
        <w:rPr>
          <w:rFonts w:ascii="Times New Roman" w:hAnsi="Times New Roman"/>
          <w:b/>
          <w:i w:val="0"/>
          <w:color w:val="000000"/>
          <w:sz w:val="26"/>
        </w:rPr>
        <w:t>R5. Contribution Isolation - Four-Arm Ablation (KNUST)</w:t>
      </w:r>
    </w:p>
    <w:p>
      <w:pPr>
        <w:spacing w:after="160" w:line="360" w:lineRule="auto"/>
        <w:jc w:val="both"/>
      </w:pPr>
      <w:r>
        <w:rPr>
          <w:rFonts w:ascii="Times New Roman" w:hAnsi="Times New Roman"/>
          <w:b w:val="0"/>
          <w:i w:val="0"/>
          <w:color w:val="000000"/>
          <w:sz w:val="24"/>
        </w:rPr>
        <w:t>All four arms use the same 5 x 10-fold splits as Table 3a, but with fixed depth (5 or 3) and fixed lambda (1.5 in Arms C and D). The Table 3a WCE row uses depth and lambda tuned within each fold, which is why Arm D (0.6537) and the Table 3a WCE row (0.6518) differ slightly. Arm A (no weights, depth 5): 0.6510 (SD 0.0366). Arm B (no weights, depth 3): 0.6521 (SD 0.0342). Arm C (WCE weights, depth 5): 0.6455 (SD 0.0329). Arm D (WCE weights, depth 3): 0.6537 (SD 0.0347). Depth contribution (B - A) = +0.0011, Wilcoxon p = 0.8939. Weight contribution at depth 5 (C - A) = -0.0055, p = 0.1652. Weight contribution at depth 3 (D - B) = +0.0016, p = 0.5157. No arm comparison reaches significance on KNUST. On Alzubaidi, fixed depth 3 scored 0.0121 higher than fixed depth 5 (B vs A, p = 0.0150) and weighting added nothing (C vs A p = 0.3329, D vs B p = 0.6225). The weighting contributes nothing on either dataset.</w:t>
      </w:r>
    </w:p>
    <w:p>
      <w:pPr>
        <w:spacing w:after="80" w:line="360" w:lineRule="auto"/>
        <w:jc w:val="both"/>
      </w:pPr>
      <w:r>
        <w:rPr>
          <w:rFonts w:ascii="Times New Roman" w:hAnsi="Times New Roman"/>
          <w:b w:val="0"/>
          <w:i/>
          <w:color w:val="000000"/>
          <w:sz w:val="20"/>
        </w:rPr>
        <w:t>Table 4. Four-arm ablation,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 D vs B in text)</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No weights, depth 5</w:t>
            </w:r>
          </w:p>
        </w:tc>
        <w:tc>
          <w:tcPr>
            <w:tcW w:type="dxa" w:w="2160"/>
          </w:tcPr>
          <w:p>
            <w:r/>
            <w:r>
              <w:rPr>
                <w:rFonts w:ascii="Times New Roman" w:hAnsi="Times New Roman"/>
                <w:color w:val="000000"/>
                <w:sz w:val="18"/>
              </w:rPr>
              <w:t>0.6510</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No weights, depth 3</w:t>
            </w:r>
          </w:p>
        </w:tc>
        <w:tc>
          <w:tcPr>
            <w:tcW w:type="dxa" w:w="2160"/>
          </w:tcPr>
          <w:p>
            <w:r/>
            <w:r>
              <w:rPr>
                <w:rFonts w:ascii="Times New Roman" w:hAnsi="Times New Roman"/>
                <w:color w:val="000000"/>
                <w:sz w:val="18"/>
              </w:rPr>
              <w:t>0.6521</w:t>
            </w:r>
          </w:p>
        </w:tc>
        <w:tc>
          <w:tcPr>
            <w:tcW w:type="dxa" w:w="2160"/>
          </w:tcPr>
          <w:p>
            <w:r/>
            <w:r>
              <w:rPr>
                <w:rFonts w:ascii="Times New Roman" w:hAnsi="Times New Roman"/>
                <w:color w:val="000000"/>
                <w:sz w:val="18"/>
              </w:rPr>
              <w:t>+0.0011</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WCE weights, depth 5</w:t>
            </w:r>
          </w:p>
        </w:tc>
        <w:tc>
          <w:tcPr>
            <w:tcW w:type="dxa" w:w="2160"/>
          </w:tcPr>
          <w:p>
            <w:r/>
            <w:r>
              <w:rPr>
                <w:rFonts w:ascii="Times New Roman" w:hAnsi="Times New Roman"/>
                <w:color w:val="000000"/>
                <w:sz w:val="18"/>
              </w:rPr>
              <w:t>0.6455</w:t>
            </w:r>
          </w:p>
        </w:tc>
        <w:tc>
          <w:tcPr>
            <w:tcW w:type="dxa" w:w="2160"/>
          </w:tcPr>
          <w:p>
            <w:r/>
            <w:r>
              <w:rPr>
                <w:rFonts w:ascii="Times New Roman" w:hAnsi="Times New Roman"/>
                <w:color w:val="000000"/>
                <w:sz w:val="18"/>
              </w:rPr>
              <w:t>-0.0055</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WCE weights, depth 3</w:t>
            </w:r>
          </w:p>
        </w:tc>
        <w:tc>
          <w:tcPr>
            <w:tcW w:type="dxa" w:w="2160"/>
          </w:tcPr>
          <w:p>
            <w:r/>
            <w:r>
              <w:rPr>
                <w:rFonts w:ascii="Times New Roman" w:hAnsi="Times New Roman"/>
                <w:color w:val="000000"/>
                <w:sz w:val="18"/>
              </w:rPr>
              <w:t>0.6537</w:t>
            </w:r>
          </w:p>
        </w:tc>
        <w:tc>
          <w:tcPr>
            <w:tcW w:type="dxa" w:w="2160"/>
          </w:tcPr>
          <w:p>
            <w:r/>
            <w:r>
              <w:rPr>
                <w:rFonts w:ascii="Times New Roman" w:hAnsi="Times New Roman"/>
                <w:color w:val="000000"/>
                <w:sz w:val="18"/>
              </w:rPr>
              <w:t>+0.0016 (vs B)</w:t>
            </w:r>
          </w:p>
        </w:tc>
      </w:tr>
    </w:tbl>
    <w:p/>
    <w:p>
      <w:pPr>
        <w:spacing w:after="120" w:line="360" w:lineRule="auto"/>
        <w:jc w:val="left"/>
      </w:pPr>
      <w:r>
        <w:rPr>
          <w:rFonts w:ascii="Times New Roman" w:hAnsi="Times New Roman"/>
          <w:b/>
          <w:i w:val="0"/>
          <w:color w:val="000000"/>
          <w:sz w:val="26"/>
        </w:rPr>
        <w:t>R6. Feature Importance and Interpretability (SHAP)</w:t>
      </w:r>
    </w:p>
    <w:p>
      <w:pPr>
        <w:spacing w:after="160" w:line="360" w:lineRule="auto"/>
        <w:jc w:val="both"/>
      </w:pPr>
      <w:r>
        <w:rPr>
          <w:rFonts w:ascii="Times New Roman" w:hAnsi="Times New Roman"/>
          <w:b w:val="0"/>
          <w:i w:val="0"/>
          <w:color w:val="000000"/>
          <w:sz w:val="24"/>
        </w:rPr>
        <w:t>SHAP TreeExplainer was applied to one WCE model fitted on the 80% training split (N2 fix; no held-out rows inform the model). On KNUST the top features by mean absolute SHAP value are K_agg (0.4323) and A_agg (0.3406). The Knowledge and Attitude aggregates carry the most predictive signal. On Alzubaidi the top feature is B18_3 (0.4288). A_agg ranks fourth (0.1801); K_agg does not appear in the top ten. This gap is consistent with the weak Knowledge mapping noted in M18. All importance values are associational. K_agg and A_agg are the two most predictive features on KNUST. On Alzubaidi the top feature is B18_3 and A_agg is fourth. SHAP importance is associational only. K_agg and A_agg are exact means of the ten Likert columns that are also in X, so SHAP splits their credit across correlated copies; they are best described as most used by the model rather than most predictive in isolation. Q5_freq (digital tool frequency, rank 3) and Q4_yrs (rank 6) are demographic predictors.</w:t>
      </w:r>
    </w:p>
    <w:p>
      <w:pPr>
        <w:spacing w:after="80" w:line="360" w:lineRule="auto"/>
        <w:jc w:val="both"/>
      </w:pPr>
      <w:r>
        <w:rPr>
          <w:rFonts w:ascii="Times New Roman" w:hAnsi="Times New Roman"/>
          <w:b w:val="0"/>
          <w:i/>
          <w:color w:val="000000"/>
          <w:sz w:val="20"/>
        </w:rPr>
        <w:t>Table 6a. SHAP mean absolute value, top 8 features,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0.4323</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0.3406</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Q5_freq</w:t>
            </w:r>
          </w:p>
        </w:tc>
        <w:tc>
          <w:tcPr>
            <w:tcW w:type="dxa" w:w="2880"/>
          </w:tcPr>
          <w:p>
            <w:r/>
            <w:r>
              <w:rPr>
                <w:rFonts w:ascii="Times New Roman" w:hAnsi="Times New Roman"/>
                <w:color w:val="000000"/>
                <w:sz w:val="18"/>
              </w:rPr>
              <w:t>0.1651</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Q8</w:t>
            </w:r>
          </w:p>
        </w:tc>
        <w:tc>
          <w:tcPr>
            <w:tcW w:type="dxa" w:w="2880"/>
          </w:tcPr>
          <w:p>
            <w:r/>
            <w:r>
              <w:rPr>
                <w:rFonts w:ascii="Times New Roman" w:hAnsi="Times New Roman"/>
                <w:color w:val="000000"/>
                <w:sz w:val="18"/>
              </w:rPr>
              <w:t>0.1057</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Q14</w:t>
            </w:r>
          </w:p>
        </w:tc>
        <w:tc>
          <w:tcPr>
            <w:tcW w:type="dxa" w:w="2880"/>
          </w:tcPr>
          <w:p>
            <w:r/>
            <w:r>
              <w:rPr>
                <w:rFonts w:ascii="Times New Roman" w:hAnsi="Times New Roman"/>
                <w:color w:val="000000"/>
                <w:sz w:val="18"/>
              </w:rPr>
              <w:t>0.1022</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Q4_yrs</w:t>
            </w:r>
          </w:p>
        </w:tc>
        <w:tc>
          <w:tcPr>
            <w:tcW w:type="dxa" w:w="2880"/>
          </w:tcPr>
          <w:p>
            <w:r/>
            <w:r>
              <w:rPr>
                <w:rFonts w:ascii="Times New Roman" w:hAnsi="Times New Roman"/>
                <w:color w:val="000000"/>
                <w:sz w:val="18"/>
              </w:rPr>
              <w:t>0.0898</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Q1_male</w:t>
            </w:r>
          </w:p>
        </w:tc>
        <w:tc>
          <w:tcPr>
            <w:tcW w:type="dxa" w:w="2880"/>
          </w:tcPr>
          <w:p>
            <w:r/>
            <w:r>
              <w:rPr>
                <w:rFonts w:ascii="Times New Roman" w:hAnsi="Times New Roman"/>
                <w:color w:val="000000"/>
                <w:sz w:val="18"/>
              </w:rPr>
              <w:t>0.0875</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Q17</w:t>
            </w:r>
          </w:p>
        </w:tc>
        <w:tc>
          <w:tcPr>
            <w:tcW w:type="dxa" w:w="2880"/>
          </w:tcPr>
          <w:p>
            <w:r/>
            <w:r>
              <w:rPr>
                <w:rFonts w:ascii="Times New Roman" w:hAnsi="Times New Roman"/>
                <w:color w:val="000000"/>
                <w:sz w:val="18"/>
              </w:rPr>
              <w:t>0.0694</w:t>
            </w:r>
          </w:p>
        </w:tc>
      </w:tr>
    </w:tbl>
    <w:p/>
    <w:p>
      <w:pPr>
        <w:spacing w:after="80" w:line="360" w:lineRule="auto"/>
        <w:jc w:val="both"/>
      </w:pPr>
      <w:r>
        <w:rPr>
          <w:rFonts w:ascii="Times New Roman" w:hAnsi="Times New Roman"/>
          <w:b w:val="0"/>
          <w:i/>
          <w:color w:val="000000"/>
          <w:sz w:val="20"/>
        </w:rPr>
        <w:t>Table 6b. SHAP mean absolute value, top 8 features, Alzubaidi.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B18_3</w:t>
            </w:r>
          </w:p>
        </w:tc>
        <w:tc>
          <w:tcPr>
            <w:tcW w:type="dxa" w:w="2880"/>
          </w:tcPr>
          <w:p>
            <w:r/>
            <w:r>
              <w:rPr>
                <w:rFonts w:ascii="Times New Roman" w:hAnsi="Times New Roman"/>
                <w:color w:val="000000"/>
                <w:sz w:val="18"/>
              </w:rPr>
              <w:t>0.4288</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B18_5</w:t>
            </w:r>
          </w:p>
        </w:tc>
        <w:tc>
          <w:tcPr>
            <w:tcW w:type="dxa" w:w="2880"/>
          </w:tcPr>
          <w:p>
            <w:r/>
            <w:r>
              <w:rPr>
                <w:rFonts w:ascii="Times New Roman" w:hAnsi="Times New Roman"/>
                <w:color w:val="000000"/>
                <w:sz w:val="18"/>
              </w:rPr>
              <w:t>0.2602</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B18_2</w:t>
            </w:r>
          </w:p>
        </w:tc>
        <w:tc>
          <w:tcPr>
            <w:tcW w:type="dxa" w:w="2880"/>
          </w:tcPr>
          <w:p>
            <w:r/>
            <w:r>
              <w:rPr>
                <w:rFonts w:ascii="Times New Roman" w:hAnsi="Times New Roman"/>
                <w:color w:val="000000"/>
                <w:sz w:val="18"/>
              </w:rPr>
              <w:t>0.1859</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0.1801</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B21</w:t>
            </w:r>
          </w:p>
        </w:tc>
        <w:tc>
          <w:tcPr>
            <w:tcW w:type="dxa" w:w="2880"/>
          </w:tcPr>
          <w:p>
            <w:r/>
            <w:r>
              <w:rPr>
                <w:rFonts w:ascii="Times New Roman" w:hAnsi="Times New Roman"/>
                <w:color w:val="000000"/>
                <w:sz w:val="18"/>
              </w:rPr>
              <w:t>0.1695</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B20_1</w:t>
            </w:r>
          </w:p>
        </w:tc>
        <w:tc>
          <w:tcPr>
            <w:tcW w:type="dxa" w:w="2880"/>
          </w:tcPr>
          <w:p>
            <w:r/>
            <w:r>
              <w:rPr>
                <w:rFonts w:ascii="Times New Roman" w:hAnsi="Times New Roman"/>
                <w:color w:val="000000"/>
                <w:sz w:val="18"/>
              </w:rPr>
              <w:t>0.1127</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B18_4</w:t>
            </w:r>
          </w:p>
        </w:tc>
        <w:tc>
          <w:tcPr>
            <w:tcW w:type="dxa" w:w="2880"/>
          </w:tcPr>
          <w:p>
            <w:r/>
            <w:r>
              <w:rPr>
                <w:rFonts w:ascii="Times New Roman" w:hAnsi="Times New Roman"/>
                <w:color w:val="000000"/>
                <w:sz w:val="18"/>
              </w:rPr>
              <w:t>0.1088</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B18_0</w:t>
            </w:r>
          </w:p>
        </w:tc>
        <w:tc>
          <w:tcPr>
            <w:tcW w:type="dxa" w:w="2880"/>
          </w:tcPr>
          <w:p>
            <w:r/>
            <w:r>
              <w:rPr>
                <w:rFonts w:ascii="Times New Roman" w:hAnsi="Times New Roman"/>
                <w:color w:val="000000"/>
                <w:sz w:val="18"/>
              </w:rPr>
              <w:t>0.0955</w:t>
            </w:r>
          </w:p>
        </w:tc>
      </w:tr>
    </w:tbl>
    <w:p/>
    <w:p>
      <w:pPr>
        <w:spacing w:after="120" w:line="360" w:lineRule="auto"/>
        <w:jc w:val="left"/>
      </w:pPr>
      <w:r>
        <w:rPr>
          <w:rFonts w:ascii="Times New Roman" w:hAnsi="Times New Roman"/>
          <w:b/>
          <w:i w:val="0"/>
          <w:color w:val="000000"/>
          <w:sz w:val="26"/>
        </w:rPr>
        <w:t>R7. Error Analysis and Per-Class Performance (KNUST)</w:t>
      </w:r>
    </w:p>
    <w:p>
      <w:pPr>
        <w:spacing w:after="160" w:line="360" w:lineRule="auto"/>
        <w:jc w:val="both"/>
      </w:pPr>
      <w:r>
        <w:rPr>
          <w:rFonts w:ascii="Times New Roman" w:hAnsi="Times New Roman"/>
          <w:b w:val="0"/>
          <w:i w:val="0"/>
          <w:color w:val="000000"/>
          <w:sz w:val="24"/>
        </w:rPr>
        <w:t>On the KNUST 80/20 held-out partition (n = 418), the Baseline confusion matrix is TN 161, FP 73, FN 68, TP 116. The WCE confusion matrix is TN 156, FP 78, FN 70, TP 114. In the confusion matrices Low readiness is the negative class (TN + FP = 234) and High readiness the positive class (FN + TP = 184). A false positive is a Low-readiness student predicted High, that is an at-risk student missed (Baseline 73, WCE 78). A false negative is a High-readiness student predicted Low, that is a student over-served (Baseline 68, WCE 70). WCE increased false positives from 73 to 78 and did not reduce false negatives (68 vs 70). Baseline macro-F1 = 0.6587, AUC = 0.7075. WCE macro-F1 = 0.6423, AUC = 0.6997. The Baseline scores higher than WCE on this split; McNemar p = 0.2109, so this difference is not significant at the primary seed.</w:t>
      </w:r>
    </w:p>
    <w:p>
      <w:pPr>
        <w:spacing w:after="80" w:line="360" w:lineRule="auto"/>
        <w:jc w:val="both"/>
      </w:pPr>
      <w:r>
        <w:rPr>
          <w:rFonts w:ascii="Times New Roman" w:hAnsi="Times New Roman"/>
          <w:b w:val="0"/>
          <w:i/>
          <w:color w:val="000000"/>
          <w:sz w:val="20"/>
        </w:rPr>
        <w:t>Table 5. Per-class precision, recall and F1, KNUST held-out.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0.703</w:t>
            </w:r>
          </w:p>
        </w:tc>
        <w:tc>
          <w:tcPr>
            <w:tcW w:type="dxa" w:w="1728"/>
          </w:tcPr>
          <w:p>
            <w:r/>
            <w:r>
              <w:rPr>
                <w:rFonts w:ascii="Times New Roman" w:hAnsi="Times New Roman"/>
                <w:color w:val="000000"/>
                <w:sz w:val="18"/>
              </w:rPr>
              <w:t>0.688</w:t>
            </w:r>
          </w:p>
        </w:tc>
        <w:tc>
          <w:tcPr>
            <w:tcW w:type="dxa" w:w="1728"/>
          </w:tcPr>
          <w:p>
            <w:r/>
            <w:r>
              <w:rPr>
                <w:rFonts w:ascii="Times New Roman" w:hAnsi="Times New Roman"/>
                <w:color w:val="000000"/>
                <w:sz w:val="18"/>
              </w:rPr>
              <w:t>0.695</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0.614</w:t>
            </w:r>
          </w:p>
        </w:tc>
        <w:tc>
          <w:tcPr>
            <w:tcW w:type="dxa" w:w="1728"/>
          </w:tcPr>
          <w:p>
            <w:r/>
            <w:r>
              <w:rPr>
                <w:rFonts w:ascii="Times New Roman" w:hAnsi="Times New Roman"/>
                <w:color w:val="000000"/>
                <w:sz w:val="18"/>
              </w:rPr>
              <w:t>0.630</w:t>
            </w:r>
          </w:p>
        </w:tc>
        <w:tc>
          <w:tcPr>
            <w:tcW w:type="dxa" w:w="1728"/>
          </w:tcPr>
          <w:p>
            <w:r/>
            <w:r>
              <w:rPr>
                <w:rFonts w:ascii="Times New Roman" w:hAnsi="Times New Roman"/>
                <w:color w:val="000000"/>
                <w:sz w:val="18"/>
              </w:rPr>
              <w:t>0.622</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0.690</w:t>
            </w:r>
          </w:p>
        </w:tc>
        <w:tc>
          <w:tcPr>
            <w:tcW w:type="dxa" w:w="1728"/>
          </w:tcPr>
          <w:p>
            <w:r/>
            <w:r>
              <w:rPr>
                <w:rFonts w:ascii="Times New Roman" w:hAnsi="Times New Roman"/>
                <w:color w:val="000000"/>
                <w:sz w:val="18"/>
              </w:rPr>
              <w:t>0.667</w:t>
            </w:r>
          </w:p>
        </w:tc>
        <w:tc>
          <w:tcPr>
            <w:tcW w:type="dxa" w:w="1728"/>
          </w:tcPr>
          <w:p>
            <w:r/>
            <w:r>
              <w:rPr>
                <w:rFonts w:ascii="Times New Roman" w:hAnsi="Times New Roman"/>
                <w:color w:val="000000"/>
                <w:sz w:val="18"/>
              </w:rPr>
              <w:t>0.678</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0.594</w:t>
            </w:r>
          </w:p>
        </w:tc>
        <w:tc>
          <w:tcPr>
            <w:tcW w:type="dxa" w:w="1728"/>
          </w:tcPr>
          <w:p>
            <w:r/>
            <w:r>
              <w:rPr>
                <w:rFonts w:ascii="Times New Roman" w:hAnsi="Times New Roman"/>
                <w:color w:val="000000"/>
                <w:sz w:val="18"/>
              </w:rPr>
              <w:t>0.620</w:t>
            </w:r>
          </w:p>
        </w:tc>
        <w:tc>
          <w:tcPr>
            <w:tcW w:type="dxa" w:w="1728"/>
          </w:tcPr>
          <w:p>
            <w:r/>
            <w:r>
              <w:rPr>
                <w:rFonts w:ascii="Times New Roman" w:hAnsi="Times New Roman"/>
                <w:color w:val="000000"/>
                <w:sz w:val="18"/>
              </w:rPr>
              <w:t>0.606</w:t>
            </w:r>
          </w:p>
        </w:tc>
      </w:tr>
    </w:tbl>
    <w:p/>
    <w:p>
      <w:pPr>
        <w:spacing w:after="160" w:line="360" w:lineRule="auto"/>
        <w:jc w:val="both"/>
      </w:pPr>
      <w:r>
        <w:rPr>
          <w:rFonts w:ascii="Times New Roman" w:hAnsi="Times New Roman"/>
          <w:b w:val="0"/>
          <w:i w:val="0"/>
          <w:color w:val="000000"/>
          <w:sz w:val="24"/>
        </w:rPr>
        <w:t>McNemar (held-out): b = 15 (baseline correct, WCE wrong), c = 8 (baseline wrong, WCE correct), chi-square = 1.565, p = 0.2109. The difference is not statistically significant. AUC: Baseline 0.7075, WCE 0.6997. The R09 McNemar result (p = 0.037) did not reproduce under any XGBoost version tested by the verifier; it is withdrawn. The held-out McNemar result is not stable across seeds: p ranges from 0.018 (seed 0, baseline correct where WCE is wrong 25 times against 10) to 0.532. The held-out comparison is therefore reported as inconclusive, and the 50-fold Wilcoxon comparison, which is non-significant under all five seeds, is the basis for the null conclusion.</w:t>
      </w:r>
    </w:p>
    <w:p>
      <w:pPr>
        <w:spacing w:after="80" w:line="360" w:lineRule="auto"/>
        <w:jc w:val="both"/>
      </w:pPr>
      <w:r>
        <w:rPr>
          <w:rFonts w:ascii="Times New Roman" w:hAnsi="Times New Roman"/>
          <w:b/>
          <w:color w:val="000000"/>
          <w:sz w:val="26"/>
        </w:rPr>
        <w:t>R7b. Held-out 80/20 Split Results, Alzubaidi</w:t>
      </w:r>
    </w:p>
    <w:p>
      <w:pPr>
        <w:spacing w:after="160" w:line="360" w:lineRule="auto"/>
        <w:jc w:val="both"/>
      </w:pPr>
      <w:r>
        <w:rPr>
          <w:rFonts w:ascii="Times New Roman" w:hAnsi="Times New Roman"/>
          <w:b w:val="0"/>
          <w:color w:val="000000"/>
          <w:sz w:val="20"/>
        </w:rPr>
        <w:t xml:space="preserve">On the Alzubaidi 80/20 held-out partition (n = 238), Baseline confusion matrix: TN 84, FP 36, FN 34, TP 84. WCE confusion matrix: TN 81, FP 39, FN 33, TP 85. Baseline macro F1 = 0.7059, AUC = 0.7829. WCE macro F1 = 0.6974, AUC = 0.7670. McNemar: b = 6, c = 4, chi2 = 0.100, p = 0.7518 (not significant). The Baseline outperforms WCE on this split.</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never pooled. KNUST is primary; Alzubaidi is an external stress-test with an imposed construct mapping (M18). The proposed model does not beat the baseline on either leg (KNUST p = 0.5407, ns; Alzubaidi p = 0.1703, ns). Both legs give a null result. The R09 Alzubaidi finding (p = 0.0098) did not reproduce under any XGBoost version tested by the verifier; it is withdrawn. R11 pins the environment.</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at matched depth (both models at WCE-tuned depth): KNUST baseline 13.3 ms, WCE 13.3 ms; Alzubaidi baseline 11.2 ms, WCE 11.2 ms. The times are equal at this precision.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 primary result across both datasets and both statistical tests. KAB-XGBoost-WCE does not beat Baseline XGBoost on KNUST (p = 0.5407) or Alzubaidi (p = 0.1703). The weighting's isolated ablation contribution at depth 5 is -0.0055 (p = 0.1652, not significant). The honest conclusion is that the KAB asymmetry weighting adds no measurable value on either dataset in R11.</w:t>
      </w:r>
    </w:p>
    <w:p>
      <w:pPr>
        <w:spacing w:after="160" w:line="360" w:lineRule="auto"/>
        <w:jc w:val="both"/>
      </w:pPr>
      <w:r>
        <w:rPr>
          <w:rFonts w:ascii="Times New Roman" w:hAnsi="Times New Roman"/>
          <w:b w:val="0"/>
          <w:i w:val="0"/>
          <w:color w:val="000000"/>
          <w:sz w:val="24"/>
        </w:rPr>
        <w:t>Second, the artificial-skew test (25% minority, n = 1556) shows: Baseline F1 = 0.5555, WCE F1 = 0.559 (gain +0.0035, p = 0.3642 vs Baseline), stock scale_pos_weight F1 = 0.6096 (gain +0.0541 vs Baseline; Wilcoxon p &lt; 0.001 vs WCE). Under genuine imbalance the class-ratio weight outperforms WCE. The KAB asymmetry weighting does not help on KNUST even when imbalance is the primary concern. On Alzubaidi (n = 796): Baseline F1 = 0.6202, WCE F1 = 0.6116 (gain -0.0086, p = 0.0176 vs Baseline), stock scale_pos_weight F1 = 0.6369 (gain +0.0167; Wilcoxon p = 0.0029 vs WCE). The KAB weighting does not help on either dataset under artificial imbalance. On Alzubaidi, WCE is significantly worse than the baseline under artificial skew (p = 0.0176, uncorrected).</w:t>
      </w:r>
    </w:p>
    <w:p>
      <w:pPr>
        <w:spacing w:after="160" w:line="360" w:lineRule="auto"/>
        <w:jc w:val="both"/>
      </w:pPr>
      <w:r>
        <w:rPr>
          <w:rFonts w:ascii="Times New Roman" w:hAnsi="Times New Roman"/>
          <w:b w:val="0"/>
          <w:i w:val="0"/>
          <w:color w:val="000000"/>
          <w:sz w:val="24"/>
        </w:rPr>
        <w:t>Third, the Decision Tree depth curve diagnoses the pre-de-duplication leakage. On the de-duplicated KNUST data the tree scores depth 1 0.6186, depth 2 0.6167, depth 3 0.6163, unlimited 0.5785. The unlimited tree is the weakest, not the strongest: once duplicate rows are removed the memorisation advantage disappears. Note: the unlimited-tree value here (0.5785) differs from the 5-fold mean in Table R10a (0.5634) because the depth curve uses all 17 features on 5x10 folds, while Table R10a uses the ten Likert items only, on 5 folds, so the two unlimited-depth figures are not directly comparable.</w:t>
      </w:r>
    </w:p>
    <w:p>
      <w:pPr>
        <w:pStyle w:val="Normal"/>
      </w:pPr>
      <w:r>
        <w:rPr>
          <w:i/>
        </w:rPr>
        <w:t xml:space="preserve">Table R10a. Decision Tree and Random Forest on raw (4,121 rows) versus deduplicated (2,088 rows) KNUST data, 5-fold cross-validation. Mean test-set rows with a training-set twin are also shown.</w:t>
      </w:r>
    </w:p>
    <w:tbl>
      <w:tblPr>
        <w:tblStyle w:val="TableGrid"/>
        <w:tblW w:w="8000" w:type="dxa"/>
      </w:tblPr>
      <w:tblGrid>
        <w:gridCol w:w="1500"/>
        <w:gridCol w:w="1500"/>
        <w:gridCol w:w="1500"/>
        <w:gridCol w:w="1500"/>
        <w:gridCol w:w="2000"/>
      </w:tblGrid>
      <w:tr>
        <w:tc>
          <w:tcPr>
            <w:tcW w:w="1500" w:type="dxa"/>
            <w:shd w:val="clear" w:color="auto" w:fill="CCCCCC"/>
          </w:tcPr>
          <w:p>
            <w:r>
              <w:rPr>
                <w:b/>
              </w:rPr>
              <w:t>Dataset</w:t>
            </w:r>
          </w:p>
        </w:tc>
        <w:tc>
          <w:tcPr>
            <w:tcW w:w="1500" w:type="dxa"/>
            <w:shd w:val="clear" w:color="auto" w:fill="CCCCCC"/>
          </w:tcPr>
          <w:p>
            <w:r>
              <w:rPr>
                <w:b/>
              </w:rPr>
              <w:t>DT Macro F1</w:t>
            </w:r>
          </w:p>
        </w:tc>
        <w:tc>
          <w:tcPr>
            <w:tcW w:w="1500" w:type="dxa"/>
            <w:shd w:val="clear" w:color="auto" w:fill="CCCCCC"/>
          </w:tcPr>
          <w:p>
            <w:r>
              <w:rPr>
                <w:b/>
              </w:rPr>
              <w:t>DT SD</w:t>
            </w:r>
          </w:p>
        </w:tc>
        <w:tc>
          <w:tcPr>
            <w:tcW w:w="1500" w:type="dxa"/>
            <w:shd w:val="clear" w:color="auto" w:fill="CCCCCC"/>
          </w:tcPr>
          <w:p>
            <w:r>
              <w:rPr>
                <w:b/>
              </w:rPr>
              <w:t>RF Macro F1</w:t>
            </w:r>
          </w:p>
        </w:tc>
        <w:tc>
          <w:tcPr>
            <w:tcW w:w="2000" w:type="dxa"/>
            <w:shd w:val="clear" w:color="auto" w:fill="CCCCCC"/>
          </w:tcPr>
          <w:p>
            <w:r>
              <w:rPr>
                <w:b/>
              </w:rPr>
              <w:t>Mean test twins</w:t>
            </w:r>
          </w:p>
        </w:tc>
      </w:tr>
      <w:tr>
        <w:tc>
          <w:tcPr>
            <w:tcW w:w="1500" w:type="dxa"/>
          </w:tcPr>
          <w:p>
            <w:r>
              <w:t>Raw (4,121 rows)</w:t>
            </w:r>
          </w:p>
        </w:tc>
        <w:tc>
          <w:tcPr>
            <w:tcW w:w="1500" w:type="dxa"/>
          </w:tcPr>
          <w:p>
            <w:r>
              <w:t>0.8982</w:t>
            </w:r>
          </w:p>
        </w:tc>
        <w:tc>
          <w:tcPr>
            <w:tcW w:w="1500" w:type="dxa"/>
          </w:tcPr>
          <w:p>
            <w:r>
              <w:t>0.0103</w:t>
            </w:r>
          </w:p>
        </w:tc>
        <w:tc>
          <w:tcPr>
            <w:tcW w:w="1500" w:type="dxa"/>
          </w:tcPr>
          <w:p>
            <w:r>
              <w:t>0.9046</w:t>
            </w:r>
          </w:p>
        </w:tc>
        <w:tc>
          <w:tcPr>
            <w:tcW w:w="2000" w:type="dxa"/>
          </w:tcPr>
          <w:p>
            <w:r>
              <w:t>641.2 per fold</w:t>
            </w:r>
          </w:p>
        </w:tc>
      </w:tr>
      <w:tr>
        <w:tc>
          <w:tcPr>
            <w:tcW w:w="1500" w:type="dxa"/>
          </w:tcPr>
          <w:p>
            <w:r>
              <w:t>Dedup (2,088 rows)</w:t>
            </w:r>
          </w:p>
        </w:tc>
        <w:tc>
          <w:tcPr>
            <w:tcW w:w="1500" w:type="dxa"/>
          </w:tcPr>
          <w:p>
            <w:r>
              <w:t>0.5634</w:t>
            </w:r>
          </w:p>
        </w:tc>
        <w:tc>
          <w:tcPr>
            <w:tcW w:w="1500" w:type="dxa"/>
          </w:tcPr>
          <w:p>
            <w:r>
              <w:t>0.0218</w:t>
            </w:r>
          </w:p>
        </w:tc>
        <w:tc>
          <w:tcPr>
            <w:tcW w:w="1500" w:type="dxa"/>
          </w:tcPr>
          <w:p>
            <w:r>
              <w:t>0.6247</w:t>
            </w:r>
          </w:p>
        </w:tc>
        <w:tc>
          <w:tcPr>
            <w:tcW w:w="2000" w:type="dxa"/>
          </w:tcPr>
          <w:p>
            <w:r>
              <w:t>8.0 per fold</w:t>
            </w:r>
          </w:p>
        </w:tc>
      </w:tr>
    </w:tbl>
    <w:p>
      <w:pPr>
        <w:pStyle w:val="Normal"/>
      </w:pPr>
      <w:r>
        <w:t xml:space="preserve">The raw data inflates DT and RF accuracy to 0.90 because 641 of the test rows per fold have an exact duplicate in training. After deduplication the figures drop to 0.5634 and 0.6247, well below XGBoost with tuning. This confirms that removing duplicates before modelling is correct and that the R09 pre-deduplication results were not trustworthy.</w:t>
      </w:r>
    </w:p>
    <w:p>
      <w:pPr>
        <w:spacing w:after="120" w:line="360" w:lineRule="auto"/>
        <w:jc w:val="left"/>
      </w:pPr>
      <w:r>
        <w:rPr>
          <w:rFonts w:ascii="Times New Roman" w:hAnsi="Times New Roman"/>
          <w:b/>
          <w:i w:val="0"/>
          <w:color w:val="000000"/>
          <w:sz w:val="26"/>
        </w:rPr>
        <w:t>R11. Robustness and Subgroup Analysis (KNUST)</w:t>
      </w:r>
    </w:p>
    <w:p>
      <w:pPr>
        <w:spacing w:after="160" w:line="360" w:lineRule="auto"/>
        <w:jc w:val="both"/>
      </w:pPr>
      <w:r>
        <w:rPr>
          <w:rFonts w:ascii="Times New Roman" w:hAnsi="Times New Roman"/>
          <w:b w:val="0"/>
          <w:i w:val="0"/>
          <w:color w:val="000000"/>
          <w:sz w:val="24"/>
        </w:rPr>
        <w:t>Ordinal robustness. In each of 100 trials every Likert cell in the held-out rows was shifted by plus or minus 1 with probability 0.10 (clipped to 1-5), K_agg and A_agg were recomputed, and the tuned WCE model scored the result. Separately, the held-out predictions were bootstrapped 1,000 times for the interval. KNUST: base F1 = 0.6423, perturbed mean = 0.6369 (SD = 0.0093), change = -0.0055, bootstrap 95% CI [0.5956, 0.6884]. Alzubaidi: base F1 = 0.6974, perturbed mean = 0.6934 (SD = 0.0148), change = -0.004, bootstrap 95% CI [0.6384, 0.7561]. Both datasets show small change under this perturbation.</w:t>
      </w:r>
    </w:p>
    <w:p>
      <w:pPr>
        <w:spacing w:after="160" w:line="360" w:lineRule="auto"/>
        <w:jc w:val="both"/>
      </w:pPr>
      <w:r>
        <w:rPr>
          <w:rFonts w:ascii="Times New Roman" w:hAnsi="Times New Roman"/>
          <w:b w:val="0"/>
          <w:i w:val="0"/>
          <w:color w:val="000000"/>
          <w:sz w:val="24"/>
        </w:rPr>
        <w:t>Seed sensitivity. The full 5x10 CV was repeated across five seeds (0, 7, 13, 21, 42). Delta (WCE minus Baseline) ranged from -0.0033 to +0.0020 on KNUST (seeds 13 and 42 favour WCE) and from -0.0013 to +0.0041 on Alzubaidi. All p-values lie between 0.160 and 0.791. All p-values lie between 0.160 and 0.791. No seed produced a significant WCE advantage on either dataset. The null result is stable and not an artefact of the default seed.</w:t>
      </w:r>
    </w:p>
    <w:p>
      <w:pPr>
        <w:spacing w:after="160" w:line="360" w:lineRule="auto"/>
        <w:jc w:val="both"/>
      </w:pPr>
      <w:r>
        <w:rPr>
          <w:rFonts w:ascii="Times New Roman" w:hAnsi="Times New Roman"/>
          <w:b w:val="0"/>
          <w:i w:val="0"/>
          <w:color w:val="000000"/>
          <w:sz w:val="24"/>
        </w:rPr>
        <w:t>Subgroup analysis and threshold sensitivity are in Table 7. The null result holds at tertile and quartile thresholds as well as at the median. Subgroup results are in Table 7; Year 2 shows a WCE-minus-baseline gap of -0.0195, the largest of the three year groups. No subgroup significance test was run.</w:t>
      </w:r>
    </w:p>
    <w:p>
      <w:pPr>
        <w:spacing w:after="80" w:line="360" w:lineRule="auto"/>
        <w:jc w:val="both"/>
      </w:pPr>
      <w:r>
        <w:rPr>
          <w:rFonts w:ascii="Times New Roman" w:hAnsi="Times New Roman"/>
          <w:b w:val="0"/>
          <w:i/>
          <w:color w:val="000000"/>
          <w:sz w:val="20"/>
        </w:rPr>
        <w:t>Table 7. Subgroup macro F1 (out-of-fold) and Behaviour-score threshold sensitivity,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Group / threshold</w:t>
            </w:r>
          </w:p>
        </w:tc>
        <w:tc>
          <w:tcPr>
            <w:tcW w:type="dxa" w:w="2160"/>
          </w:tcPr>
          <w:p>
            <w:r/>
            <w:r>
              <w:rPr>
                <w:rFonts w:ascii="Times New Roman" w:hAnsi="Times New Roman"/>
                <w:b/>
                <w:color w:val="000000"/>
                <w:sz w:val="18"/>
              </w:rPr>
              <w:t>n or share</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Note</w:t>
            </w:r>
          </w:p>
        </w:tc>
      </w:tr>
      <w:tr>
        <w:tc>
          <w:tcPr>
            <w:tcW w:type="dxa" w:w="2160"/>
          </w:tcPr>
          <w:p>
            <w:r/>
            <w:r>
              <w:rPr>
                <w:rFonts w:ascii="Times New Roman" w:hAnsi="Times New Roman"/>
                <w:color w:val="000000"/>
                <w:sz w:val="18"/>
              </w:rPr>
              <w:t>Year 2</w:t>
            </w:r>
          </w:p>
        </w:tc>
        <w:tc>
          <w:tcPr>
            <w:tcW w:type="dxa" w:w="2160"/>
          </w:tcPr>
          <w:p>
            <w:r/>
            <w:r>
              <w:rPr>
                <w:rFonts w:ascii="Times New Roman" w:hAnsi="Times New Roman"/>
                <w:color w:val="000000"/>
                <w:sz w:val="18"/>
              </w:rPr>
              <w:t>519</w:t>
            </w:r>
          </w:p>
        </w:tc>
        <w:tc>
          <w:tcPr>
            <w:tcW w:type="dxa" w:w="2160"/>
          </w:tcPr>
          <w:p>
            <w:r/>
            <w:r>
              <w:rPr>
                <w:rFonts w:ascii="Times New Roman" w:hAnsi="Times New Roman"/>
                <w:color w:val="000000"/>
                <w:sz w:val="18"/>
              </w:rPr>
              <w:t>WCE 0.6309 / Base 0.6504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3</w:t>
            </w:r>
          </w:p>
        </w:tc>
        <w:tc>
          <w:tcPr>
            <w:tcW w:type="dxa" w:w="2160"/>
          </w:tcPr>
          <w:p>
            <w:r/>
            <w:r>
              <w:rPr>
                <w:rFonts w:ascii="Times New Roman" w:hAnsi="Times New Roman"/>
                <w:color w:val="000000"/>
                <w:sz w:val="18"/>
              </w:rPr>
              <w:t>835</w:t>
            </w:r>
          </w:p>
        </w:tc>
        <w:tc>
          <w:tcPr>
            <w:tcW w:type="dxa" w:w="2160"/>
          </w:tcPr>
          <w:p>
            <w:r/>
            <w:r>
              <w:rPr>
                <w:rFonts w:ascii="Times New Roman" w:hAnsi="Times New Roman"/>
                <w:color w:val="000000"/>
                <w:sz w:val="18"/>
              </w:rPr>
              <w:t>WCE 0.6689 / Base 0.6573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4</w:t>
            </w:r>
          </w:p>
        </w:tc>
        <w:tc>
          <w:tcPr>
            <w:tcW w:type="dxa" w:w="2160"/>
          </w:tcPr>
          <w:p>
            <w:r/>
            <w:r>
              <w:rPr>
                <w:rFonts w:ascii="Times New Roman" w:hAnsi="Times New Roman"/>
                <w:color w:val="000000"/>
                <w:sz w:val="18"/>
              </w:rPr>
              <w:t>734</w:t>
            </w:r>
          </w:p>
        </w:tc>
        <w:tc>
          <w:tcPr>
            <w:tcW w:type="dxa" w:w="2160"/>
          </w:tcPr>
          <w:p>
            <w:r/>
            <w:r>
              <w:rPr>
                <w:rFonts w:ascii="Times New Roman" w:hAnsi="Times New Roman"/>
                <w:color w:val="000000"/>
                <w:sz w:val="18"/>
              </w:rPr>
              <w:t>WCE 0.6587 / Base 0.6483</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No prior IT course</w:t>
            </w:r>
          </w:p>
        </w:tc>
        <w:tc>
          <w:tcPr>
            <w:tcW w:type="dxa" w:w="2160"/>
          </w:tcPr>
          <w:p>
            <w:r/>
            <w:r>
              <w:rPr>
                <w:rFonts w:ascii="Times New Roman" w:hAnsi="Times New Roman"/>
                <w:color w:val="000000"/>
                <w:sz w:val="18"/>
              </w:rPr>
              <w:t>1497</w:t>
            </w:r>
          </w:p>
        </w:tc>
        <w:tc>
          <w:tcPr>
            <w:tcW w:type="dxa" w:w="2160"/>
          </w:tcPr>
          <w:p>
            <w:r/>
            <w:r>
              <w:rPr>
                <w:rFonts w:ascii="Times New Roman" w:hAnsi="Times New Roman"/>
                <w:color w:val="000000"/>
                <w:sz w:val="18"/>
              </w:rPr>
              <w:t>WCE 0.6617 / Base 0.6569</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Prior IT course</w:t>
            </w:r>
          </w:p>
        </w:tc>
        <w:tc>
          <w:tcPr>
            <w:tcW w:type="dxa" w:w="2160"/>
          </w:tcPr>
          <w:p>
            <w:r/>
            <w:r>
              <w:rPr>
                <w:rFonts w:ascii="Times New Roman" w:hAnsi="Times New Roman"/>
                <w:color w:val="000000"/>
                <w:sz w:val="18"/>
              </w:rPr>
              <w:t>591</w:t>
            </w:r>
          </w:p>
        </w:tc>
        <w:tc>
          <w:tcPr>
            <w:tcW w:type="dxa" w:w="2160"/>
          </w:tcPr>
          <w:p>
            <w:r/>
            <w:r>
              <w:rPr>
                <w:rFonts w:ascii="Times New Roman" w:hAnsi="Times New Roman"/>
                <w:color w:val="000000"/>
                <w:sz w:val="18"/>
              </w:rPr>
              <w:t>WCE 0.6298 / Base 0.6274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Threshold: median</w:t>
            </w:r>
          </w:p>
        </w:tc>
        <w:tc>
          <w:tcPr>
            <w:tcW w:type="dxa" w:w="2160"/>
          </w:tcPr>
          <w:p>
            <w:r/>
            <w:r>
              <w:rPr>
                <w:rFonts w:ascii="Times New Roman" w:hAnsi="Times New Roman"/>
                <w:color w:val="000000"/>
                <w:sz w:val="18"/>
              </w:rPr>
              <w:t>Low = 55.9%</w:t>
            </w:r>
          </w:p>
        </w:tc>
        <w:tc>
          <w:tcPr>
            <w:tcW w:type="dxa" w:w="2160"/>
          </w:tcPr>
          <w:p>
            <w:r/>
            <w:r>
              <w:rPr>
                <w:rFonts w:ascii="Times New Roman" w:hAnsi="Times New Roman"/>
                <w:color w:val="000000"/>
                <w:sz w:val="18"/>
              </w:rPr>
              <w:t>Base 0.6500 / WCE 0.6518</w:t>
            </w:r>
          </w:p>
        </w:tc>
        <w:tc>
          <w:tcPr>
            <w:tcW w:type="dxa" w:w="2160"/>
          </w:tcPr>
          <w:p>
            <w:r/>
            <w:r>
              <w:rPr>
                <w:rFonts w:ascii="Times New Roman" w:hAnsi="Times New Roman"/>
                <w:color w:val="000000"/>
                <w:sz w:val="18"/>
              </w:rPr>
              <w:t>p=0.5407</w:t>
            </w:r>
          </w:p>
        </w:tc>
      </w:tr>
      <w:tr>
        <w:tc>
          <w:tcPr>
            <w:tcW w:type="dxa" w:w="2160"/>
          </w:tcPr>
          <w:p>
            <w:r/>
            <w:r>
              <w:rPr>
                <w:rFonts w:ascii="Times New Roman" w:hAnsi="Times New Roman"/>
                <w:color w:val="000000"/>
                <w:sz w:val="18"/>
              </w:rPr>
              <w:t>Threshold: tertile cut</w:t>
            </w:r>
          </w:p>
        </w:tc>
        <w:tc>
          <w:tcPr>
            <w:tcW w:type="dxa" w:w="2160"/>
          </w:tcPr>
          <w:p>
            <w:r/>
            <w:r>
              <w:rPr>
                <w:rFonts w:ascii="Times New Roman" w:hAnsi="Times New Roman"/>
                <w:color w:val="000000"/>
                <w:sz w:val="18"/>
              </w:rPr>
              <w:t>Low = 70%</w:t>
            </w:r>
          </w:p>
        </w:tc>
        <w:tc>
          <w:tcPr>
            <w:tcW w:type="dxa" w:w="2160"/>
          </w:tcPr>
          <w:p>
            <w:r/>
            <w:r>
              <w:rPr>
                <w:rFonts w:ascii="Times New Roman" w:hAnsi="Times New Roman"/>
                <w:color w:val="000000"/>
                <w:sz w:val="18"/>
              </w:rPr>
              <w:t>Base 0.6072 / WCE 0.6110</w:t>
            </w:r>
          </w:p>
        </w:tc>
        <w:tc>
          <w:tcPr>
            <w:tcW w:type="dxa" w:w="2160"/>
          </w:tcPr>
          <w:p>
            <w:r/>
            <w:r>
              <w:rPr>
                <w:rFonts w:ascii="Times New Roman" w:hAnsi="Times New Roman"/>
                <w:color w:val="000000"/>
                <w:sz w:val="18"/>
              </w:rPr>
              <w:t>p=0.1812</w:t>
            </w:r>
          </w:p>
        </w:tc>
      </w:tr>
      <w:tr>
        <w:tc>
          <w:tcPr>
            <w:tcW w:type="dxa" w:w="2160"/>
          </w:tcPr>
          <w:p>
            <w:r/>
            <w:r>
              <w:rPr>
                <w:rFonts w:ascii="Times New Roman" w:hAnsi="Times New Roman"/>
                <w:color w:val="000000"/>
                <w:sz w:val="18"/>
              </w:rPr>
              <w:t>Threshold: quartile cut</w:t>
            </w:r>
          </w:p>
        </w:tc>
        <w:tc>
          <w:tcPr>
            <w:tcW w:type="dxa" w:w="2160"/>
          </w:tcPr>
          <w:p>
            <w:r/>
            <w:r>
              <w:rPr>
                <w:rFonts w:ascii="Times New Roman" w:hAnsi="Times New Roman"/>
                <w:color w:val="000000"/>
                <w:sz w:val="18"/>
              </w:rPr>
              <w:t>Low = 76%</w:t>
            </w:r>
          </w:p>
        </w:tc>
        <w:tc>
          <w:tcPr>
            <w:tcW w:type="dxa" w:w="2160"/>
          </w:tcPr>
          <w:p>
            <w:r/>
            <w:r>
              <w:rPr>
                <w:rFonts w:ascii="Times New Roman" w:hAnsi="Times New Roman"/>
                <w:color w:val="000000"/>
                <w:sz w:val="18"/>
              </w:rPr>
              <w:t>Base 0.5762 / WCE 0.5729</w:t>
            </w:r>
          </w:p>
        </w:tc>
        <w:tc>
          <w:tcPr>
            <w:tcW w:type="dxa" w:w="2160"/>
          </w:tcPr>
          <w:p>
            <w:r/>
            <w:r>
              <w:rPr>
                <w:rFonts w:ascii="Times New Roman" w:hAnsi="Times New Roman"/>
                <w:color w:val="000000"/>
                <w:sz w:val="18"/>
              </w:rPr>
              <w:t>p=0.3051</w:t>
            </w:r>
          </w:p>
        </w:tc>
      </w:tr>
    </w:tbl>
    <w:p/>
    <w:p>
      <w:pPr>
        <w:spacing w:after="160" w:line="360" w:lineRule="auto"/>
        <w:jc w:val="both"/>
      </w:pPr>
      <w:r>
        <w:rPr>
          <w:rFonts w:ascii="Times New Roman" w:hAnsi="Times New Roman"/>
          <w:b w:val="0"/>
          <w:i w:val="0"/>
          <w:color w:val="000000"/>
          <w:sz w:val="24"/>
        </w:rPr>
        <w:t>Behaviour-score distribution around the median (18.0): counts at scores 16 to 20 are 16: 128, 17: 146, 18: 140, 19: 139, 20: 155. The classes are not driven by a spike at a single score, so the median split is not an artefact of a degenerate distribution.</w:t>
      </w:r>
    </w:p>
    <w:sectPr w:rsidR="00FC693F" w:rsidRPr="0006063C" w:rsidSect="00034616">
      <w:pgSz w:w="12240" w:h="15840"/>
      <w:pgMar w:top="1440" w:right="1800" w:bottom="1440" w:left="1800" w:header="720" w:footer="720" w:gutter="0"/>
      <w:cols w:space="720"/>
      <w:docGrid w:linePitch="360"/>
    </w:sectPr>
    <w:p>
      <w:pPr>
        <w:pStyle w:val="Heading2"/>
      </w:pPr>
      <w:r>
        <w:rPr>
          <w:rFonts w:ascii="Times New Roman" w:hAnsi="Times New Roman"/>
          <w:sz w:val="24"/>
          <w:b/>
        </w:rPr>
        <w:t>Q7. Claims-to-Evidence Traceability Table</w:t>
      </w:r>
    </w:p>
    <w:p>
      <w:r>
        <w:rPr>
          <w:rFonts w:ascii="Times New Roman" w:hAnsi="Times New Roman"/>
          <w:sz w:val="18"/>
        </w:rPr>
        <w:t xml:space="preserve">Every quantitative claim in this document maps to a row below. The source column names the file or section of manuscript_tables.txt that holds the raw number. All numbers come from a single R11 pipeline run.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800"/>
          </w:tcPr>
          <w:p>
            <w:r>
              <w:rPr>
                <w:rFonts w:ascii="Times New Roman" w:hAnsi="Times New Roman"/>
                <w:sz w:val="18"/>
                <w:b/>
              </w:rPr>
              <w:t xml:space="preserve">Claim</w:t>
            </w:r>
          </w:p>
        </w:tc>
        <w:tc>
          <w:tcPr>
            <w:tcW w:type="dxa" w:w="800"/>
          </w:tcPr>
          <w:p>
            <w:r>
              <w:rPr>
                <w:rFonts w:ascii="Times New Roman" w:hAnsi="Times New Roman"/>
                <w:sz w:val="18"/>
                <w:b/>
              </w:rPr>
              <w:t xml:space="preserve">Section</w:t>
            </w:r>
          </w:p>
        </w:tc>
        <w:tc>
          <w:tcPr>
            <w:tcW w:type="dxa" w:w="2400"/>
          </w:tcPr>
          <w:p>
            <w:r>
              <w:rPr>
                <w:rFonts w:ascii="Times New Roman" w:hAnsi="Times New Roman"/>
                <w:sz w:val="18"/>
                <w:b/>
              </w:rPr>
              <w:t xml:space="preserve">Source</w:t>
            </w:r>
          </w:p>
        </w:tc>
        <w:tc>
          <w:tcPr>
            <w:tcW w:type="dxa" w:w="2000"/>
          </w:tcPr>
          <w:p>
            <w:r>
              <w:rPr>
                <w:rFonts w:ascii="Times New Roman" w:hAnsi="Times New Roman"/>
                <w:sz w:val="18"/>
                <w:b/>
              </w:rPr>
              <w:t xml:space="preserve">Verified value</w:t>
            </w:r>
          </w:p>
        </w:tc>
        <w:tc>
          <w:tcPr>
            <w:tcW w:type="dxa" w:w="1400"/>
          </w:tcPr>
          <w:p>
            <w:r>
              <w:rPr>
                <w:rFonts w:ascii="Times New Roman" w:hAnsi="Times New Roman"/>
                <w:sz w:val="18"/>
                <w:b/>
              </w:rPr>
              <w:t xml:space="preserve">Status</w:t>
            </w:r>
          </w:p>
        </w:tc>
      </w:tr>
      <w:tr>
        <w:tc>
          <w:tcPr>
            <w:tcW w:type="dxa" w:w="3800"/>
          </w:tcPr>
          <w:p>
            <w:r>
              <w:rPr>
                <w:rFonts w:ascii="Times New Roman" w:hAnsi="Times New Roman"/>
                <w:sz w:val="18"/>
              </w:rPr>
              <w:t xml:space="preserve">KNUST: 4,121 raw responses, 2,033 duplicates removed, 2,088 unique retained</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raw=4121, removed=2033, unique=2088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class balance: Low 1,167 (55.9%), High 921 (44.1%)</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Low=1167 (55.9%), High=921 (44.1%)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44 duplicates removed from 1,231 raw, leaving 1,187 unique</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raw=1231, removed=44, unique=1187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class balance: Low 597 (50.3%), High 590 (49.7%)</w:t>
            </w:r>
          </w:p>
        </w:tc>
        <w:tc>
          <w:tcPr>
            <w:tcW w:type="dxa" w:w="800"/>
          </w:tcPr>
          <w:p>
            <w:r>
              <w:rPr>
                <w:rFonts w:ascii="Times New Roman" w:hAnsi="Times New Roman"/>
                <w:sz w:val="18"/>
              </w:rPr>
              <w:t xml:space="preserve">R1</w:t>
            </w:r>
          </w:p>
        </w:tc>
        <w:tc>
          <w:tcPr>
            <w:tcW w:type="dxa" w:w="2400"/>
          </w:tcPr>
          <w:p>
            <w:r>
              <w:rPr>
                <w:rFonts w:ascii="Times New Roman" w:hAnsi="Times New Roman"/>
                <w:sz w:val="18"/>
              </w:rPr>
              <w:t xml:space="preserve">manuscript_tables.txt KEY NUMBERS</w:t>
            </w:r>
          </w:p>
        </w:tc>
        <w:tc>
          <w:tcPr>
            <w:tcW w:type="dxa" w:w="2000"/>
          </w:tcPr>
          <w:p>
            <w:r>
              <w:rPr>
                <w:rFonts w:ascii="Times New Roman" w:hAnsi="Times New Roman"/>
                <w:sz w:val="18"/>
              </w:rPr>
              <w:t xml:space="preserve">Low=597 (50.3%), High=590 (49.7%)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WCE macro F1 = 0.6518 (SD 0.0332)</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0.6518 SD=0.0332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Baseline macro F1 = 0.6500 (SD 0.0347)</w:t>
            </w:r>
          </w:p>
        </w:tc>
        <w:tc>
          <w:tcPr>
            <w:tcW w:type="dxa" w:w="800"/>
          </w:tcPr>
          <w:p>
            <w:r>
              <w:rPr>
                <w:rFonts w:ascii="Times New Roman" w:hAnsi="Times New Roman"/>
                <w:sz w:val="18"/>
              </w:rPr>
              <w:t xml:space="preserve">R2 / Table 3a</w:t>
            </w:r>
          </w:p>
        </w:tc>
        <w:tc>
          <w:tcPr>
            <w:tcW w:type="dxa" w:w="2400"/>
          </w:tcPr>
          <w:p>
            <w:r>
              <w:rPr>
                <w:rFonts w:ascii="Times New Roman" w:hAnsi="Times New Roman"/>
                <w:sz w:val="18"/>
              </w:rPr>
              <w:t xml:space="preserve">fold_level_results_knust.csv / manuscript_tables.txt Table 3a</w:t>
            </w:r>
          </w:p>
        </w:tc>
        <w:tc>
          <w:tcPr>
            <w:tcW w:type="dxa" w:w="2000"/>
          </w:tcPr>
          <w:p>
            <w:r>
              <w:rPr>
                <w:rFonts w:ascii="Times New Roman" w:hAnsi="Times New Roman"/>
                <w:sz w:val="18"/>
              </w:rPr>
              <w:t xml:space="preserve">0.6500 SD=0.0347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WCE vs Baseline: W+=674, W-=551, ties=1, p=0.5407, r=0.0874</w:t>
            </w:r>
          </w:p>
        </w:tc>
        <w:tc>
          <w:tcPr>
            <w:tcW w:type="dxa" w:w="800"/>
          </w:tcPr>
          <w:p>
            <w:r>
              <w:rPr>
                <w:rFonts w:ascii="Times New Roman" w:hAnsi="Times New Roman"/>
                <w:sz w:val="18"/>
              </w:rPr>
              <w:t xml:space="preserve">R2 / R3</w:t>
            </w:r>
          </w:p>
        </w:tc>
        <w:tc>
          <w:tcPr>
            <w:tcW w:type="dxa" w:w="2400"/>
          </w:tcPr>
          <w:p>
            <w:r>
              <w:rPr>
                <w:rFonts w:ascii="Times New Roman" w:hAnsi="Times New Roman"/>
                <w:sz w:val="18"/>
              </w:rPr>
              <w:t xml:space="preserve">manuscript_tables.txt Table 3a + WCE vs Baseline row</w:t>
            </w:r>
          </w:p>
        </w:tc>
        <w:tc>
          <w:tcPr>
            <w:tcW w:type="dxa" w:w="2000"/>
          </w:tcPr>
          <w:p>
            <w:r>
              <w:rPr>
                <w:rFonts w:ascii="Times New Roman" w:hAnsi="Times New Roman"/>
                <w:sz w:val="18"/>
              </w:rPr>
              <w:t xml:space="preserve">W+=674 W-=551 ties=1 p=0.5407 r=0.0874</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WCE macro F1 = 0.6877 (SD 0.0545)</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0.6877 SD=0.0545</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Baseline macro F1 = 0.6844 (SD 0.0561)</w:t>
            </w:r>
          </w:p>
        </w:tc>
        <w:tc>
          <w:tcPr>
            <w:tcW w:type="dxa" w:w="800"/>
          </w:tcPr>
          <w:p>
            <w:r>
              <w:rPr>
                <w:rFonts w:ascii="Times New Roman" w:hAnsi="Times New Roman"/>
                <w:sz w:val="18"/>
              </w:rPr>
              <w:t xml:space="preserve">R2 / Table 3b</w:t>
            </w:r>
          </w:p>
        </w:tc>
        <w:tc>
          <w:tcPr>
            <w:tcW w:type="dxa" w:w="2400"/>
          </w:tcPr>
          <w:p>
            <w:r>
              <w:rPr>
                <w:rFonts w:ascii="Times New Roman" w:hAnsi="Times New Roman"/>
                <w:sz w:val="18"/>
              </w:rPr>
              <w:t xml:space="preserve">fold_level_results_alzubaidi.csv / manuscript_tables.txt Table 3b</w:t>
            </w:r>
          </w:p>
        </w:tc>
        <w:tc>
          <w:tcPr>
            <w:tcW w:type="dxa" w:w="2000"/>
          </w:tcPr>
          <w:p>
            <w:r>
              <w:rPr>
                <w:rFonts w:ascii="Times New Roman" w:hAnsi="Times New Roman"/>
                <w:sz w:val="18"/>
              </w:rPr>
              <w:t xml:space="preserve">0.6844 SD=0.0561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WCE vs Baseline: W+=612.5, W-=377.5, ties=6, p=0.1703, r=0.2067</w:t>
            </w:r>
          </w:p>
        </w:tc>
        <w:tc>
          <w:tcPr>
            <w:tcW w:type="dxa" w:w="800"/>
          </w:tcPr>
          <w:p>
            <w:r>
              <w:rPr>
                <w:rFonts w:ascii="Times New Roman" w:hAnsi="Times New Roman"/>
                <w:sz w:val="18"/>
              </w:rPr>
              <w:t xml:space="preserve">R4</w:t>
            </w:r>
          </w:p>
        </w:tc>
        <w:tc>
          <w:tcPr>
            <w:tcW w:type="dxa" w:w="2400"/>
          </w:tcPr>
          <w:p>
            <w:r>
              <w:rPr>
                <w:rFonts w:ascii="Times New Roman" w:hAnsi="Times New Roman"/>
                <w:sz w:val="18"/>
              </w:rPr>
              <w:t xml:space="preserve">manuscript_tables.txt Table 3b WCE vs Baseline row</w:t>
            </w:r>
          </w:p>
        </w:tc>
        <w:tc>
          <w:tcPr>
            <w:tcW w:type="dxa" w:w="2000"/>
          </w:tcPr>
          <w:p>
            <w:r>
              <w:rPr>
                <w:rFonts w:ascii="Times New Roman" w:hAnsi="Times New Roman"/>
                <w:sz w:val="18"/>
              </w:rPr>
              <w:t xml:space="preserve">W+=612.5 W-=377.5 ties=6 p=0.1703 r=0.2067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Naive Bayes F1 = 0.6598, Wilcoxon p = 0.0236 vs WCE</w:t>
            </w:r>
          </w:p>
        </w:tc>
        <w:tc>
          <w:tcPr>
            <w:tcW w:type="dxa" w:w="800"/>
          </w:tcPr>
          <w:p>
            <w:r>
              <w:rPr>
                <w:rFonts w:ascii="Times New Roman" w:hAnsi="Times New Roman"/>
                <w:sz w:val="18"/>
              </w:rPr>
              <w:t xml:space="preserve">R2</w:t>
            </w:r>
          </w:p>
        </w:tc>
        <w:tc>
          <w:tcPr>
            <w:tcW w:type="dxa" w:w="2400"/>
          </w:tcPr>
          <w:p>
            <w:r>
              <w:rPr>
                <w:rFonts w:ascii="Times New Roman" w:hAnsi="Times New Roman"/>
                <w:sz w:val="18"/>
              </w:rPr>
              <w:t xml:space="preserve">manuscript_tables.txt Table 3a</w:t>
            </w:r>
          </w:p>
        </w:tc>
        <w:tc>
          <w:tcPr>
            <w:tcW w:type="dxa" w:w="2000"/>
          </w:tcPr>
          <w:p>
            <w:r>
              <w:rPr>
                <w:rFonts w:ascii="Times New Roman" w:hAnsi="Times New Roman"/>
                <w:sz w:val="18"/>
              </w:rPr>
              <w:t xml:space="preserve">NB=0.6598 p=0.0236 r=0.3188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A (no weights, depth 5): 0.6510 (SD 0.0366)</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0.6510 SD=0.0366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B (no weights, depth 3): 0.6521 (SD 0.0342)</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0.6521 SD=0.0342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C (WCE, depth 5): 0.6455 (SD 0.0329)</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0.6455 SD=0.0329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Ablation Arm D (WCE, depth 3): 0.6537 (SD 0.0347)</w:t>
            </w:r>
          </w:p>
        </w:tc>
        <w:tc>
          <w:tcPr>
            <w:tcW w:type="dxa" w:w="800"/>
          </w:tcPr>
          <w:p>
            <w:r>
              <w:rPr>
                <w:rFonts w:ascii="Times New Roman" w:hAnsi="Times New Roman"/>
                <w:sz w:val="18"/>
              </w:rPr>
              <w:t xml:space="preserve">R5 / Table 4</w:t>
            </w:r>
          </w:p>
        </w:tc>
        <w:tc>
          <w:tcPr>
            <w:tcW w:type="dxa" w:w="2400"/>
          </w:tcPr>
          <w:p>
            <w:r>
              <w:rPr>
                <w:rFonts w:ascii="Times New Roman" w:hAnsi="Times New Roman"/>
                <w:sz w:val="18"/>
              </w:rPr>
              <w:t xml:space="preserve">manuscript_tables.txt Table 4</w:t>
            </w:r>
          </w:p>
        </w:tc>
        <w:tc>
          <w:tcPr>
            <w:tcW w:type="dxa" w:w="2000"/>
          </w:tcPr>
          <w:p>
            <w:r>
              <w:rPr>
                <w:rFonts w:ascii="Times New Roman" w:hAnsi="Times New Roman"/>
                <w:sz w:val="18"/>
              </w:rPr>
              <w:t xml:space="preserve">0.6537 SD=0.0347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Depth contribution (B-A) = +0.0011, p = 0.8939</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B-A=+0.0011 p=0.8939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Weight at depth 5 (C-A) = -0.0055, p = 0.1652</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C-A=-0.0055 p=0.1652</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Weight at depth 3 (D-B) = +0.0016, p = 0.5157</w:t>
            </w:r>
          </w:p>
        </w:tc>
        <w:tc>
          <w:tcPr>
            <w:tcW w:type="dxa" w:w="800"/>
          </w:tcPr>
          <w:p>
            <w:r>
              <w:rPr>
                <w:rFonts w:ascii="Times New Roman" w:hAnsi="Times New Roman"/>
                <w:sz w:val="18"/>
              </w:rPr>
              <w:t xml:space="preserve">R5</w:t>
            </w:r>
          </w:p>
        </w:tc>
        <w:tc>
          <w:tcPr>
            <w:tcW w:type="dxa" w:w="2400"/>
          </w:tcPr>
          <w:p>
            <w:r>
              <w:rPr>
                <w:rFonts w:ascii="Times New Roman" w:hAnsi="Times New Roman"/>
                <w:sz w:val="18"/>
              </w:rPr>
              <w:t xml:space="preserve">manuscript_tables.txt Table 4 notes</w:t>
            </w:r>
          </w:p>
        </w:tc>
        <w:tc>
          <w:tcPr>
            <w:tcW w:type="dxa" w:w="2000"/>
          </w:tcPr>
          <w:p>
            <w:r>
              <w:rPr>
                <w:rFonts w:ascii="Times New Roman" w:hAnsi="Times New Roman"/>
                <w:sz w:val="18"/>
              </w:rPr>
              <w:t xml:space="preserve">D-B=+0.0016 p=0.5157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SHAP: K_agg = 0.4323 (rank 1), A_agg = 0.3406 (rank 2)</w:t>
            </w:r>
          </w:p>
        </w:tc>
        <w:tc>
          <w:tcPr>
            <w:tcW w:type="dxa" w:w="800"/>
          </w:tcPr>
          <w:p>
            <w:r>
              <w:rPr>
                <w:rFonts w:ascii="Times New Roman" w:hAnsi="Times New Roman"/>
                <w:sz w:val="18"/>
              </w:rPr>
              <w:t xml:space="preserve">R6 / Table 6a</w:t>
            </w:r>
          </w:p>
        </w:tc>
        <w:tc>
          <w:tcPr>
            <w:tcW w:type="dxa" w:w="2400"/>
          </w:tcPr>
          <w:p>
            <w:r>
              <w:rPr>
                <w:rFonts w:ascii="Times New Roman" w:hAnsi="Times New Roman"/>
                <w:sz w:val="18"/>
              </w:rPr>
              <w:t xml:space="preserve">manuscript_tables.txt Table 6a</w:t>
            </w:r>
          </w:p>
        </w:tc>
        <w:tc>
          <w:tcPr>
            <w:tcW w:type="dxa" w:w="2000"/>
          </w:tcPr>
          <w:p>
            <w:r>
              <w:rPr>
                <w:rFonts w:ascii="Times New Roman" w:hAnsi="Times New Roman"/>
                <w:sz w:val="18"/>
              </w:rPr>
              <w:t xml:space="preserve">K_agg=0.4323 A_agg=0.3406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SHAP: B18_3 = 0.4288 (rank 1), A_agg = 0.1801 (rank 4)</w:t>
            </w:r>
          </w:p>
        </w:tc>
        <w:tc>
          <w:tcPr>
            <w:tcW w:type="dxa" w:w="800"/>
          </w:tcPr>
          <w:p>
            <w:r>
              <w:rPr>
                <w:rFonts w:ascii="Times New Roman" w:hAnsi="Times New Roman"/>
                <w:sz w:val="18"/>
              </w:rPr>
              <w:t xml:space="preserve">R6 / Table 6b</w:t>
            </w:r>
          </w:p>
        </w:tc>
        <w:tc>
          <w:tcPr>
            <w:tcW w:type="dxa" w:w="2400"/>
          </w:tcPr>
          <w:p>
            <w:r>
              <w:rPr>
                <w:rFonts w:ascii="Times New Roman" w:hAnsi="Times New Roman"/>
                <w:sz w:val="18"/>
              </w:rPr>
              <w:t xml:space="preserve">manuscript_tables.txt Table 6b</w:t>
            </w:r>
          </w:p>
        </w:tc>
        <w:tc>
          <w:tcPr>
            <w:tcW w:type="dxa" w:w="2000"/>
          </w:tcPr>
          <w:p>
            <w:r>
              <w:rPr>
                <w:rFonts w:ascii="Times New Roman" w:hAnsi="Times New Roman"/>
                <w:sz w:val="18"/>
              </w:rPr>
              <w:t xml:space="preserve">B18_3=0.4288 A_agg=0.1801</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held-out: Baseline F1 = 0.6587, AUC = 0.7075; WCE F1 = 0.6423, AUC = 0.6997</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Base F1=0.6587 AUC=0.7075; WCE F1=0.6423 AUC=0.6997</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KNUST held-out McNemar: b=15, c=8, chi2=1.565, p=0.2109</w:t>
            </w:r>
          </w:p>
        </w:tc>
        <w:tc>
          <w:tcPr>
            <w:tcW w:type="dxa" w:w="800"/>
          </w:tcPr>
          <w:p>
            <w:r>
              <w:rPr>
                <w:rFonts w:ascii="Times New Roman" w:hAnsi="Times New Roman"/>
                <w:sz w:val="18"/>
              </w:rPr>
              <w:t xml:space="preserve">R7</w:t>
            </w:r>
          </w:p>
        </w:tc>
        <w:tc>
          <w:tcPr>
            <w:tcW w:type="dxa" w:w="2400"/>
          </w:tcPr>
          <w:p>
            <w:r>
              <w:rPr>
                <w:rFonts w:ascii="Times New Roman" w:hAnsi="Times New Roman"/>
                <w:sz w:val="18"/>
              </w:rPr>
              <w:t xml:space="preserve">manuscript_tables.txt Table 5</w:t>
            </w:r>
          </w:p>
        </w:tc>
        <w:tc>
          <w:tcPr>
            <w:tcW w:type="dxa" w:w="2000"/>
          </w:tcPr>
          <w:p>
            <w:r>
              <w:rPr>
                <w:rFonts w:ascii="Times New Roman" w:hAnsi="Times New Roman"/>
                <w:sz w:val="18"/>
              </w:rPr>
              <w:t xml:space="preserve">b=15 c=8 chi2=1.565 p=0.2109</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Alzubaidi held-out: Baseline F1=0.7059, WCE F1=0.6974; McNemar p=0.7518</w:t>
            </w:r>
          </w:p>
        </w:tc>
        <w:tc>
          <w:tcPr>
            <w:tcW w:type="dxa" w:w="800"/>
          </w:tcPr>
          <w:p>
            <w:r>
              <w:rPr>
                <w:rFonts w:ascii="Times New Roman" w:hAnsi="Times New Roman"/>
                <w:sz w:val="18"/>
              </w:rPr>
              <w:t xml:space="preserve">R7 / Table 5b</w:t>
            </w:r>
          </w:p>
        </w:tc>
        <w:tc>
          <w:tcPr>
            <w:tcW w:type="dxa" w:w="2400"/>
          </w:tcPr>
          <w:p>
            <w:r>
              <w:rPr>
                <w:rFonts w:ascii="Times New Roman" w:hAnsi="Times New Roman"/>
                <w:sz w:val="18"/>
              </w:rPr>
              <w:t xml:space="preserve">manuscript_tables.txt Table 5b</w:t>
            </w:r>
          </w:p>
        </w:tc>
        <w:tc>
          <w:tcPr>
            <w:tcW w:type="dxa" w:w="2000"/>
          </w:tcPr>
          <w:p>
            <w:r>
              <w:rPr>
                <w:rFonts w:ascii="Times New Roman" w:hAnsi="Times New Roman"/>
                <w:sz w:val="18"/>
              </w:rPr>
              <w:t xml:space="preserve">Base F1=0.7059 WCE F1=0.6974 p=0.7518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Timing: KNUST baseline 13.3 ms, WCE 13.3 ms; Alzubaidi baseline 11.2 ms, WCE 11.2 ms</w:t>
            </w:r>
          </w:p>
        </w:tc>
        <w:tc>
          <w:tcPr>
            <w:tcW w:type="dxa" w:w="800"/>
          </w:tcPr>
          <w:p>
            <w:r>
              <w:rPr>
                <w:rFonts w:ascii="Times New Roman" w:hAnsi="Times New Roman"/>
                <w:sz w:val="18"/>
              </w:rPr>
              <w:t xml:space="preserve">R9</w:t>
            </w:r>
          </w:p>
        </w:tc>
        <w:tc>
          <w:tcPr>
            <w:tcW w:type="dxa" w:w="2400"/>
          </w:tcPr>
          <w:p>
            <w:r>
              <w:rPr>
                <w:rFonts w:ascii="Times New Roman" w:hAnsi="Times New Roman"/>
                <w:sz w:val="18"/>
              </w:rPr>
              <w:t xml:space="preserve">manuscript_tables.txt KEY NUMBERS TIMING</w:t>
            </w:r>
          </w:p>
        </w:tc>
        <w:tc>
          <w:tcPr>
            <w:tcW w:type="dxa" w:w="2000"/>
          </w:tcPr>
          <w:p>
            <w:r>
              <w:rPr>
                <w:rFonts w:ascii="Times New Roman" w:hAnsi="Times New Roman"/>
                <w:sz w:val="18"/>
              </w:rPr>
              <w:t xml:space="preserve">KNUST=13.3/13.3ms Alzubaidi=11.2/11.2ms</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Skew test: WCE F1=0.559 vs Baseline 0.5555 (p=0.3642); stock SPW=0.6096 (p&lt;0.001 vs WCE)</w:t>
            </w:r>
          </w:p>
        </w:tc>
        <w:tc>
          <w:tcPr>
            <w:tcW w:type="dxa" w:w="800"/>
          </w:tcPr>
          <w:p>
            <w:r>
              <w:rPr>
                <w:rFonts w:ascii="Times New Roman" w:hAnsi="Times New Roman"/>
                <w:sz w:val="18"/>
              </w:rPr>
              <w:t xml:space="preserve">R10</w:t>
            </w:r>
          </w:p>
        </w:tc>
        <w:tc>
          <w:tcPr>
            <w:tcW w:type="dxa" w:w="2400"/>
          </w:tcPr>
          <w:p>
            <w:r>
              <w:rPr>
                <w:rFonts w:ascii="Times New Roman" w:hAnsi="Times New Roman"/>
                <w:sz w:val="18"/>
              </w:rPr>
              <w:t xml:space="preserve">manuscript_tables.txt KEY NUMBERS SKEW TEST</w:t>
            </w:r>
          </w:p>
        </w:tc>
        <w:tc>
          <w:tcPr>
            <w:tcW w:type="dxa" w:w="2000"/>
          </w:tcPr>
          <w:p>
            <w:r>
              <w:rPr>
                <w:rFonts w:ascii="Times New Roman" w:hAnsi="Times New Roman"/>
                <w:sz w:val="18"/>
              </w:rPr>
              <w:t xml:space="preserve">WCE=0.559 Base=0.5555 p=0.3642 SPW=0.6096</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Ordinal robustness KNUST: base F1=0.6423, mean=0.6369 (SD=0.0093), CI [0.5956, 0.6884]</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base=0.6423 mean=0.6369 SD=0.0093</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Ordinal robustness Alzubaidi: base F1=0.6974, mean=0.6934 (SD=0.0148), CI [0.6384, 0.7561]</w:t>
            </w:r>
          </w:p>
        </w:tc>
        <w:tc>
          <w:tcPr>
            <w:tcW w:type="dxa" w:w="800"/>
          </w:tcPr>
          <w:p>
            <w:r>
              <w:rPr>
                <w:rFonts w:ascii="Times New Roman" w:hAnsi="Times New Roman"/>
                <w:sz w:val="18"/>
              </w:rPr>
              <w:t xml:space="preserve">R11</w:t>
            </w:r>
          </w:p>
        </w:tc>
        <w:tc>
          <w:tcPr>
            <w:tcW w:type="dxa" w:w="2400"/>
          </w:tcPr>
          <w:p>
            <w:r>
              <w:rPr>
                <w:rFonts w:ascii="Times New Roman" w:hAnsi="Times New Roman"/>
                <w:sz w:val="18"/>
              </w:rPr>
              <w:t xml:space="preserve">manuscript_tables.txt KEY NUMBERS ROBUSTNESS</w:t>
            </w:r>
          </w:p>
        </w:tc>
        <w:tc>
          <w:tcPr>
            <w:tcW w:type="dxa" w:w="2000"/>
          </w:tcPr>
          <w:p>
            <w:r>
              <w:rPr>
                <w:rFonts w:ascii="Times New Roman" w:hAnsi="Times New Roman"/>
                <w:sz w:val="18"/>
              </w:rPr>
              <w:t xml:space="preserve">base=0.6974 mean=0.6934 SD=0.0148</w:t>
            </w:r>
          </w:p>
        </w:tc>
        <w:tc>
          <w:tcPr>
            <w:tcW w:type="dxa" w:w="1400"/>
          </w:tcPr>
          <w:p>
            <w:r>
              <w:rPr>
                <w:rFonts w:ascii="Times New Roman" w:hAnsi="Times New Roman"/>
                <w:sz w:val="18"/>
              </w:rPr>
              <w:t xml:space="preserve">Supported</w:t>
            </w:r>
          </w:p>
        </w:tc>
      </w:tr>
      <w:tr>
        <w:tc>
          <w:tcPr>
            <w:tcW w:type="dxa" w:w="3800"/>
          </w:tcPr>
          <w:p>
            <w:r>
              <w:rPr>
                <w:rFonts w:ascii="Times New Roman" w:hAnsi="Times New Roman"/>
                <w:sz w:val="18"/>
              </w:rPr>
              <w:t xml:space="preserve">Seed sensitivity: KNUST delta range -0.0033 to +0.0041, all p&gt;0.05</w:t>
            </w:r>
          </w:p>
        </w:tc>
        <w:tc>
          <w:tcPr>
            <w:tcW w:type="dxa" w:w="800"/>
          </w:tcPr>
          <w:p>
            <w:r>
              <w:rPr>
                <w:rFonts w:ascii="Times New Roman" w:hAnsi="Times New Roman"/>
                <w:sz w:val="18"/>
              </w:rPr>
              <w:t xml:space="preserve">R11 / Table S1</w:t>
            </w:r>
          </w:p>
        </w:tc>
        <w:tc>
          <w:tcPr>
            <w:tcW w:type="dxa" w:w="2400"/>
          </w:tcPr>
          <w:p>
            <w:r>
              <w:rPr>
                <w:rFonts w:ascii="Times New Roman" w:hAnsi="Times New Roman"/>
                <w:sz w:val="18"/>
              </w:rPr>
              <w:t xml:space="preserve">manuscript_tables.txt Table S1</w:t>
            </w:r>
          </w:p>
        </w:tc>
        <w:tc>
          <w:tcPr>
            <w:tcW w:type="dxa" w:w="2000"/>
          </w:tcPr>
          <w:p>
            <w:r>
              <w:rPr>
                <w:rFonts w:ascii="Times New Roman" w:hAnsi="Times New Roman"/>
                <w:sz w:val="18"/>
              </w:rPr>
              <w:t xml:space="preserve">seeds 0,7,13,21,42 all non-significant</w:t>
            </w:r>
          </w:p>
        </w:tc>
        <w:tc>
          <w:tcPr>
            <w:tcW w:type="dxa" w:w="1400"/>
          </w:tcPr>
          <w:p>
            <w:r>
              <w:rPr>
                <w:rFonts w:ascii="Times New Roman" w:hAnsi="Times New Roman"/>
                <w:sz w:val="18"/>
              </w:rPr>
              <w:t xml:space="preserve">Supported</w:t>
            </w:r>
          </w:p>
        </w:tc>
      </w:tr>
    </w:tbl>
    <w:p>
      <w:r>
        <w:rPr>
          <w:rFonts w:ascii="Times New Roman" w:hAnsi="Times New Roman"/>
          <w:sz w:val="18"/>
        </w:rPr>
        <w:t xml:space="preserv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