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1,167 (55.9%), High 921 (44.1%); X.shape (2088, 17). Alzubaidi: 44 duplicates removed from raw 1,231, leaving 1,187 unique responses. Alzubaidi: 1,187 responses (44 duplicates removed from raw 1,231); Low 597 (50.3%), High 590 (49.7%); X.shape (1,187,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0.6518 (SD 0.0332) versus Baseline XGBoost 0.6500 (SD 0.0347); the gain is +0.0018 and is not significant (Wilcoxon W+ = 674, W− = 551, ties = 1, p = 0.5407, r = 0.0874). On Alzubaidi, KAB-XGBoost-WCE scored 0.6877 (SD 0.0545) versus Baseline XGBoost 0.6844 (SD 0.0561); the gain is +0.0033 and is not significant (Wilcoxon W+ = 612.5, W− = 377.5, ties = 6, p = 0.1703, r = 0.2067). The weighting mechanism produces no measurable advantage on either dataset. KAB-XGBoost-WCE does not outperform baseline XGBoost on either leg; this null result is the primary finding of the study. On KNUST, one comparator scores above WCE without Bonferroni correction: Naive Bayes at 0.6598 (Wilcoxon p = 0.0236, r = 0.3188). After Bonferroni correction (alpha = 0.0071) this difference is not significant. Logistic Regression (0.6559) and SVM (0.6545) also score above WCE but not by a significant margin. On Alzubaidi, WCE (0.6877) is above all comparators. WCE is not significantly different from stock scale_pos_weight (p = 0.0959), Decision Tree, Naive Bayes, SVM, and Random Forest (all p &lt; 0.001). Logistic Regression (0.6830) and Baseline (0.6844) are not significantly different from WCE.</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0.6518</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0.6500</w:t>
            </w:r>
          </w:p>
        </w:tc>
        <w:tc>
          <w:tcPr>
            <w:tcW w:type="dxa" w:w="2160"/>
          </w:tcPr>
          <w:p>
            <w:r/>
            <w:r>
              <w:rPr>
                <w:rFonts w:ascii="Times New Roman" w:hAnsi="Times New Roman"/>
                <w:color w:val="000000"/>
                <w:sz w:val="18"/>
              </w:rPr>
              <w:t>0.0347</w:t>
            </w:r>
          </w:p>
        </w:tc>
        <w:tc>
          <w:tcPr>
            <w:tcW w:type="dxa" w:w="2160"/>
          </w:tcPr>
          <w:p>
            <w:r/>
            <w:r>
              <w:rPr>
                <w:rFonts w:ascii="Times New Roman" w:hAnsi="Times New Roman"/>
                <w:color w:val="000000"/>
                <w:sz w:val="18"/>
              </w:rPr>
              <w:t>-0.0018</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0.6503</w:t>
            </w:r>
          </w:p>
        </w:tc>
        <w:tc>
          <w:tcPr>
            <w:tcW w:type="dxa" w:w="2160"/>
          </w:tcPr>
          <w:p>
            <w:r/>
            <w:r>
              <w:rPr>
                <w:rFonts w:ascii="Times New Roman" w:hAnsi="Times New Roman"/>
                <w:color w:val="000000"/>
                <w:sz w:val="18"/>
              </w:rPr>
              <w:t>0.0336</w:t>
            </w:r>
          </w:p>
        </w:tc>
        <w:tc>
          <w:tcPr>
            <w:tcW w:type="dxa" w:w="2160"/>
          </w:tcPr>
          <w:p>
            <w:r/>
            <w:r>
              <w:rPr>
                <w:rFonts w:ascii="Times New Roman" w:hAnsi="Times New Roman"/>
                <w:color w:val="000000"/>
                <w:sz w:val="18"/>
              </w:rPr>
              <w:t>-0.0015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0.6202</w:t>
            </w:r>
          </w:p>
        </w:tc>
        <w:tc>
          <w:tcPr>
            <w:tcW w:type="dxa" w:w="2160"/>
          </w:tcPr>
          <w:p>
            <w:r/>
            <w:r>
              <w:rPr>
                <w:rFonts w:ascii="Times New Roman" w:hAnsi="Times New Roman"/>
                <w:color w:val="000000"/>
                <w:sz w:val="18"/>
              </w:rPr>
              <w:t>0.0376</w:t>
            </w:r>
          </w:p>
        </w:tc>
        <w:tc>
          <w:tcPr>
            <w:tcW w:type="dxa" w:w="2160"/>
          </w:tcPr>
          <w:p>
            <w:r/>
            <w:r>
              <w:rPr>
                <w:rFonts w:ascii="Times New Roman" w:hAnsi="Times New Roman"/>
                <w:color w:val="000000"/>
                <w:sz w:val="18"/>
              </w:rPr>
              <w:t>-0.0316</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0.6598</w:t>
            </w:r>
          </w:p>
        </w:tc>
        <w:tc>
          <w:tcPr>
            <w:tcW w:type="dxa" w:w="2160"/>
          </w:tcPr>
          <w:p>
            <w:r/>
            <w:r>
              <w:rPr>
                <w:rFonts w:ascii="Times New Roman" w:hAnsi="Times New Roman"/>
                <w:color w:val="000000"/>
                <w:sz w:val="18"/>
              </w:rPr>
              <w:t>0.0313</w:t>
            </w:r>
          </w:p>
        </w:tc>
        <w:tc>
          <w:tcPr>
            <w:tcW w:type="dxa" w:w="2160"/>
          </w:tcPr>
          <w:p>
            <w:r/>
            <w:r>
              <w:rPr>
                <w:rFonts w:ascii="Times New Roman" w:hAnsi="Times New Roman"/>
                <w:color w:val="000000"/>
                <w:sz w:val="18"/>
              </w:rPr>
              <w:t>+0.0080</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0.6559</w:t>
            </w:r>
          </w:p>
        </w:tc>
        <w:tc>
          <w:tcPr>
            <w:tcW w:type="dxa" w:w="2160"/>
          </w:tcPr>
          <w:p>
            <w:r/>
            <w:r>
              <w:rPr>
                <w:rFonts w:ascii="Times New Roman" w:hAnsi="Times New Roman"/>
                <w:color w:val="000000"/>
                <w:sz w:val="18"/>
              </w:rPr>
              <w:t>0.0355</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0.6545</w:t>
            </w:r>
          </w:p>
        </w:tc>
        <w:tc>
          <w:tcPr>
            <w:tcW w:type="dxa" w:w="2160"/>
          </w:tcPr>
          <w:p>
            <w:r/>
            <w:r>
              <w:rPr>
                <w:rFonts w:ascii="Times New Roman" w:hAnsi="Times New Roman"/>
                <w:color w:val="000000"/>
                <w:sz w:val="18"/>
              </w:rPr>
              <w:t>0.0335</w:t>
            </w:r>
          </w:p>
        </w:tc>
        <w:tc>
          <w:tcPr>
            <w:tcW w:type="dxa" w:w="2160"/>
          </w:tcPr>
          <w:p>
            <w:r/>
            <w:r>
              <w:rPr>
                <w:rFonts w:ascii="Times New Roman" w:hAnsi="Times New Roman"/>
                <w:color w:val="000000"/>
                <w:sz w:val="18"/>
              </w:rPr>
              <w:t>+0.0027</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0.6397</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-0.0121</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0.6877</w:t>
            </w:r>
          </w:p>
        </w:tc>
        <w:tc>
          <w:tcPr>
            <w:tcW w:type="dxa" w:w="2160"/>
          </w:tcPr>
          <w:p>
            <w:r/>
            <w:r>
              <w:rPr>
                <w:rFonts w:ascii="Times New Roman" w:hAnsi="Times New Roman"/>
                <w:color w:val="000000"/>
                <w:sz w:val="18"/>
              </w:rPr>
              <w:t>0.0545</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0.6844</w:t>
            </w:r>
          </w:p>
        </w:tc>
        <w:tc>
          <w:tcPr>
            <w:tcW w:type="dxa" w:w="2160"/>
          </w:tcPr>
          <w:p>
            <w:r/>
            <w:r>
              <w:rPr>
                <w:rFonts w:ascii="Times New Roman" w:hAnsi="Times New Roman"/>
                <w:color w:val="000000"/>
                <w:sz w:val="18"/>
              </w:rPr>
              <w:t>0.0561</w:t>
            </w:r>
          </w:p>
        </w:tc>
        <w:tc>
          <w:tcPr>
            <w:tcW w:type="dxa" w:w="2160"/>
          </w:tcPr>
          <w:p>
            <w:r/>
            <w:r>
              <w:rPr>
                <w:rFonts w:ascii="Times New Roman" w:hAnsi="Times New Roman"/>
                <w:color w:val="000000"/>
                <w:sz w:val="18"/>
              </w:rPr>
              <w:t>-0.0033</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0.0551</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0.6433</w:t>
            </w:r>
          </w:p>
        </w:tc>
        <w:tc>
          <w:tcPr>
            <w:tcW w:type="dxa" w:w="2160"/>
          </w:tcPr>
          <w:p>
            <w:r/>
            <w:r>
              <w:rPr>
                <w:rFonts w:ascii="Times New Roman" w:hAnsi="Times New Roman"/>
                <w:color w:val="000000"/>
                <w:sz w:val="18"/>
              </w:rPr>
              <w:t>0.0485</w:t>
            </w:r>
          </w:p>
        </w:tc>
        <w:tc>
          <w:tcPr>
            <w:tcW w:type="dxa" w:w="2160"/>
          </w:tcPr>
          <w:p>
            <w:r/>
            <w:r>
              <w:rPr>
                <w:rFonts w:ascii="Times New Roman" w:hAnsi="Times New Roman"/>
                <w:color w:val="000000"/>
                <w:sz w:val="18"/>
              </w:rPr>
              <w:t>-0.0444</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0.6506</w:t>
            </w:r>
          </w:p>
        </w:tc>
        <w:tc>
          <w:tcPr>
            <w:tcW w:type="dxa" w:w="2160"/>
          </w:tcPr>
          <w:p>
            <w:r/>
            <w:r>
              <w:rPr>
                <w:rFonts w:ascii="Times New Roman" w:hAnsi="Times New Roman"/>
                <w:color w:val="000000"/>
                <w:sz w:val="18"/>
              </w:rPr>
              <w:t>0.0498</w:t>
            </w:r>
          </w:p>
        </w:tc>
        <w:tc>
          <w:tcPr>
            <w:tcW w:type="dxa" w:w="2160"/>
          </w:tcPr>
          <w:p>
            <w:r/>
            <w:r>
              <w:rPr>
                <w:rFonts w:ascii="Times New Roman" w:hAnsi="Times New Roman"/>
                <w:color w:val="000000"/>
                <w:sz w:val="18"/>
              </w:rPr>
              <w:t>-0.0371</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0.0443</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0.6627</w:t>
            </w:r>
          </w:p>
        </w:tc>
        <w:tc>
          <w:tcPr>
            <w:tcW w:type="dxa" w:w="2160"/>
          </w:tcPr>
          <w:p>
            <w:r/>
            <w:r>
              <w:rPr>
                <w:rFonts w:ascii="Times New Roman" w:hAnsi="Times New Roman"/>
                <w:color w:val="000000"/>
                <w:sz w:val="18"/>
              </w:rPr>
              <w:t>0.0488</w:t>
            </w:r>
          </w:p>
        </w:tc>
        <w:tc>
          <w:tcPr>
            <w:tcW w:type="dxa" w:w="2160"/>
          </w:tcPr>
          <w:p>
            <w:r/>
            <w:r>
              <w:rPr>
                <w:rFonts w:ascii="Times New Roman" w:hAnsi="Times New Roman"/>
                <w:color w:val="000000"/>
                <w:sz w:val="18"/>
              </w:rPr>
              <w:t>-0.0250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0.6693</w:t>
            </w:r>
          </w:p>
        </w:tc>
        <w:tc>
          <w:tcPr>
            <w:tcW w:type="dxa" w:w="2160"/>
          </w:tcPr>
          <w:p>
            <w:r/>
            <w:r>
              <w:rPr>
                <w:rFonts w:ascii="Times New Roman" w:hAnsi="Times New Roman"/>
                <w:color w:val="000000"/>
                <w:sz w:val="18"/>
              </w:rPr>
              <w:t>0.0463</w:t>
            </w:r>
          </w:p>
        </w:tc>
        <w:tc>
          <w:tcPr>
            <w:tcW w:type="dxa" w:w="2160"/>
          </w:tcPr>
          <w:p>
            <w:r/>
            <w:r>
              <w:rPr>
                <w:rFonts w:ascii="Times New Roman" w:hAnsi="Times New Roman"/>
                <w:color w:val="000000"/>
                <w:sz w:val="18"/>
              </w:rPr>
              <w:t>-0.0184</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674, W− = 551, ties = 1, n_nontied = 49, p = 0.5407, effect r = 0.0874, delta = +0.0018. The difference is not significant. The point estimate favours WCE. The 50-row CSV allows independent recomputation. The CV Wilcoxon test is stable across all five seeds (seeds 0, 7, 13, 21, 42; all p &gt; 0.05). The held-out McNemar p-value is seed-dependent (range 0.018 to 0.532); no seed gives a significant result after Bonferroni correction (alpha = 0.0071).</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612.5, W− = 377.5, ties = 6, n_nontied = 44, p = 0.1703, effect r = 0.2067, delta = +0.0033. The difference is not significant. The R09 finding (p = 0.0098) is not reproduced. The R09 results did not reproduce under any XGBoost version tested by the verifier, so they are withdrawn. R11 pins the environment; all conclusions are drawn from the R11 run only. Across both legs the weighting is neutral. No cross-dataset performance transfer is claimed; the Alzubaidi construct mapping is imposed (M18), so the leg is read only as a stress-test.</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use the same 5 x 10-fold splits as Table 3a, but with fixed depth (5 or 3) and fixed lambda (1.5 in Arms C and D). The Table 3a WCE row uses depth and lambda tuned within each fold, which is why Arm D (0.6537) and the Table 3a WCE row (0.6518) differ slightly. Arm A (no weights, depth 5): 0.6510 (SD 0.0366). Arm B (no weights, depth 3): 0.6521 (SD 0.0342). Arm C (WCE weights, depth 5): 0.6455 (SD 0.0329). Arm D (WCE weights, depth 3): 0.6537 (SD 0.0347). Depth contribution (B - A) = +0.0011, Wilcoxon p = 0.8939. Weight contribution at depth 5 (C - A) = -0.0055, p = 0.1652. Weight contribution at depth 3 (D - B) = +0.0016, p = 0.5157. No arm comparison reaches significance on KNUST. On Alzubaidi, fixed depth 3 scored 0.0121 higher than fixed depth 5 (B vs A, p = 0.0150) and weighting added nothing (C vs A p = 0.3329, D vs B p = 0.6225). The weighting contributes nothing on either dataset.</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 D vs B in text)</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No weights, depth 5</w:t>
            </w:r>
          </w:p>
        </w:tc>
        <w:tc>
          <w:tcPr>
            <w:tcW w:type="dxa" w:w="2160"/>
          </w:tcPr>
          <w:p>
            <w:r/>
            <w:r>
              <w:rPr>
                <w:rFonts w:ascii="Times New Roman" w:hAnsi="Times New Roman"/>
                <w:color w:val="000000"/>
                <w:sz w:val="18"/>
              </w:rPr>
              <w:t>0.6510</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No weights, depth 3</w:t>
            </w:r>
          </w:p>
        </w:tc>
        <w:tc>
          <w:tcPr>
            <w:tcW w:type="dxa" w:w="2160"/>
          </w:tcPr>
          <w:p>
            <w:r/>
            <w:r>
              <w:rPr>
                <w:rFonts w:ascii="Times New Roman" w:hAnsi="Times New Roman"/>
                <w:color w:val="000000"/>
                <w:sz w:val="18"/>
              </w:rPr>
              <w:t>0.6521</w:t>
            </w:r>
          </w:p>
        </w:tc>
        <w:tc>
          <w:tcPr>
            <w:tcW w:type="dxa" w:w="2160"/>
          </w:tcPr>
          <w:p>
            <w:r/>
            <w:r>
              <w:rPr>
                <w:rFonts w:ascii="Times New Roman" w:hAnsi="Times New Roman"/>
                <w:color w:val="000000"/>
                <w:sz w:val="18"/>
              </w:rPr>
              <w:t>+0.0011</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WCE weights, depth 5</w:t>
            </w:r>
          </w:p>
        </w:tc>
        <w:tc>
          <w:tcPr>
            <w:tcW w:type="dxa" w:w="2160"/>
          </w:tcPr>
          <w:p>
            <w:r/>
            <w:r>
              <w:rPr>
                <w:rFonts w:ascii="Times New Roman" w:hAnsi="Times New Roman"/>
                <w:color w:val="000000"/>
                <w:sz w:val="18"/>
              </w:rPr>
              <w:t>0.6455</w:t>
            </w:r>
          </w:p>
        </w:tc>
        <w:tc>
          <w:tcPr>
            <w:tcW w:type="dxa" w:w="2160"/>
          </w:tcPr>
          <w:p>
            <w:r/>
            <w:r>
              <w:rPr>
                <w:rFonts w:ascii="Times New Roman" w:hAnsi="Times New Roman"/>
                <w:color w:val="000000"/>
                <w:sz w:val="18"/>
              </w:rPr>
              <w:t>-0.0055</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WCE weights, depth 3</w:t>
            </w:r>
          </w:p>
        </w:tc>
        <w:tc>
          <w:tcPr>
            <w:tcW w:type="dxa" w:w="2160"/>
          </w:tcPr>
          <w:p>
            <w:r/>
            <w:r>
              <w:rPr>
                <w:rFonts w:ascii="Times New Roman" w:hAnsi="Times New Roman"/>
                <w:color w:val="000000"/>
                <w:sz w:val="18"/>
              </w:rPr>
              <w:t>0.6537</w:t>
            </w:r>
          </w:p>
        </w:tc>
        <w:tc>
          <w:tcPr>
            <w:tcW w:type="dxa" w:w="2160"/>
          </w:tcPr>
          <w:p>
            <w:r/>
            <w:r>
              <w:rPr>
                <w:rFonts w:ascii="Times New Roman" w:hAnsi="Times New Roman"/>
                <w:color w:val="000000"/>
                <w:sz w:val="18"/>
              </w:rPr>
              <w:t>+0.0016 (vs B)</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one WCE model fitted on the 80% training split (N2 fix; no held-out rows inform the model). On KNUST the top features by mean absolute SHAP value are K_agg (0.4323) and A_agg (0.3406). The Knowledge and Attitude aggregates carry the most predictive signal. On Alzubaidi the top feature is B18_3 (0.4288). A_agg ranks fourth (0.1801); K_agg does not appear in the top ten. This gap is consistent with the weak Knowledge mapping noted in M18. All importance values are associational. K_agg and A_agg are the two most predictive features on KNUST. On Alzubaidi the top feature is B18_3 and A_agg is fourth. SHAP importance is associational only. K_agg and A_agg are exact means of the ten Likert columns that are also in X, so SHAP splits their credit across correlated copies; they are best described as most used by the model rather than most predictive in isolation. Q5_freq (digital tool frequency, rank 3) and Q4_yrs (rank 6) are demographic predictors.</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0.4323</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0.3406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Q5_freq</w:t>
            </w:r>
          </w:p>
        </w:tc>
        <w:tc>
          <w:tcPr>
            <w:tcW w:type="dxa" w:w="2880"/>
          </w:tcPr>
          <w:p>
            <w:r/>
            <w:r>
              <w:rPr>
                <w:rFonts w:ascii="Times New Roman" w:hAnsi="Times New Roman"/>
                <w:color w:val="000000"/>
                <w:sz w:val="18"/>
              </w:rPr>
              <w:t>0.1651</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0.1057</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Q14</w:t>
            </w:r>
          </w:p>
        </w:tc>
        <w:tc>
          <w:tcPr>
            <w:tcW w:type="dxa" w:w="2880"/>
          </w:tcPr>
          <w:p>
            <w:r/>
            <w:r>
              <w:rPr>
                <w:rFonts w:ascii="Times New Roman" w:hAnsi="Times New Roman"/>
                <w:color w:val="000000"/>
                <w:sz w:val="18"/>
              </w:rPr>
              <w:t>0.1022</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Q4_yrs</w:t>
            </w:r>
          </w:p>
        </w:tc>
        <w:tc>
          <w:tcPr>
            <w:tcW w:type="dxa" w:w="2880"/>
          </w:tcPr>
          <w:p>
            <w:r/>
            <w:r>
              <w:rPr>
                <w:rFonts w:ascii="Times New Roman" w:hAnsi="Times New Roman"/>
                <w:color w:val="000000"/>
                <w:sz w:val="18"/>
              </w:rPr>
              <w:t>0.0898</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Q1_male</w:t>
            </w:r>
          </w:p>
        </w:tc>
        <w:tc>
          <w:tcPr>
            <w:tcW w:type="dxa" w:w="2880"/>
          </w:tcPr>
          <w:p>
            <w:r/>
            <w:r>
              <w:rPr>
                <w:rFonts w:ascii="Times New Roman" w:hAnsi="Times New Roman"/>
                <w:color w:val="000000"/>
                <w:sz w:val="18"/>
              </w:rPr>
              <w:t>0.0875</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0.0694</w:t>
            </w:r>
          </w:p>
        </w:tc>
      </w:tr>
    </w:tbl>
    <w:p>
      <w:pPr>
        <w:spacing w:after="60" w:line="240" w:lineRule="auto"/>
        <w:jc w:val="center"/>
      </w:pPr>
      <w:r>
        <w:rPr>
          <w:noProof/>
        </w:rPr>
        <w:drawing>
          <wp:inline xmlns:wp="http://schemas.openxmlformats.org/drawingml/2006/wordprocessingDrawing" distT="0" distB="0" distL="0" distR="0">
            <wp:extent cx="5400000" cy="3085714"/>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xmlns:r="http://schemas.openxmlformats.org/officeDocument/2006/relationships" r:embed="rId10"/>
                    <a:stretch>
                      <a:fillRect/>
                    </a:stretch>
                  </pic:blipFill>
                  <pic:spPr>
                    <a:xfrm>
                      <a:off x="0" y="0"/>
                      <a:ext cx="5400000" cy="3085714"/>
                    </a:xfrm>
                    <a:prstGeom prst="rect">
                      <a:avLst/>
                    </a:prstGeom>
                  </pic:spPr>
                </pic:pic>
              </a:graphicData>
            </a:graphic>
          </wp:inline>
        </w:drawing>
      </w:r>
    </w:p>
    <w:p>
      <w:pPr>
        <w:spacing w:after="120" w:line="240" w:lineRule="auto"/>
        <w:jc w:val="center"/>
      </w:pPr>
      <w:r>
        <w:rPr>
          <w:rFonts w:ascii="Times New Roman" w:hAnsi="Times New Roman"/>
          <w:i/>
          <w:sz w:val="20"/>
        </w:rPr>
        <w:t>Figure 1. SHAP mean absolute value, top features, KNUST.</w:t>
      </w:r>
    </w:p>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0.4288</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0.2602</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0.1859</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0.1801</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0.1695</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B20_1</w:t>
            </w:r>
          </w:p>
        </w:tc>
        <w:tc>
          <w:tcPr>
            <w:tcW w:type="dxa" w:w="2880"/>
          </w:tcPr>
          <w:p>
            <w:r/>
            <w:r>
              <w:rPr>
                <w:rFonts w:ascii="Times New Roman" w:hAnsi="Times New Roman"/>
                <w:color w:val="000000"/>
                <w:sz w:val="18"/>
              </w:rPr>
              <w:t>0.1127</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0.1088</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B18_0</w:t>
            </w:r>
          </w:p>
        </w:tc>
        <w:tc>
          <w:tcPr>
            <w:tcW w:type="dxa" w:w="2880"/>
          </w:tcPr>
          <w:p>
            <w:r/>
            <w:r>
              <w:rPr>
                <w:rFonts w:ascii="Times New Roman" w:hAnsi="Times New Roman"/>
                <w:color w:val="000000"/>
                <w:sz w:val="18"/>
              </w:rPr>
              <w:t>0.0955</w:t>
            </w:r>
          </w:p>
        </w:tc>
      </w:tr>
    </w:tbl>
    <w:p>
      <w:pPr>
        <w:spacing w:after="60" w:line="240" w:lineRule="auto"/>
        <w:jc w:val="center"/>
      </w:pPr>
      <w:r>
        <w:rPr>
          <w:noProof/>
        </w:rPr>
        <w:drawing>
          <wp:inline xmlns:wp="http://schemas.openxmlformats.org/drawingml/2006/wordprocessingDrawing" distT="0" distB="0" distL="0" distR="0">
            <wp:extent cx="5400000" cy="3085714"/>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xmlns:r="http://schemas.openxmlformats.org/officeDocument/2006/relationships" r:embed="rId11"/>
                    <a:stretch>
                      <a:fillRect/>
                    </a:stretch>
                  </pic:blipFill>
                  <pic:spPr>
                    <a:xfrm>
                      <a:off x="0" y="0"/>
                      <a:ext cx="5400000" cy="3085714"/>
                    </a:xfrm>
                    <a:prstGeom prst="rect">
                      <a:avLst/>
                    </a:prstGeom>
                  </pic:spPr>
                </pic:pic>
              </a:graphicData>
            </a:graphic>
          </wp:inline>
        </w:drawing>
      </w:r>
    </w:p>
    <w:p>
      <w:pPr>
        <w:spacing w:after="120" w:line="240" w:lineRule="auto"/>
        <w:jc w:val="center"/>
      </w:pPr>
      <w:r>
        <w:rPr>
          <w:rFonts w:ascii="Times New Roman" w:hAnsi="Times New Roman"/>
          <w:i/>
          <w:sz w:val="20"/>
        </w:rPr>
        <w:t>Figure 2. SHAP mean absolute value, top features, Alzubaidi.</w:t>
      </w:r>
    </w:p>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161, FP 73, FN 68, TP 116. The WCE confusion matrix is TN 156, FP 78, FN 70, TP 114. In the confusion matrices Low readiness is the negative class (TN + FP = 234) and High readiness the positive class (FN + TP = 184). A false positive is a Low-readiness student predicted High, that is an at-risk student missed (Baseline 73, WCE 78). A false negative is a High-readiness student predicted Low, that is a student over-served (Baseline 68, WCE 70). WCE increased false positives from 73 to 78 and did not reduce false negatives (68 vs 70). Baseline macro-F1 = 0.6587, AUC = 0.7075. WCE macro-F1 = 0.6423, AUC = 0.6997. The Baseline scores higher than WCE on this split; McNemar p = 0.2109, so this difference is not significant at the primary seed.</w:t>
      </w:r>
    </w:p>
    <w:p>
      <w:pPr>
        <w:spacing w:after="60" w:line="240" w:lineRule="auto"/>
        <w:jc w:val="center"/>
      </w:pPr>
      <w:r>
        <w:rPr>
          <w:noProof/>
        </w:rPr>
        <w:drawing>
          <wp:inline xmlns:wp="http://schemas.openxmlformats.org/drawingml/2006/wordprocessingDrawing" distT="0" distB="0" distL="0" distR="0">
            <wp:extent cx="5400000" cy="236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xmlns:r="http://schemas.openxmlformats.org/officeDocument/2006/relationships" r:embed="rId12"/>
                    <a:stretch>
                      <a:fillRect/>
                    </a:stretch>
                  </pic:blipFill>
                  <pic:spPr>
                    <a:xfrm>
                      <a:off x="0" y="0"/>
                      <a:ext cx="5400000" cy="2362500"/>
                    </a:xfrm>
                    <a:prstGeom prst="rect">
                      <a:avLst/>
                    </a:prstGeom>
                  </pic:spPr>
                </pic:pic>
              </a:graphicData>
            </a:graphic>
          </wp:inline>
        </w:drawing>
      </w:r>
    </w:p>
    <w:p>
      <w:pPr>
        <w:spacing w:after="120" w:line="240" w:lineRule="auto"/>
        <w:jc w:val="center"/>
      </w:pPr>
      <w:r>
        <w:rPr>
          <w:rFonts w:ascii="Times New Roman" w:hAnsi="Times New Roman"/>
          <w:i/>
          <w:sz w:val="20"/>
        </w:rPr>
        <w:t>Figure 3. Confusion matrices, KNUST held-out split (80/20).</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0.703</w:t>
            </w:r>
          </w:p>
        </w:tc>
        <w:tc>
          <w:tcPr>
            <w:tcW w:type="dxa" w:w="1728"/>
          </w:tcPr>
          <w:p>
            <w:r/>
            <w:r>
              <w:rPr>
                <w:rFonts w:ascii="Times New Roman" w:hAnsi="Times New Roman"/>
                <w:color w:val="000000"/>
                <w:sz w:val="18"/>
              </w:rPr>
              <w:t>0.688</w:t>
            </w:r>
          </w:p>
        </w:tc>
        <w:tc>
          <w:tcPr>
            <w:tcW w:type="dxa" w:w="1728"/>
          </w:tcPr>
          <w:p>
            <w:r/>
            <w:r>
              <w:rPr>
                <w:rFonts w:ascii="Times New Roman" w:hAnsi="Times New Roman"/>
                <w:color w:val="000000"/>
                <w:sz w:val="18"/>
              </w:rPr>
              <w:t>0.695</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0.614</w:t>
            </w:r>
          </w:p>
        </w:tc>
        <w:tc>
          <w:tcPr>
            <w:tcW w:type="dxa" w:w="1728"/>
          </w:tcPr>
          <w:p>
            <w:r/>
            <w:r>
              <w:rPr>
                <w:rFonts w:ascii="Times New Roman" w:hAnsi="Times New Roman"/>
                <w:color w:val="000000"/>
                <w:sz w:val="18"/>
              </w:rPr>
              <w:t>0.630</w:t>
            </w:r>
          </w:p>
        </w:tc>
        <w:tc>
          <w:tcPr>
            <w:tcW w:type="dxa" w:w="1728"/>
          </w:tcPr>
          <w:p>
            <w:r/>
            <w:r>
              <w:rPr>
                <w:rFonts w:ascii="Times New Roman" w:hAnsi="Times New Roman"/>
                <w:color w:val="000000"/>
                <w:sz w:val="18"/>
              </w:rPr>
              <w:t>0.622</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0.690</w:t>
            </w:r>
          </w:p>
        </w:tc>
        <w:tc>
          <w:tcPr>
            <w:tcW w:type="dxa" w:w="1728"/>
          </w:tcPr>
          <w:p>
            <w:r/>
            <w:r>
              <w:rPr>
                <w:rFonts w:ascii="Times New Roman" w:hAnsi="Times New Roman"/>
                <w:color w:val="000000"/>
                <w:sz w:val="18"/>
              </w:rPr>
              <w:t>0.667</w:t>
            </w:r>
          </w:p>
        </w:tc>
        <w:tc>
          <w:tcPr>
            <w:tcW w:type="dxa" w:w="1728"/>
          </w:tcPr>
          <w:p>
            <w:r/>
            <w:r>
              <w:rPr>
                <w:rFonts w:ascii="Times New Roman" w:hAnsi="Times New Roman"/>
                <w:color w:val="000000"/>
                <w:sz w:val="18"/>
              </w:rPr>
              <w:t>0.678</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0.594</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0.606</w:t>
            </w:r>
          </w:p>
        </w:tc>
      </w:tr>
    </w:tbl>
    <w:p/>
    <w:p>
      <w:pPr>
        <w:spacing w:after="160" w:line="360" w:lineRule="auto"/>
        <w:jc w:val="both"/>
      </w:pPr>
      <w:r>
        <w:rPr>
          <w:rFonts w:ascii="Times New Roman" w:hAnsi="Times New Roman"/>
          <w:b w:val="0"/>
          <w:i w:val="0"/>
          <w:color w:val="000000"/>
          <w:sz w:val="24"/>
        </w:rPr>
        <w:t>McNemar (held-out): b = 15 (baseline correct, WCE wrong), c = 8 (baseline wrong, WCE correct), chi-square = 1.565, p = 0.2109. The difference is not statistically significant. AUC: Baseline 0.7075, WCE 0.6997. The R09 McNemar result (p = 0.037) did not reproduce under any XGBoost version tested by the verifier; it is withdrawn. The held-out McNemar result is not stable across seeds: p ranges from 0.018 (seed 0, baseline correct where WCE is wrong 25 times against 10) to 0.532. The held-out comparison is therefore reported as inconclusive, and the 50-fold Wilcoxon comparison, which is non-significant under all five seeds, is the basis for the null conclusion.</w:t>
      </w:r>
    </w:p>
    <w:p>
      <w:pPr>
        <w:spacing w:after="80" w:line="360" w:lineRule="auto"/>
        <w:jc w:val="both"/>
      </w:pPr>
      <w:r>
        <w:rPr>
          <w:rFonts w:ascii="Times New Roman" w:hAnsi="Times New Roman"/>
          <w:b/>
          <w:color w:val="000000"/>
          <w:sz w:val="26"/>
        </w:rPr>
        <w:t>R7b. Held-out 80/20 Split Results, Alzubaidi</w:t>
      </w:r>
    </w:p>
    <w:p>
      <w:pPr>
        <w:spacing w:after="160" w:line="360" w:lineRule="auto"/>
        <w:jc w:val="both"/>
      </w:pPr>
      <w:r>
        <w:rPr>
          <w:rFonts w:ascii="Times New Roman" w:hAnsi="Times New Roman"/>
          <w:b w:val="0"/>
          <w:color w:val="000000"/>
          <w:sz w:val="20"/>
        </w:rPr>
        <w:t xml:space="preserve">On the Alzubaidi 80/20 held-out partition (n = 238), Baseline confusion matrix: TN 84, FP 36, FN 34, TP 84. WCE confusion matrix: TN 81, FP 39, FN 33, TP 85. Baseline macro F1 = 0.7059, AUC = 0.7829. WCE macro F1 = 0.6974, AUC = 0.7670. McNemar: b = 6, c = 4, chi2 = 0.100, p = 0.7518 (not significant).</w:t>
      </w:r>
    </w:p>
    <w:p>
      <w:pPr>
        <w:spacing w:after="60" w:line="240" w:lineRule="auto"/>
        <w:jc w:val="center"/>
      </w:pPr>
      <w:r>
        <w:rPr>
          <w:noProof/>
        </w:rPr>
        <w:drawing>
          <wp:inline xmlns:wp="http://schemas.openxmlformats.org/drawingml/2006/wordprocessingDrawing" distT="0" distB="0" distL="0" distR="0">
            <wp:extent cx="5400000" cy="2362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xmlns:r="http://schemas.openxmlformats.org/officeDocument/2006/relationships" r:embed="rId13"/>
                    <a:stretch>
                      <a:fillRect/>
                    </a:stretch>
                  </pic:blipFill>
                  <pic:spPr>
                    <a:xfrm>
                      <a:off x="0" y="0"/>
                      <a:ext cx="5400000" cy="2362500"/>
                    </a:xfrm>
                    <a:prstGeom prst="rect">
                      <a:avLst/>
                    </a:prstGeom>
                  </pic:spPr>
                </pic:pic>
              </a:graphicData>
            </a:graphic>
          </wp:inline>
        </w:drawing>
      </w:r>
    </w:p>
    <w:p>
      <w:pPr>
        <w:spacing w:after="120" w:line="240" w:lineRule="auto"/>
        <w:jc w:val="center"/>
      </w:pPr>
      <w:r>
        <w:rPr>
          <w:rFonts w:ascii="Times New Roman" w:hAnsi="Times New Roman"/>
          <w:i/>
          <w:sz w:val="20"/>
        </w:rPr>
        <w:t>Figure 4. Confusion matrices, Alzubaidi held-out split (80/20).</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0.5407, ns; Alzubaidi p = 0.1703, ns). Both legs give a null result. The R09 Alzubaidi finding (p = 0.0098) did not reproduce under any XGBoost version tested by the verifier; it is withdrawn. R11 pins the environment.</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at matched depth (both models at WCE-tuned depth): KNUST baseline 13.3 ms, WCE 13.3 ms; Alzubaidi baseline 11.2 ms, WCE 11.2 ms. The times are equal at this precision.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across both datasets and both statistical tests. KAB-XGBoost-WCE does not beat Baseline XGBoost on KNUST (p = 0.5407) or Alzubaidi (p = 0.1703). The weighting's isolated ablation contribution at depth 5 is -0.0055 (p = 0.1652, not significant). The honest conclusion is that the KAB asymmetry weighting adds no measurable value on either dataset in R11.</w:t>
      </w:r>
    </w:p>
    <w:p>
      <w:pPr>
        <w:spacing w:after="160" w:line="360" w:lineRule="auto"/>
        <w:jc w:val="both"/>
      </w:pPr>
      <w:r>
        <w:rPr>
          <w:rFonts w:ascii="Times New Roman" w:hAnsi="Times New Roman"/>
          <w:b w:val="0"/>
          <w:i w:val="0"/>
          <w:color w:val="000000"/>
          <w:sz w:val="24"/>
        </w:rPr>
        <w:t>Second, the artificial-skew test (25% minority, n = 1556) shows: Baseline F1 = 0.5555, WCE F1 = 0.559 (gain +0.0035, p = 0.3642 vs Baseline), stock scale_pos_weight F1 = 0.6096 (gain +0.0541 vs Baseline; Wilcoxon p &lt; 0.001 vs WCE). Under genuine imbalance the class-ratio weight outperforms WCE. The KAB asymmetry weighting does not help on KNUST even when imbalance is the primary concern. On Alzubaidi (n = 796): Baseline F1 = 0.6202, WCE F1 = 0.6116 (gain -0.0086, p = 0.0176 vs Baseline), stock scale_pos_weight F1 = 0.6369 (gain +0.0167; Wilcoxon p = 0.0029 vs WCE). The KAB weighting does not help on either dataset under artificial imbalance. On Alzubaidi, WCE is significantly worse than the baseline under artificial skew (p = 0.0176, uncorrected).</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0.6163, unlimited 0.5785. The unlimited tree is the weakest, not the strongest: once duplicate rows are removed the memorisation advantage disappears. Note: the unlimited-tree value here (0.5785) differs from the 5-fold mean in Table R10a (0.5634) because the depth curve uses all 17 features on 5x10 folds, while Table R10a uses the ten Likert items only, on 5 folds, so the two unlimited-depth figures are not directly comparable.</w:t>
      </w:r>
    </w:p>
    <w:p>
      <w:pPr>
        <w:pStyle w:val="Normal"/>
      </w:pPr>
      <w:r>
        <w:rPr>
          <w:i/>
        </w:rPr>
        <w:t xml:space="preserve">Table R10a. Decision Tree and Random Forest on raw (4,121 rows) versus deduplicated (2,088 rows) KNUST data, 5-fold cross-validation. Mean test-set rows with a training-set twin are also shown.</w:t>
      </w:r>
    </w:p>
    <w:tbl>
      <w:tblPr>
        <w:tblStyle w:val="TableGrid"/>
        <w:tblW w:w="8000" w:type="dxa"/>
      </w:tblPr>
      <w:tblGrid>
        <w:gridCol w:w="1500"/>
        <w:gridCol w:w="1500"/>
        <w:gridCol w:w="1500"/>
        <w:gridCol w:w="1500"/>
        <w:gridCol w:w="2000"/>
      </w:tblGrid>
      <w:tr>
        <w:tc>
          <w:tcPr>
            <w:tcW w:w="1500" w:type="dxa"/>
            <w:shd w:val="clear" w:color="auto" w:fill="CCCCCC"/>
          </w:tcPr>
          <w:p>
            <w:r>
              <w:rPr>
                <w:b/>
              </w:rPr>
              <w:t>Dataset</w:t>
            </w:r>
          </w:p>
        </w:tc>
        <w:tc>
          <w:tcPr>
            <w:tcW w:w="1500" w:type="dxa"/>
            <w:shd w:val="clear" w:color="auto" w:fill="CCCCCC"/>
          </w:tcPr>
          <w:p>
            <w:r>
              <w:rPr>
                <w:b/>
              </w:rPr>
              <w:t>DT Macro F1</w:t>
            </w:r>
          </w:p>
        </w:tc>
        <w:tc>
          <w:tcPr>
            <w:tcW w:w="1500" w:type="dxa"/>
            <w:shd w:val="clear" w:color="auto" w:fill="CCCCCC"/>
          </w:tcPr>
          <w:p>
            <w:r>
              <w:rPr>
                <w:b/>
              </w:rPr>
              <w:t>DT SD</w:t>
            </w:r>
          </w:p>
        </w:tc>
        <w:tc>
          <w:tcPr>
            <w:tcW w:w="1500" w:type="dxa"/>
            <w:shd w:val="clear" w:color="auto" w:fill="CCCCCC"/>
          </w:tcPr>
          <w:p>
            <w:r>
              <w:rPr>
                <w:b/>
              </w:rPr>
              <w:t>RF Macro F1</w:t>
            </w:r>
          </w:p>
        </w:tc>
        <w:tc>
          <w:tcPr>
            <w:tcW w:w="2000" w:type="dxa"/>
            <w:shd w:val="clear" w:color="auto" w:fill="CCCCCC"/>
          </w:tcPr>
          <w:p>
            <w:r>
              <w:rPr>
                <w:b/>
              </w:rPr>
              <w:t>Mean test twins</w:t>
            </w:r>
          </w:p>
        </w:tc>
      </w:tr>
      <w:tr>
        <w:tc>
          <w:tcPr>
            <w:tcW w:w="1500" w:type="dxa"/>
          </w:tcPr>
          <w:p>
            <w:r>
              <w:t>Raw (4,121 rows)</w:t>
            </w:r>
          </w:p>
        </w:tc>
        <w:tc>
          <w:tcPr>
            <w:tcW w:w="1500" w:type="dxa"/>
          </w:tcPr>
          <w:p>
            <w:r>
              <w:t>0.8982</w:t>
            </w:r>
          </w:p>
        </w:tc>
        <w:tc>
          <w:tcPr>
            <w:tcW w:w="1500" w:type="dxa"/>
          </w:tcPr>
          <w:p>
            <w:r>
              <w:t>0.0103</w:t>
            </w:r>
          </w:p>
        </w:tc>
        <w:tc>
          <w:tcPr>
            <w:tcW w:w="1500" w:type="dxa"/>
          </w:tcPr>
          <w:p>
            <w:r>
              <w:t>0.9046</w:t>
            </w:r>
          </w:p>
        </w:tc>
        <w:tc>
          <w:tcPr>
            <w:tcW w:w="2000" w:type="dxa"/>
          </w:tcPr>
          <w:p>
            <w:r>
              <w:t>641.2 per fold</w:t>
            </w:r>
          </w:p>
        </w:tc>
      </w:tr>
      <w:tr>
        <w:tc>
          <w:tcPr>
            <w:tcW w:w="1500" w:type="dxa"/>
          </w:tcPr>
          <w:p>
            <w:r>
              <w:t>Dedup (2,088 rows)</w:t>
            </w:r>
          </w:p>
        </w:tc>
        <w:tc>
          <w:tcPr>
            <w:tcW w:w="1500" w:type="dxa"/>
          </w:tcPr>
          <w:p>
            <w:r>
              <w:t>0.5634</w:t>
            </w:r>
          </w:p>
        </w:tc>
        <w:tc>
          <w:tcPr>
            <w:tcW w:w="1500" w:type="dxa"/>
          </w:tcPr>
          <w:p>
            <w:r>
              <w:t>0.0218</w:t>
            </w:r>
          </w:p>
        </w:tc>
        <w:tc>
          <w:tcPr>
            <w:tcW w:w="1500" w:type="dxa"/>
          </w:tcPr>
          <w:p>
            <w:r>
              <w:t>0.6247</w:t>
            </w:r>
          </w:p>
        </w:tc>
        <w:tc>
          <w:tcPr>
            <w:tcW w:w="2000" w:type="dxa"/>
          </w:tcPr>
          <w:p>
            <w:r>
              <w:t>8.0 per fold</w:t>
            </w:r>
          </w:p>
        </w:tc>
      </w:tr>
    </w:tbl>
    <w:p>
      <w:pPr>
        <w:pStyle w:val="Normal"/>
      </w:pPr>
      <w:r>
        <w:t xml:space="preserve">The raw data inflates DT and RF accuracy to 0.90 because 641 of the test rows per fold have an exact duplicate in training. After deduplication the figures drop to 0.5634 and 0.6247, well below XGBoost with tuning. This confirms that removing duplicates before modelling is correct and that the R09 pre-deduplication results were not trustworthy.</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In each of 100 trials every Likert cell in the held-out rows was shifted by plus or minus 1 with probability 0.10 (clipped to 1-5), K_agg and A_agg were recomputed, and the tuned WCE model scored the result. Separately, the held-out predictions were bootstrapped 1,000 times for the interval. KNUST: base F1 = 0.6423, perturbed mean = 0.6369 (SD = 0.0093), change = -0.0055, bootstrap 95% CI [0.5956, 0.6884]. Alzubaidi: base F1 = 0.6974, perturbed mean = 0.6934 (SD = 0.0148), change = -0.004, bootstrap 95% CI [0.6384, 0.7561]. Both datasets show small change under this perturbation.</w:t>
      </w:r>
    </w:p>
    <w:p>
      <w:pPr>
        <w:spacing w:after="160" w:line="360" w:lineRule="auto"/>
        <w:jc w:val="both"/>
      </w:pPr>
      <w:r>
        <w:rPr>
          <w:rFonts w:ascii="Times New Roman" w:hAnsi="Times New Roman"/>
          <w:b w:val="0"/>
          <w:i w:val="0"/>
          <w:color w:val="000000"/>
          <w:sz w:val="24"/>
        </w:rPr>
        <w:t>Seed sensitivity. The full 5x10 CV was repeated across five seeds (0, 7, 13, 21, 42). Delta (WCE minus Baseline) ranged from -0.0033 to +0.0020 on KNUST (seeds 13 and 42 favour WCE) and from -0.0013 to +0.0041 on Alzubaidi. All p-values lie between 0.160 and 0.791. No seed produced a significant WCE advantage on either dataset. The null result is stable and not an artefact of the default seed.</w:t>
      </w:r>
    </w:p>
    <w:p>
      <w:pPr>
        <w:spacing w:after="60" w:line="240" w:lineRule="auto"/>
        <w:jc w:val="center"/>
      </w:pPr>
      <w:r>
        <w:rPr>
          <w:noProof/>
        </w:rPr>
        <w:drawing>
          <wp:inline xmlns:wp="http://schemas.openxmlformats.org/drawingml/2006/wordprocessingDrawing" distT="0" distB="0" distL="0" distR="0">
            <wp:extent cx="5400000" cy="2700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xmlns:r="http://schemas.openxmlformats.org/officeDocument/2006/relationships" r:embed="rId14"/>
                    <a:stretch>
                      <a:fillRect/>
                    </a:stretch>
                  </pic:blipFill>
                  <pic:spPr>
                    <a:xfrm>
                      <a:off x="0" y="0"/>
                      <a:ext cx="5400000" cy="2700000"/>
                    </a:xfrm>
                    <a:prstGeom prst="rect">
                      <a:avLst/>
                    </a:prstGeom>
                  </pic:spPr>
                </pic:pic>
              </a:graphicData>
            </a:graphic>
          </wp:inline>
        </w:drawing>
      </w:r>
    </w:p>
    <w:p>
      <w:pPr>
        <w:spacing w:after="120" w:line="240" w:lineRule="auto"/>
        <w:jc w:val="center"/>
      </w:pPr>
      <w:r>
        <w:rPr>
          <w:rFonts w:ascii="Times New Roman" w:hAnsi="Times New Roman"/>
          <w:i/>
          <w:sz w:val="20"/>
        </w:rPr>
        <w:t>Figure 5. Macro F1 stability across 5 seeds, KNUST.</w:t>
      </w:r>
    </w:p>
    <w:p>
      <w:pPr>
        <w:spacing w:after="60" w:line="240" w:lineRule="auto"/>
        <w:jc w:val="center"/>
      </w:pPr>
      <w:r>
        <w:rPr>
          <w:noProof/>
        </w:rPr>
        <w:drawing>
          <wp:inline xmlns:wp="http://schemas.openxmlformats.org/drawingml/2006/wordprocessingDrawing" distT="0" distB="0" distL="0" distR="0">
            <wp:extent cx="5400000" cy="2700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xmlns:r="http://schemas.openxmlformats.org/officeDocument/2006/relationships" r:embed="rId15"/>
                    <a:stretch>
                      <a:fillRect/>
                    </a:stretch>
                  </pic:blipFill>
                  <pic:spPr>
                    <a:xfrm>
                      <a:off x="0" y="0"/>
                      <a:ext cx="5400000" cy="2700000"/>
                    </a:xfrm>
                    <a:prstGeom prst="rect">
                      <a:avLst/>
                    </a:prstGeom>
                  </pic:spPr>
                </pic:pic>
              </a:graphicData>
            </a:graphic>
          </wp:inline>
        </w:drawing>
      </w:r>
    </w:p>
    <w:p>
      <w:pPr>
        <w:spacing w:after="120" w:line="240" w:lineRule="auto"/>
        <w:jc w:val="center"/>
      </w:pPr>
      <w:r>
        <w:rPr>
          <w:rFonts w:ascii="Times New Roman" w:hAnsi="Times New Roman"/>
          <w:i/>
          <w:sz w:val="20"/>
        </w:rPr>
        <w:t>Figure 6. Macro F1 stability across 5 seeds, Alzubaidi.</w:t>
      </w:r>
    </w:p>
    <w:p>
      <w:pPr>
        <w:spacing w:after="160" w:line="360" w:lineRule="auto"/>
        <w:jc w:val="both"/>
      </w:pPr>
      <w:r>
        <w:rPr>
          <w:rFonts w:ascii="Times New Roman" w:hAnsi="Times New Roman"/>
          <w:b w:val="0"/>
          <w:i w:val="0"/>
          <w:color w:val="000000"/>
          <w:sz w:val="24"/>
        </w:rPr>
        <w:t>Subgroup analysis and threshold sensitivity are in Table 7. The null result holds at tertile and quartile thresholds as well as at the median. Subgroup results are in Table 7; Year 2 shows a WCE-minus-baseline gap of -0.0195, the largest of the three year groups. No subgroup significance test was run.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2</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WCE 0.6309 / Base 0.6504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3</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WCE 0.6689 / Base 0.6573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4</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WCE 0.6587 / Base 0.6483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WCE 0.6617 / Base 0.6569</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WCE 0.6298 / Base 0.6274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 55.9%</w:t>
            </w:r>
          </w:p>
        </w:tc>
        <w:tc>
          <w:tcPr>
            <w:tcW w:type="dxa" w:w="2160"/>
          </w:tcPr>
          <w:p>
            <w:r/>
            <w:r>
              <w:rPr>
                <w:rFonts w:ascii="Times New Roman" w:hAnsi="Times New Roman"/>
                <w:color w:val="000000"/>
                <w:sz w:val="18"/>
              </w:rPr>
              <w:t>Base 0.6500 / WCE 0.6518</w:t>
            </w:r>
          </w:p>
        </w:tc>
        <w:tc>
          <w:tcPr>
            <w:tcW w:type="dxa" w:w="2160"/>
          </w:tcPr>
          <w:p>
            <w:r/>
            <w:r>
              <w:rPr>
                <w:rFonts w:ascii="Times New Roman" w:hAnsi="Times New Roman"/>
                <w:color w:val="000000"/>
                <w:sz w:val="18"/>
              </w:rPr>
              <w:t>p=0.5407</w:t>
            </w:r>
          </w:p>
        </w:tc>
      </w:tr>
      <w:tr>
        <w:tc>
          <w:tcPr>
            <w:tcW w:type="dxa" w:w="2160"/>
          </w:tcPr>
          <w:p>
            <w:r/>
            <w:r>
              <w:rPr>
                <w:rFonts w:ascii="Times New Roman" w:hAnsi="Times New Roman"/>
                <w:color w:val="000000"/>
                <w:sz w:val="18"/>
              </w:rPr>
              <w:t>Threshold: tertile cut</w:t>
            </w:r>
          </w:p>
        </w:tc>
        <w:tc>
          <w:tcPr>
            <w:tcW w:type="dxa" w:w="2160"/>
          </w:tcPr>
          <w:p>
            <w:r/>
            <w:r>
              <w:rPr>
                <w:rFonts w:ascii="Times New Roman" w:hAnsi="Times New Roman"/>
                <w:color w:val="000000"/>
                <w:sz w:val="18"/>
              </w:rPr>
              <w:t>Low = 70%</w:t>
            </w:r>
          </w:p>
        </w:tc>
        <w:tc>
          <w:tcPr>
            <w:tcW w:type="dxa" w:w="2160"/>
          </w:tcPr>
          <w:p>
            <w:r/>
            <w:r>
              <w:rPr>
                <w:rFonts w:ascii="Times New Roman" w:hAnsi="Times New Roman"/>
                <w:color w:val="000000"/>
                <w:sz w:val="18"/>
              </w:rPr>
              <w:t>Base 0.6072 / WCE 0.6110</w:t>
            </w:r>
          </w:p>
        </w:tc>
        <w:tc>
          <w:tcPr>
            <w:tcW w:type="dxa" w:w="2160"/>
          </w:tcPr>
          <w:p>
            <w:r/>
            <w:r>
              <w:rPr>
                <w:rFonts w:ascii="Times New Roman" w:hAnsi="Times New Roman"/>
                <w:color w:val="000000"/>
                <w:sz w:val="18"/>
              </w:rPr>
              <w:t>p=0.1812</w:t>
            </w:r>
          </w:p>
        </w:tc>
      </w:tr>
      <w:tr>
        <w:tc>
          <w:tcPr>
            <w:tcW w:type="dxa" w:w="2160"/>
          </w:tcPr>
          <w:p>
            <w:r/>
            <w:r>
              <w:rPr>
                <w:rFonts w:ascii="Times New Roman" w:hAnsi="Times New Roman"/>
                <w:color w:val="000000"/>
                <w:sz w:val="18"/>
              </w:rPr>
              <w:t>Threshold: quartile cut</w:t>
            </w:r>
          </w:p>
        </w:tc>
        <w:tc>
          <w:tcPr>
            <w:tcW w:type="dxa" w:w="2160"/>
          </w:tcPr>
          <w:p>
            <w:r/>
            <w:r>
              <w:rPr>
                <w:rFonts w:ascii="Times New Roman" w:hAnsi="Times New Roman"/>
                <w:color w:val="000000"/>
                <w:sz w:val="18"/>
              </w:rPr>
              <w:t>Low = 76%</w:t>
            </w:r>
          </w:p>
        </w:tc>
        <w:tc>
          <w:tcPr>
            <w:tcW w:type="dxa" w:w="2160"/>
          </w:tcPr>
          <w:p>
            <w:r/>
            <w:r>
              <w:rPr>
                <w:rFonts w:ascii="Times New Roman" w:hAnsi="Times New Roman"/>
                <w:color w:val="000000"/>
                <w:sz w:val="18"/>
              </w:rPr>
              <w:t>Base 0.5762 / WCE 0.5729</w:t>
            </w:r>
          </w:p>
        </w:tc>
        <w:tc>
          <w:tcPr>
            <w:tcW w:type="dxa" w:w="2160"/>
          </w:tcPr>
          <w:p>
            <w:r/>
            <w:r>
              <w:rPr>
                <w:rFonts w:ascii="Times New Roman" w:hAnsi="Times New Roman"/>
                <w:color w:val="000000"/>
                <w:sz w:val="18"/>
              </w:rPr>
              <w:t>p=0.3051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p>
      <w:pPr>
        <w:pStyle w:val="Heading2"/>
      </w:pPr>
      <w:r>
        <w:rPr>
          <w:rFonts w:ascii="Times New Roman" w:hAnsi="Times New Roman"/>
          <w:sz w:val="24"/>
          <w:b/>
        </w:rPr>
        <w:t>Q7. Claims-to-Evidence Traceability Table</w:t>
      </w:r>
    </w:p>
    <w:p>
      <w:r>
        <w:rPr>
          <w:rFonts w:ascii="Times New Roman" w:hAnsi="Times New Roman"/>
          <w:sz w:val="18"/>
        </w:rPr>
        <w:t xml:space="preserve">Every quantitative claim in this document maps to a row below. The source column names the file or section of manuscript_tables.txt that holds the raw number. All numbers come from a single R11 pipeline run.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800"/>
          </w:tcPr>
          <w:p>
            <w:r>
              <w:rPr>
                <w:rFonts w:ascii="Times New Roman" w:hAnsi="Times New Roman"/>
                <w:sz w:val="18"/>
                <w:b/>
              </w:rPr>
              <w:t xml:space="preserve">Claim</w:t>
            </w:r>
          </w:p>
        </w:tc>
        <w:tc>
          <w:tcPr>
            <w:tcW w:type="dxa" w:w="800"/>
          </w:tcPr>
          <w:p>
            <w:r>
              <w:rPr>
                <w:rFonts w:ascii="Times New Roman" w:hAnsi="Times New Roman"/>
                <w:sz w:val="18"/>
                <w:b/>
              </w:rPr>
              <w:t xml:space="preserve">Section</w:t>
            </w:r>
          </w:p>
        </w:tc>
        <w:tc>
          <w:tcPr>
            <w:tcW w:type="dxa" w:w="2400"/>
          </w:tcPr>
          <w:p>
            <w:r>
              <w:rPr>
                <w:rFonts w:ascii="Times New Roman" w:hAnsi="Times New Roman"/>
                <w:sz w:val="18"/>
                <w:b/>
              </w:rPr>
              <w:t xml:space="preserve">Source</w:t>
            </w:r>
          </w:p>
        </w:tc>
        <w:tc>
          <w:tcPr>
            <w:tcW w:type="dxa" w:w="2000"/>
          </w:tcPr>
          <w:p>
            <w:r>
              <w:rPr>
                <w:rFonts w:ascii="Times New Roman" w:hAnsi="Times New Roman"/>
                <w:sz w:val="18"/>
                <w:b/>
              </w:rPr>
              <w:t xml:space="preserve">Verified value</w:t>
            </w:r>
          </w:p>
        </w:tc>
        <w:tc>
          <w:tcPr>
            <w:tcW w:type="dxa" w:w="1400"/>
          </w:tcPr>
          <w:p>
            <w:r>
              <w:rPr>
                <w:rFonts w:ascii="Times New Roman" w:hAnsi="Times New Roman"/>
                <w:sz w:val="18"/>
                <w:b/>
              </w:rPr>
              <w:t xml:space="preserve">Status</w:t>
            </w:r>
          </w:p>
        </w:tc>
      </w:tr>
      <w:tr>
        <w:tc>
          <w:tcPr>
            <w:tcW w:type="dxa" w:w="3800"/>
          </w:tcPr>
          <w:p>
            <w:r>
              <w:rPr>
                <w:rFonts w:ascii="Times New Roman" w:hAnsi="Times New Roman"/>
                <w:sz w:val="18"/>
              </w:rPr>
              <w:t xml:space="preserve">KNUST: 4,121 raw responses, 2,033 duplicates removed, 2,088 unique retained</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raw=4121, removed=2033, unique=2088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class balance: Low 1,167 (55.9%), High 921 (44.1%)</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Low=1167 (55.9%), High=921 (44.1%)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44 duplicates removed from 1,231 raw, leaving 1,187 unique</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raw=1231, removed=44, unique=1187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class balance: Low 597 (50.3%), High 590 (49.7%)</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Low=597 (50.3%), High=590 (49.7%)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macro F1 = 0.6518 (SD 0.0332)</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0.6518 SD=0.0332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Baseline macro F1 = 0.6500 (SD 0.0347)</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0.6500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vs Baseline: W+=674, W-=551, ties=1, p=0.5407, r=0.0874</w:t>
            </w:r>
          </w:p>
        </w:tc>
        <w:tc>
          <w:tcPr>
            <w:tcW w:type="dxa" w:w="800"/>
          </w:tcPr>
          <w:p>
            <w:r>
              <w:rPr>
                <w:rFonts w:ascii="Times New Roman" w:hAnsi="Times New Roman"/>
                <w:sz w:val="18"/>
              </w:rPr>
              <w:t xml:space="preserve">R2 / R3</w:t>
            </w:r>
          </w:p>
        </w:tc>
        <w:tc>
          <w:tcPr>
            <w:tcW w:type="dxa" w:w="2400"/>
          </w:tcPr>
          <w:p>
            <w:r>
              <w:rPr>
                <w:rFonts w:ascii="Times New Roman" w:hAnsi="Times New Roman"/>
                <w:sz w:val="18"/>
              </w:rPr>
              <w:t xml:space="preserve">manuscript_tables.txt Table 3a + WCE vs Baseline row</w:t>
            </w:r>
          </w:p>
        </w:tc>
        <w:tc>
          <w:tcPr>
            <w:tcW w:type="dxa" w:w="2000"/>
          </w:tcPr>
          <w:p>
            <w:r>
              <w:rPr>
                <w:rFonts w:ascii="Times New Roman" w:hAnsi="Times New Roman"/>
                <w:sz w:val="18"/>
              </w:rPr>
              <w:t xml:space="preserve">W+=674 W-=551 ties=1 p=0.5407 r=0.0874</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macro F1 = 0.6877 (SD 0.0545)</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0.6877 SD=0.0545</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Baseline macro F1 = 0.6844 (SD 0.0561)</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0.6844 SD=0.0561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vs Baseline: W+=612.5, W-=377.5, ties=6, p=0.1703, r=0.2067</w:t>
            </w:r>
          </w:p>
        </w:tc>
        <w:tc>
          <w:tcPr>
            <w:tcW w:type="dxa" w:w="800"/>
          </w:tcPr>
          <w:p>
            <w:r>
              <w:rPr>
                <w:rFonts w:ascii="Times New Roman" w:hAnsi="Times New Roman"/>
                <w:sz w:val="18"/>
              </w:rPr>
              <w:t xml:space="preserve">R4</w:t>
            </w:r>
          </w:p>
        </w:tc>
        <w:tc>
          <w:tcPr>
            <w:tcW w:type="dxa" w:w="2400"/>
          </w:tcPr>
          <w:p>
            <w:r>
              <w:rPr>
                <w:rFonts w:ascii="Times New Roman" w:hAnsi="Times New Roman"/>
                <w:sz w:val="18"/>
              </w:rPr>
              <w:t xml:space="preserve">manuscript_tables.txt Table 3b WCE vs Baseline row</w:t>
            </w:r>
          </w:p>
        </w:tc>
        <w:tc>
          <w:tcPr>
            <w:tcW w:type="dxa" w:w="2000"/>
          </w:tcPr>
          <w:p>
            <w:r>
              <w:rPr>
                <w:rFonts w:ascii="Times New Roman" w:hAnsi="Times New Roman"/>
                <w:sz w:val="18"/>
              </w:rPr>
              <w:t xml:space="preserve">W+=612.5 W-=377.5 ties=6 p=0.1703 r=0.2067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Naive Bayes F1 = 0.6598, Wilcoxon p = 0.0236 vs WCE</w:t>
            </w:r>
          </w:p>
        </w:tc>
        <w:tc>
          <w:tcPr>
            <w:tcW w:type="dxa" w:w="800"/>
          </w:tcPr>
          <w:p>
            <w:r>
              <w:rPr>
                <w:rFonts w:ascii="Times New Roman" w:hAnsi="Times New Roman"/>
                <w:sz w:val="18"/>
              </w:rPr>
              <w:t xml:space="preserve">R2</w:t>
            </w:r>
          </w:p>
        </w:tc>
        <w:tc>
          <w:tcPr>
            <w:tcW w:type="dxa" w:w="2400"/>
          </w:tcPr>
          <w:p>
            <w:r>
              <w:rPr>
                <w:rFonts w:ascii="Times New Roman" w:hAnsi="Times New Roman"/>
                <w:sz w:val="18"/>
              </w:rPr>
              <w:t xml:space="preserve">manuscript_tables.txt Table 3a</w:t>
            </w:r>
          </w:p>
        </w:tc>
        <w:tc>
          <w:tcPr>
            <w:tcW w:type="dxa" w:w="2000"/>
          </w:tcPr>
          <w:p>
            <w:r>
              <w:rPr>
                <w:rFonts w:ascii="Times New Roman" w:hAnsi="Times New Roman"/>
                <w:sz w:val="18"/>
              </w:rPr>
              <w:t xml:space="preserve">NB=0.6598 p=0.0236 r=0.3188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A (no weights, depth 5): 0.6510 (SD 0.0366)</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0.6510 SD=0.0366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B (no weights, depth 3): 0.6521 (SD 0.0342)</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0.6521 SD=0.0342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C (WCE, depth 5): 0.6455 (SD 0.0329)</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0.6455 SD=0.0329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D (WCE, depth 3): 0.6537 (SD 0.0347)</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0.6537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Depth contribution (B-A) = +0.0011, p = 0.8939</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B-A=+0.0011 p=0.8939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5 (C-A) = -0.0055, p = 0.1652</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C-A=-0.0055 p=0.1652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3 (D-B) = +0.0016, p = 0.5157</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D-B=+0.0016 p=0.5157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SHAP: K_agg = 0.4323 (rank 1), A_agg = 0.3406 (rank 2)</w:t>
            </w:r>
          </w:p>
        </w:tc>
        <w:tc>
          <w:tcPr>
            <w:tcW w:type="dxa" w:w="800"/>
          </w:tcPr>
          <w:p>
            <w:r>
              <w:rPr>
                <w:rFonts w:ascii="Times New Roman" w:hAnsi="Times New Roman"/>
                <w:sz w:val="18"/>
              </w:rPr>
              <w:t xml:space="preserve">R6 / Table 6a</w:t>
            </w:r>
          </w:p>
        </w:tc>
        <w:tc>
          <w:tcPr>
            <w:tcW w:type="dxa" w:w="2400"/>
          </w:tcPr>
          <w:p>
            <w:r>
              <w:rPr>
                <w:rFonts w:ascii="Times New Roman" w:hAnsi="Times New Roman"/>
                <w:sz w:val="18"/>
              </w:rPr>
              <w:t xml:space="preserve">manuscript_tables.txt Table 6a</w:t>
            </w:r>
          </w:p>
        </w:tc>
        <w:tc>
          <w:tcPr>
            <w:tcW w:type="dxa" w:w="2000"/>
          </w:tcPr>
          <w:p>
            <w:r>
              <w:rPr>
                <w:rFonts w:ascii="Times New Roman" w:hAnsi="Times New Roman"/>
                <w:sz w:val="18"/>
              </w:rPr>
              <w:t xml:space="preserve">K_agg=0.4323 A_agg=0.3406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SHAP: B18_3 = 0.4288 (rank 1), A_agg = 0.1801 (rank 4)</w:t>
            </w:r>
          </w:p>
        </w:tc>
        <w:tc>
          <w:tcPr>
            <w:tcW w:type="dxa" w:w="800"/>
          </w:tcPr>
          <w:p>
            <w:r>
              <w:rPr>
                <w:rFonts w:ascii="Times New Roman" w:hAnsi="Times New Roman"/>
                <w:sz w:val="18"/>
              </w:rPr>
              <w:t xml:space="preserve">R6 / Table 6b</w:t>
            </w:r>
          </w:p>
        </w:tc>
        <w:tc>
          <w:tcPr>
            <w:tcW w:type="dxa" w:w="2400"/>
          </w:tcPr>
          <w:p>
            <w:r>
              <w:rPr>
                <w:rFonts w:ascii="Times New Roman" w:hAnsi="Times New Roman"/>
                <w:sz w:val="18"/>
              </w:rPr>
              <w:t xml:space="preserve">manuscript_tables.txt Table 6b</w:t>
            </w:r>
          </w:p>
        </w:tc>
        <w:tc>
          <w:tcPr>
            <w:tcW w:type="dxa" w:w="2000"/>
          </w:tcPr>
          <w:p>
            <w:r>
              <w:rPr>
                <w:rFonts w:ascii="Times New Roman" w:hAnsi="Times New Roman"/>
                <w:sz w:val="18"/>
              </w:rPr>
              <w:t xml:space="preserve">B18_3=0.4288 A_agg=0.1801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Baseline F1 = 0.6587, AUC = 0.7075; WCE F1 = 0.6423, AUC = 0.6997</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Base F1=0.6587 AUC=0.7075; WCE F1=0.6423 AUC=0.6997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McNemar: b=15, c=8, chi2=1.565, p=0.2109</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b=15 c=8 chi2=1.565 p=0.2109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held-out: Baseline F1=0.7059, WCE F1=0.6974; McNemar p=0.7518</w:t>
            </w:r>
          </w:p>
        </w:tc>
        <w:tc>
          <w:tcPr>
            <w:tcW w:type="dxa" w:w="800"/>
          </w:tcPr>
          <w:p>
            <w:r>
              <w:rPr>
                <w:rFonts w:ascii="Times New Roman" w:hAnsi="Times New Roman"/>
                <w:sz w:val="18"/>
              </w:rPr>
              <w:t xml:space="preserve">R7 / Table 5b</w:t>
            </w:r>
          </w:p>
        </w:tc>
        <w:tc>
          <w:tcPr>
            <w:tcW w:type="dxa" w:w="2400"/>
          </w:tcPr>
          <w:p>
            <w:r>
              <w:rPr>
                <w:rFonts w:ascii="Times New Roman" w:hAnsi="Times New Roman"/>
                <w:sz w:val="18"/>
              </w:rPr>
              <w:t xml:space="preserve">manuscript_tables.txt Table 5b</w:t>
            </w:r>
          </w:p>
        </w:tc>
        <w:tc>
          <w:tcPr>
            <w:tcW w:type="dxa" w:w="2000"/>
          </w:tcPr>
          <w:p>
            <w:r>
              <w:rPr>
                <w:rFonts w:ascii="Times New Roman" w:hAnsi="Times New Roman"/>
                <w:sz w:val="18"/>
              </w:rPr>
              <w:t xml:space="preserve">Base F1=0.7059 WCE F1=0.6974 p=0.7518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Timing: KNUST baseline 13.3 ms, WCE 13.3 ms; Alzubaidi baseline 11.2 ms, WCE 11.2 ms</w:t>
            </w:r>
          </w:p>
        </w:tc>
        <w:tc>
          <w:tcPr>
            <w:tcW w:type="dxa" w:w="800"/>
          </w:tcPr>
          <w:p>
            <w:r>
              <w:rPr>
                <w:rFonts w:ascii="Times New Roman" w:hAnsi="Times New Roman"/>
                <w:sz w:val="18"/>
              </w:rPr>
              <w:t xml:space="preserve">R9</w:t>
            </w:r>
          </w:p>
        </w:tc>
        <w:tc>
          <w:tcPr>
            <w:tcW w:type="dxa" w:w="2400"/>
          </w:tcPr>
          <w:p>
            <w:r>
              <w:rPr>
                <w:rFonts w:ascii="Times New Roman" w:hAnsi="Times New Roman"/>
                <w:sz w:val="18"/>
              </w:rPr>
              <w:t xml:space="preserve">manuscript_tables.txt KEY NUMBERS TIMING</w:t>
            </w:r>
          </w:p>
        </w:tc>
        <w:tc>
          <w:tcPr>
            <w:tcW w:type="dxa" w:w="2000"/>
          </w:tcPr>
          <w:p>
            <w:r>
              <w:rPr>
                <w:rFonts w:ascii="Times New Roman" w:hAnsi="Times New Roman"/>
                <w:sz w:val="18"/>
              </w:rPr>
              <w:t xml:space="preserve">KNUST=13.3/13.3ms Alzubaidi=11.2/11.2ms</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Skew test: WCE F1=0.559 vs Baseline 0.5555 (p=0.3642); stock SPW=0.6096 (p&lt;0.001 vs WCE)</w:t>
            </w:r>
          </w:p>
        </w:tc>
        <w:tc>
          <w:tcPr>
            <w:tcW w:type="dxa" w:w="800"/>
          </w:tcPr>
          <w:p>
            <w:r>
              <w:rPr>
                <w:rFonts w:ascii="Times New Roman" w:hAnsi="Times New Roman"/>
                <w:sz w:val="18"/>
              </w:rPr>
              <w:t xml:space="preserve">R10</w:t>
            </w:r>
          </w:p>
        </w:tc>
        <w:tc>
          <w:tcPr>
            <w:tcW w:type="dxa" w:w="2400"/>
          </w:tcPr>
          <w:p>
            <w:r>
              <w:rPr>
                <w:rFonts w:ascii="Times New Roman" w:hAnsi="Times New Roman"/>
                <w:sz w:val="18"/>
              </w:rPr>
              <w:t xml:space="preserve">manuscript_tables.txt KEY NUMBERS SKEW TEST</w:t>
            </w:r>
          </w:p>
        </w:tc>
        <w:tc>
          <w:tcPr>
            <w:tcW w:type="dxa" w:w="2000"/>
          </w:tcPr>
          <w:p>
            <w:r>
              <w:rPr>
                <w:rFonts w:ascii="Times New Roman" w:hAnsi="Times New Roman"/>
                <w:sz w:val="18"/>
              </w:rPr>
              <w:t xml:space="preserve">WCE=0.559 Base=0.5555 p=0.3642 SPW=0.6096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KNUST: base F1=0.6423, mean=0.6369 (SD=0.0093), CI [0.5956, 0.6884]</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base=0.6423 mean=0.6369 SD=0.0093</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Alzubaidi: base F1=0.6974, mean=0.6934 (SD=0.0148), CI [0.6384, 0.7561]</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base=0.6974 mean=0.6934 SD=0.0148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Seed sensitivity: KNUST delta range -0.0033 to +0.0041, all p&gt;0.05</w:t>
            </w:r>
          </w:p>
        </w:tc>
        <w:tc>
          <w:tcPr>
            <w:tcW w:type="dxa" w:w="800"/>
          </w:tcPr>
          <w:p>
            <w:r>
              <w:rPr>
                <w:rFonts w:ascii="Times New Roman" w:hAnsi="Times New Roman"/>
                <w:sz w:val="18"/>
              </w:rPr>
              <w:t xml:space="preserve">R11 / Table S1</w:t>
            </w:r>
          </w:p>
        </w:tc>
        <w:tc>
          <w:tcPr>
            <w:tcW w:type="dxa" w:w="2400"/>
          </w:tcPr>
          <w:p>
            <w:r>
              <w:rPr>
                <w:rFonts w:ascii="Times New Roman" w:hAnsi="Times New Roman"/>
                <w:sz w:val="18"/>
              </w:rPr>
              <w:t xml:space="preserve">manuscript_tables.txt Table S1</w:t>
            </w:r>
          </w:p>
        </w:tc>
        <w:tc>
          <w:tcPr>
            <w:tcW w:type="dxa" w:w="2000"/>
          </w:tcPr>
          <w:p>
            <w:r>
              <w:rPr>
                <w:rFonts w:ascii="Times New Roman" w:hAnsi="Times New Roman"/>
                <w:sz w:val="18"/>
              </w:rPr>
              <w:t xml:space="preserve">seeds 0,7,13,21,42 all non-significant</w:t>
            </w:r>
          </w:p>
        </w:tc>
        <w:tc>
          <w:tcPr>
            <w:tcW w:type="dxa" w:w="1400"/>
          </w:tcPr>
          <w:p>
            <w:r>
              <w:rPr>
                <w:rFonts w:ascii="Times New Roman" w:hAnsi="Times New Roman"/>
                <w:sz w:val="18"/>
              </w:rPr>
              <w:t xml:space="preserve">Supported</w:t>
            </w:r>
          </w:p>
        </w:tc>
      </w:tr>
      <w:tr>
        <w:tc>
          <w:tcPr>
            <w:tcW w:type="auto"/>
          </w:tcPr>
          <w:p>
            <w:pPr>
              <w:spacing w:after="60" w:line="240" w:lineRule="auto"/>
            </w:pPr>
            <w:r>
              <w:rPr>
                <w:rFonts w:ascii="Times New Roman" w:hAnsi="Times New Roman"/>
                <w:sz w:val="18"/>
              </w:rPr>
              <w:t xml:space="preserve">The model is not brittle</w:t>
            </w:r>
          </w:p>
        </w:tc>
        <w:tc>
          <w:tcPr>
            <w:tcW w:type="auto"/>
          </w:tcPr>
          <w:p>
            <w:pPr>
              <w:spacing w:after="60" w:line="240" w:lineRule="auto"/>
            </w:pPr>
            <w:r>
              <w:rPr>
                <w:rFonts w:ascii="Times New Roman" w:hAnsi="Times New Roman"/>
                <w:sz w:val="18"/>
              </w:rPr>
              <w:t xml:space="preserve">R11</w:t>
            </w:r>
          </w:p>
        </w:tc>
        <w:tc>
          <w:tcPr>
            <w:tcW w:type="auto"/>
          </w:tcPr>
          <w:p>
            <w:pPr>
              <w:spacing w:after="60" w:line="240" w:lineRule="auto"/>
            </w:pPr>
            <w:r>
              <w:rPr>
                <w:rFonts w:ascii="Times New Roman" w:hAnsi="Times New Roman"/>
                <w:sz w:val="18"/>
              </w:rPr>
              <w:t xml:space="preserve">Overstatement removed; document now reports ordinal-robustness CI only</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Performance broadly similar across year of study</w:t>
            </w:r>
          </w:p>
        </w:tc>
        <w:tc>
          <w:tcPr>
            <w:tcW w:type="auto"/>
          </w:tcPr>
          <w:p>
            <w:pPr>
              <w:spacing w:after="60" w:line="240" w:lineRule="auto"/>
            </w:pPr>
            <w:r>
              <w:rPr>
                <w:rFonts w:ascii="Times New Roman" w:hAnsi="Times New Roman"/>
                <w:sz w:val="18"/>
              </w:rPr>
              <w:t xml:space="preserve">R11</w:t>
            </w:r>
          </w:p>
        </w:tc>
        <w:tc>
          <w:tcPr>
            <w:tcW w:type="auto"/>
          </w:tcPr>
          <w:p>
            <w:pPr>
              <w:spacing w:after="60" w:line="240" w:lineRule="auto"/>
            </w:pPr>
            <w:r>
              <w:rPr>
                <w:rFonts w:ascii="Times New Roman" w:hAnsi="Times New Roman"/>
                <w:sz w:val="18"/>
              </w:rPr>
              <w:t xml:space="preserve">Removed; subgroup results show mixed direction, not consistent similarity</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WCE approaches significance vs stock scale_pos_weight</w:t>
            </w:r>
          </w:p>
        </w:tc>
        <w:tc>
          <w:tcPr>
            <w:tcW w:type="auto"/>
          </w:tcPr>
          <w:p>
            <w:pPr>
              <w:spacing w:after="60" w:line="240" w:lineRule="auto"/>
            </w:pPr>
            <w:r>
              <w:rPr>
                <w:rFonts w:ascii="Times New Roman" w:hAnsi="Times New Roman"/>
                <w:sz w:val="18"/>
              </w:rPr>
              <w:t xml:space="preserve">R10</w:t>
            </w:r>
          </w:p>
        </w:tc>
        <w:tc>
          <w:tcPr>
            <w:tcW w:type="auto"/>
          </w:tcPr>
          <w:p>
            <w:pPr>
              <w:spacing w:after="60" w:line="240" w:lineRule="auto"/>
            </w:pPr>
            <w:r>
              <w:rPr>
                <w:rFonts w:ascii="Times New Roman" w:hAnsi="Times New Roman"/>
                <w:sz w:val="18"/>
              </w:rPr>
              <w:t xml:space="preserve">Overstatement removed; p=0.3642 is not near significance</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Supports the KAB framework as a theoretical organiser</w:t>
            </w:r>
          </w:p>
        </w:tc>
        <w:tc>
          <w:tcPr>
            <w:tcW w:type="auto"/>
          </w:tcPr>
          <w:p>
            <w:pPr>
              <w:spacing w:after="60" w:line="240" w:lineRule="auto"/>
            </w:pPr>
            <w:r>
              <w:rPr>
                <w:rFonts w:ascii="Times New Roman" w:hAnsi="Times New Roman"/>
                <w:sz w:val="18"/>
              </w:rPr>
              <w:t xml:space="preserve">Discussion</w:t>
            </w:r>
          </w:p>
        </w:tc>
        <w:tc>
          <w:tcPr>
            <w:tcW w:type="auto"/>
          </w:tcPr>
          <w:p>
            <w:pPr>
              <w:spacing w:after="60" w:line="240" w:lineRule="auto"/>
            </w:pPr>
            <w:r>
              <w:rPr>
                <w:rFonts w:ascii="Times New Roman" w:hAnsi="Times New Roman"/>
                <w:sz w:val="18"/>
              </w:rPr>
              <w:t xml:space="preserve">Removed; causal claim not supported by cross-sectional observational data</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The Baseline outperforms WCE on this split</w:t>
            </w:r>
          </w:p>
        </w:tc>
        <w:tc>
          <w:tcPr>
            <w:tcW w:type="auto"/>
          </w:tcPr>
          <w:p>
            <w:pPr>
              <w:spacing w:after="60" w:line="240" w:lineRule="auto"/>
            </w:pPr>
            <w:r>
              <w:rPr>
                <w:rFonts w:ascii="Times New Roman" w:hAnsi="Times New Roman"/>
                <w:sz w:val="18"/>
              </w:rPr>
              <w:t xml:space="preserve">R7</w:t>
            </w:r>
          </w:p>
        </w:tc>
        <w:tc>
          <w:tcPr>
            <w:tcW w:type="auto"/>
          </w:tcPr>
          <w:p>
            <w:pPr>
              <w:spacing w:after="60" w:line="240" w:lineRule="auto"/>
            </w:pPr>
            <w:r>
              <w:rPr>
                <w:rFonts w:ascii="Times New Roman" w:hAnsi="Times New Roman"/>
                <w:sz w:val="18"/>
              </w:rPr>
              <w:t xml:space="preserve">Removed; single-split comparison without correction is not a valid claim</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bl>
    <w:p>
      <w:r>
        <w:rPr>
          <w:rFonts w:ascii="Times New Roman" w:hAnsi="Times New Roman"/>
          <w:sz w:val="18"/>
        </w:rPr>
        <w:t xml:space="preserv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